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D0BD0" w14:textId="77777777" w:rsidR="006674F8" w:rsidRPr="00D52C47" w:rsidRDefault="006526B9" w:rsidP="00D52C47">
      <w:pPr>
        <w:pStyle w:val="a4"/>
        <w:spacing w:line="360" w:lineRule="auto"/>
        <w:rPr>
          <w:rFonts w:asciiTheme="minorHAnsi" w:hAnsiTheme="minorHAnsi"/>
        </w:rPr>
      </w:pPr>
      <w:r w:rsidRPr="00D52C47">
        <w:rPr>
          <w:rFonts w:asciiTheme="minorHAnsi" w:hAnsiTheme="minorHAnsi"/>
          <w:noProof/>
          <w:lang w:val="el-GR" w:eastAsia="el-GR"/>
        </w:rPr>
        <w:drawing>
          <wp:anchor distT="0" distB="0" distL="114300" distR="114300" simplePos="0" relativeHeight="251670528" behindDoc="0" locked="0" layoutInCell="1" allowOverlap="1" wp14:anchorId="069D23AD" wp14:editId="556E5C7E">
            <wp:simplePos x="0" y="0"/>
            <wp:positionH relativeFrom="column">
              <wp:posOffset>507365</wp:posOffset>
            </wp:positionH>
            <wp:positionV relativeFrom="paragraph">
              <wp:posOffset>-27940</wp:posOffset>
            </wp:positionV>
            <wp:extent cx="567690" cy="560705"/>
            <wp:effectExtent l="0" t="0" r="381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 cy="560705"/>
                    </a:xfrm>
                    <a:prstGeom prst="rect">
                      <a:avLst/>
                    </a:prstGeom>
                    <a:noFill/>
                  </pic:spPr>
                </pic:pic>
              </a:graphicData>
            </a:graphic>
            <wp14:sizeRelH relativeFrom="page">
              <wp14:pctWidth>0</wp14:pctWidth>
            </wp14:sizeRelH>
            <wp14:sizeRelV relativeFrom="page">
              <wp14:pctHeight>0</wp14:pctHeight>
            </wp14:sizeRelV>
          </wp:anchor>
        </w:drawing>
      </w:r>
    </w:p>
    <w:p w14:paraId="0CFAF652" w14:textId="77777777" w:rsidR="000F23A2" w:rsidRPr="00D52C47" w:rsidRDefault="000F23A2" w:rsidP="00D52C47">
      <w:pPr>
        <w:spacing w:line="360" w:lineRule="auto"/>
      </w:pPr>
    </w:p>
    <w:p w14:paraId="12C84D68" w14:textId="77777777" w:rsidR="000F23A2" w:rsidRPr="00D52C47" w:rsidRDefault="000F23A2" w:rsidP="00D52C47">
      <w:pPr>
        <w:spacing w:after="0" w:line="360" w:lineRule="auto"/>
        <w:rPr>
          <w:sz w:val="24"/>
          <w:szCs w:val="24"/>
        </w:rPr>
      </w:pPr>
      <w:r w:rsidRPr="00D52C47">
        <w:rPr>
          <w:sz w:val="24"/>
          <w:szCs w:val="24"/>
        </w:rPr>
        <w:t>ΕΛΛΗΝΙΚΗ ΔΗΜΟΚΡΑΤΙΑ</w:t>
      </w:r>
    </w:p>
    <w:p w14:paraId="294E494D" w14:textId="77777777" w:rsidR="000F23A2" w:rsidRPr="00D52C47" w:rsidRDefault="000F23A2" w:rsidP="00D52C47">
      <w:pPr>
        <w:pStyle w:val="a4"/>
        <w:spacing w:line="360" w:lineRule="auto"/>
        <w:rPr>
          <w:rFonts w:asciiTheme="minorHAnsi" w:hAnsiTheme="minorHAnsi"/>
          <w:lang w:val="el-GR"/>
        </w:rPr>
      </w:pPr>
      <w:r w:rsidRPr="00D52C47">
        <w:rPr>
          <w:rFonts w:asciiTheme="minorHAnsi" w:hAnsiTheme="minorHAnsi"/>
          <w:lang w:val="el-GR"/>
        </w:rPr>
        <w:t xml:space="preserve">ΥΠΟΥΡΓΕΙΟ ΑΝΑΠΤΥΞΗΣ ΚΑΙ </w:t>
      </w:r>
      <w:r w:rsidR="00AD7CFA" w:rsidRPr="00D52C47">
        <w:rPr>
          <w:rFonts w:asciiTheme="minorHAnsi" w:hAnsiTheme="minorHAnsi"/>
          <w:lang w:val="el-GR"/>
        </w:rPr>
        <w:t>ΕΠΕΝΔΥΣΕΩΝ</w:t>
      </w:r>
    </w:p>
    <w:p w14:paraId="3B5EE37E" w14:textId="77777777" w:rsidR="00BB46AD" w:rsidRPr="00D52C47" w:rsidRDefault="00E5630E" w:rsidP="00D52C47">
      <w:pPr>
        <w:spacing w:after="0" w:line="360" w:lineRule="auto"/>
        <w:rPr>
          <w:sz w:val="24"/>
          <w:szCs w:val="24"/>
        </w:rPr>
      </w:pPr>
      <w:r w:rsidRPr="00E5630E">
        <w:rPr>
          <w:sz w:val="24"/>
          <w:szCs w:val="24"/>
        </w:rPr>
        <w:t>Ειδική Γραμματεία Διαχείρισης Προγραμμάτων ΕΤΠΑ, ΤΣ και ΕΚΤ</w:t>
      </w:r>
    </w:p>
    <w:p w14:paraId="424A2E6B" w14:textId="77777777" w:rsidR="000F23A2" w:rsidRPr="00D52C47" w:rsidRDefault="000F23A2" w:rsidP="00D52C47">
      <w:pPr>
        <w:spacing w:after="0" w:line="360" w:lineRule="auto"/>
        <w:rPr>
          <w:sz w:val="24"/>
          <w:szCs w:val="24"/>
        </w:rPr>
      </w:pPr>
      <w:r w:rsidRPr="00D52C47">
        <w:rPr>
          <w:sz w:val="24"/>
          <w:szCs w:val="24"/>
        </w:rPr>
        <w:t xml:space="preserve">Ειδική Υπηρεσία Διαχείρισης Επιχειρησιακού </w:t>
      </w:r>
      <w:r w:rsidR="00971D9A">
        <w:rPr>
          <w:sz w:val="24"/>
          <w:szCs w:val="24"/>
        </w:rPr>
        <w:t>Προγράμματος</w:t>
      </w:r>
      <w:r w:rsidRPr="00D52C47">
        <w:rPr>
          <w:sz w:val="24"/>
          <w:szCs w:val="24"/>
        </w:rPr>
        <w:t xml:space="preserve"> </w:t>
      </w:r>
    </w:p>
    <w:p w14:paraId="32E389F3" w14:textId="77777777" w:rsidR="000F23A2" w:rsidRPr="00D52C47" w:rsidRDefault="000F23A2" w:rsidP="00D52C47">
      <w:pPr>
        <w:spacing w:after="0" w:line="360" w:lineRule="auto"/>
        <w:rPr>
          <w:sz w:val="24"/>
          <w:szCs w:val="24"/>
        </w:rPr>
      </w:pPr>
      <w:r w:rsidRPr="00D52C47">
        <w:rPr>
          <w:sz w:val="24"/>
          <w:szCs w:val="24"/>
        </w:rPr>
        <w:t>ΑΝΤΑΓΩΝΙΣΤΙΚΟΤΗΤΑ, ΕΠΙΧΕΙΡΗΜΑΤΙΚΟΤΗΤΑ και ΚΑΙΝΟΤΟΜΙΑ</w:t>
      </w:r>
    </w:p>
    <w:p w14:paraId="5E300944" w14:textId="77777777" w:rsidR="00DA7E59" w:rsidRPr="00D52C47" w:rsidRDefault="00DA7E59" w:rsidP="00D52C47">
      <w:pPr>
        <w:spacing w:line="360" w:lineRule="auto"/>
        <w:rPr>
          <w:sz w:val="24"/>
          <w:szCs w:val="24"/>
        </w:rPr>
      </w:pPr>
    </w:p>
    <w:p w14:paraId="73E0554F" w14:textId="77777777" w:rsidR="006674F8" w:rsidRPr="00D52C47" w:rsidRDefault="006674F8" w:rsidP="00D52C47">
      <w:pPr>
        <w:spacing w:line="360" w:lineRule="auto"/>
        <w:rPr>
          <w:sz w:val="24"/>
          <w:szCs w:val="24"/>
        </w:rPr>
      </w:pPr>
    </w:p>
    <w:p w14:paraId="0035AF37" w14:textId="77777777" w:rsidR="006526B9" w:rsidRPr="00D52C47" w:rsidRDefault="006526B9" w:rsidP="00D52C47">
      <w:pPr>
        <w:spacing w:line="360" w:lineRule="auto"/>
        <w:rPr>
          <w:sz w:val="24"/>
          <w:szCs w:val="24"/>
        </w:rPr>
      </w:pPr>
    </w:p>
    <w:p w14:paraId="268F79AB" w14:textId="77777777" w:rsidR="006526B9" w:rsidRPr="00D52C47" w:rsidRDefault="006526B9" w:rsidP="00D52C47">
      <w:pPr>
        <w:spacing w:line="360" w:lineRule="auto"/>
      </w:pPr>
    </w:p>
    <w:p w14:paraId="693B60CC" w14:textId="77777777" w:rsidR="006674F8" w:rsidRPr="00D52C47" w:rsidRDefault="006674F8" w:rsidP="00D52C47">
      <w:pPr>
        <w:spacing w:line="360" w:lineRule="auto"/>
      </w:pPr>
    </w:p>
    <w:p w14:paraId="25FD6BDF" w14:textId="77777777" w:rsidR="0003003F" w:rsidRPr="00D52C47" w:rsidRDefault="000F23A2" w:rsidP="00D52C47">
      <w:pPr>
        <w:spacing w:line="360" w:lineRule="auto"/>
        <w:rPr>
          <w:b/>
          <w:color w:val="39302A" w:themeColor="text2"/>
          <w:sz w:val="28"/>
          <w:szCs w:val="28"/>
        </w:rPr>
      </w:pPr>
      <w:r w:rsidRPr="00D52C47">
        <w:rPr>
          <w:b/>
          <w:color w:val="39302A" w:themeColor="text2"/>
          <w:sz w:val="28"/>
          <w:szCs w:val="28"/>
        </w:rPr>
        <w:t>«</w:t>
      </w:r>
      <w:r w:rsidR="00390552" w:rsidRPr="00D52C47">
        <w:rPr>
          <w:b/>
          <w:color w:val="39302A" w:themeColor="text2"/>
          <w:sz w:val="28"/>
          <w:szCs w:val="28"/>
        </w:rPr>
        <w:t>2</w:t>
      </w:r>
      <w:r w:rsidR="00390552" w:rsidRPr="00D52C47">
        <w:rPr>
          <w:b/>
          <w:color w:val="39302A" w:themeColor="text2"/>
          <w:sz w:val="28"/>
          <w:szCs w:val="28"/>
          <w:vertAlign w:val="superscript"/>
        </w:rPr>
        <w:t>η</w:t>
      </w:r>
      <w:r w:rsidR="00390552" w:rsidRPr="00D52C47">
        <w:rPr>
          <w:b/>
          <w:color w:val="39302A" w:themeColor="text2"/>
          <w:sz w:val="28"/>
          <w:szCs w:val="28"/>
        </w:rPr>
        <w:t xml:space="preserve"> </w:t>
      </w:r>
      <w:r w:rsidR="00DA7E59" w:rsidRPr="00D52C47">
        <w:rPr>
          <w:b/>
          <w:color w:val="39302A" w:themeColor="text2"/>
          <w:sz w:val="28"/>
          <w:szCs w:val="28"/>
        </w:rPr>
        <w:t xml:space="preserve">Αναθεώρηση και </w:t>
      </w:r>
      <w:proofErr w:type="spellStart"/>
      <w:r w:rsidR="00DA7E59" w:rsidRPr="00D52C47">
        <w:rPr>
          <w:b/>
          <w:color w:val="39302A" w:themeColor="text2"/>
          <w:sz w:val="28"/>
          <w:szCs w:val="28"/>
        </w:rPr>
        <w:t>επικαιροποίηση</w:t>
      </w:r>
      <w:proofErr w:type="spellEnd"/>
      <w:r w:rsidR="00DA7E59" w:rsidRPr="00D52C47">
        <w:rPr>
          <w:b/>
          <w:color w:val="39302A" w:themeColor="text2"/>
          <w:sz w:val="28"/>
          <w:szCs w:val="28"/>
        </w:rPr>
        <w:t xml:space="preserve"> της εκ των προτέρων αξιολόγησης του </w:t>
      </w:r>
      <w:r w:rsidR="00E5630E">
        <w:rPr>
          <w:b/>
          <w:color w:val="39302A" w:themeColor="text2"/>
          <w:sz w:val="28"/>
          <w:szCs w:val="28"/>
        </w:rPr>
        <w:t>υφιστάμενου</w:t>
      </w:r>
      <w:r w:rsidR="00DC7336" w:rsidRPr="00D52C47">
        <w:rPr>
          <w:b/>
          <w:color w:val="39302A" w:themeColor="text2"/>
          <w:sz w:val="28"/>
          <w:szCs w:val="28"/>
        </w:rPr>
        <w:t xml:space="preserve"> </w:t>
      </w:r>
      <w:r w:rsidR="005E65CC">
        <w:rPr>
          <w:b/>
          <w:color w:val="39302A" w:themeColor="text2"/>
          <w:sz w:val="28"/>
          <w:szCs w:val="28"/>
        </w:rPr>
        <w:t>Χρηματοοικονομικού Εργαλείου (FI)</w:t>
      </w:r>
      <w:r w:rsidR="00FD2382" w:rsidRPr="00D52C47">
        <w:rPr>
          <w:b/>
          <w:color w:val="39302A" w:themeColor="text2"/>
          <w:sz w:val="28"/>
          <w:szCs w:val="28"/>
        </w:rPr>
        <w:t xml:space="preserve"> </w:t>
      </w:r>
      <w:r w:rsidR="00DA7E59" w:rsidRPr="00D52C47">
        <w:rPr>
          <w:b/>
          <w:color w:val="39302A" w:themeColor="text2"/>
          <w:sz w:val="28"/>
          <w:szCs w:val="28"/>
        </w:rPr>
        <w:t xml:space="preserve">με στόχο παρεμβάσεις εξοικονόμησης ενέργειας στον οικιακό τομέα κατά την </w:t>
      </w:r>
      <w:r w:rsidR="00E5630E">
        <w:rPr>
          <w:b/>
          <w:color w:val="39302A" w:themeColor="text2"/>
          <w:sz w:val="28"/>
          <w:szCs w:val="28"/>
        </w:rPr>
        <w:t>Προγραμματ</w:t>
      </w:r>
      <w:r w:rsidR="00DA7E59" w:rsidRPr="00D52C47">
        <w:rPr>
          <w:b/>
          <w:color w:val="39302A" w:themeColor="text2"/>
          <w:sz w:val="28"/>
          <w:szCs w:val="28"/>
        </w:rPr>
        <w:t xml:space="preserve">ική </w:t>
      </w:r>
      <w:r w:rsidR="00EB38B3">
        <w:rPr>
          <w:b/>
          <w:color w:val="39302A" w:themeColor="text2"/>
          <w:sz w:val="28"/>
          <w:szCs w:val="28"/>
        </w:rPr>
        <w:t>Περίοδο</w:t>
      </w:r>
      <w:r w:rsidR="00DA7E59" w:rsidRPr="00D52C47">
        <w:rPr>
          <w:b/>
          <w:color w:val="39302A" w:themeColor="text2"/>
          <w:sz w:val="28"/>
          <w:szCs w:val="28"/>
        </w:rPr>
        <w:t xml:space="preserve"> 2014 – 2020.</w:t>
      </w:r>
      <w:r w:rsidRPr="00D52C47">
        <w:rPr>
          <w:b/>
          <w:color w:val="39302A" w:themeColor="text2"/>
          <w:sz w:val="28"/>
          <w:szCs w:val="28"/>
        </w:rPr>
        <w:t>»</w:t>
      </w:r>
    </w:p>
    <w:p w14:paraId="062003DC" w14:textId="77777777" w:rsidR="0003003F" w:rsidRPr="00D52C47" w:rsidRDefault="0003003F" w:rsidP="00D52C47">
      <w:pPr>
        <w:spacing w:line="360" w:lineRule="auto"/>
        <w:rPr>
          <w:b/>
          <w:color w:val="39302A" w:themeColor="text2"/>
          <w:sz w:val="28"/>
          <w:szCs w:val="28"/>
        </w:rPr>
      </w:pPr>
    </w:p>
    <w:p w14:paraId="1540CB18" w14:textId="77777777" w:rsidR="0003003F" w:rsidRPr="00D52C47" w:rsidRDefault="0003003F" w:rsidP="00D52C47">
      <w:pPr>
        <w:spacing w:line="360" w:lineRule="auto"/>
        <w:rPr>
          <w:b/>
          <w:color w:val="39302A" w:themeColor="text2"/>
          <w:sz w:val="28"/>
          <w:szCs w:val="28"/>
        </w:rPr>
      </w:pPr>
    </w:p>
    <w:p w14:paraId="71BC05B9" w14:textId="77777777" w:rsidR="0003003F" w:rsidRPr="00D52C47" w:rsidRDefault="0003003F" w:rsidP="00D52C47">
      <w:pPr>
        <w:spacing w:line="360" w:lineRule="auto"/>
        <w:rPr>
          <w:b/>
          <w:color w:val="39302A" w:themeColor="text2"/>
          <w:sz w:val="28"/>
          <w:szCs w:val="28"/>
        </w:rPr>
      </w:pPr>
    </w:p>
    <w:p w14:paraId="55347847" w14:textId="77777777" w:rsidR="0003003F" w:rsidRPr="00D52C47" w:rsidRDefault="0003003F" w:rsidP="00D52C47">
      <w:pPr>
        <w:spacing w:line="360" w:lineRule="auto"/>
        <w:rPr>
          <w:b/>
          <w:color w:val="39302A" w:themeColor="text2"/>
          <w:sz w:val="28"/>
          <w:szCs w:val="28"/>
        </w:rPr>
      </w:pPr>
    </w:p>
    <w:p w14:paraId="58F70F30" w14:textId="77777777" w:rsidR="00D84FCF" w:rsidRPr="00D52C47" w:rsidRDefault="00D84FCF" w:rsidP="00D52C47">
      <w:pPr>
        <w:spacing w:line="360" w:lineRule="auto"/>
        <w:rPr>
          <w:b/>
          <w:color w:val="39302A" w:themeColor="text2"/>
          <w:sz w:val="28"/>
          <w:szCs w:val="28"/>
        </w:rPr>
      </w:pPr>
    </w:p>
    <w:p w14:paraId="190E84A6" w14:textId="77777777" w:rsidR="0003003F" w:rsidRPr="00D52C47" w:rsidRDefault="0003003F" w:rsidP="00D52C47">
      <w:pPr>
        <w:spacing w:line="360" w:lineRule="auto"/>
        <w:rPr>
          <w:b/>
          <w:color w:val="39302A" w:themeColor="text2"/>
          <w:sz w:val="28"/>
          <w:szCs w:val="28"/>
        </w:rPr>
      </w:pPr>
    </w:p>
    <w:p w14:paraId="5D039078" w14:textId="77777777" w:rsidR="0003003F" w:rsidRPr="00D52C47" w:rsidRDefault="0003003F" w:rsidP="00D52C47">
      <w:pPr>
        <w:spacing w:line="360" w:lineRule="auto"/>
        <w:rPr>
          <w:b/>
          <w:color w:val="39302A" w:themeColor="text2"/>
          <w:sz w:val="28"/>
          <w:szCs w:val="28"/>
        </w:rPr>
      </w:pPr>
    </w:p>
    <w:p w14:paraId="6CCA4653" w14:textId="77777777" w:rsidR="00840397" w:rsidRPr="00D52C47" w:rsidRDefault="00E5630E" w:rsidP="00D52C47">
      <w:pPr>
        <w:spacing w:line="360" w:lineRule="auto"/>
      </w:pPr>
      <w:r>
        <w:rPr>
          <w:b/>
          <w:color w:val="39302A" w:themeColor="text2"/>
          <w:sz w:val="28"/>
          <w:szCs w:val="28"/>
        </w:rPr>
        <w:t>ΜΑΡΤ</w:t>
      </w:r>
      <w:r w:rsidR="00390552" w:rsidRPr="00D52C47">
        <w:rPr>
          <w:b/>
          <w:color w:val="39302A" w:themeColor="text2"/>
          <w:sz w:val="28"/>
          <w:szCs w:val="28"/>
        </w:rPr>
        <w:t>ΙΟΣ 2020</w:t>
      </w:r>
      <w:r w:rsidR="006018AF" w:rsidRPr="00D52C47">
        <w:t xml:space="preserve">, </w:t>
      </w:r>
      <w:r w:rsidR="006018AF" w:rsidRPr="00D52C47">
        <w:rPr>
          <w:color w:val="39302A" w:themeColor="text2"/>
        </w:rPr>
        <w:t xml:space="preserve">έκδοση </w:t>
      </w:r>
      <w:r>
        <w:rPr>
          <w:color w:val="39302A" w:themeColor="text2"/>
        </w:rPr>
        <w:t>2</w:t>
      </w:r>
      <w:r w:rsidR="006018AF" w:rsidRPr="00D52C47">
        <w:rPr>
          <w:color w:val="39302A" w:themeColor="text2"/>
          <w:vertAlign w:val="superscript"/>
        </w:rPr>
        <w:t>η</w:t>
      </w:r>
      <w:r w:rsidR="006018AF" w:rsidRPr="00D52C47">
        <w:rPr>
          <w:color w:val="39302A" w:themeColor="text2"/>
        </w:rPr>
        <w:t xml:space="preserve"> </w:t>
      </w:r>
      <w:bookmarkStart w:id="0" w:name="_Toc454363936"/>
    </w:p>
    <w:p w14:paraId="26F8CC39" w14:textId="77777777" w:rsidR="000F23A2" w:rsidRPr="00D52C47" w:rsidRDefault="0062368F" w:rsidP="00B722D9">
      <w:pPr>
        <w:pStyle w:val="1"/>
      </w:pPr>
      <w:r>
        <w:br w:type="page"/>
      </w:r>
      <w:bookmarkStart w:id="1" w:name="_Toc36639181"/>
      <w:r w:rsidR="000F23A2" w:rsidRPr="00D52C47">
        <w:lastRenderedPageBreak/>
        <w:t>Εισαγωγή</w:t>
      </w:r>
      <w:bookmarkEnd w:id="0"/>
      <w:bookmarkEnd w:id="1"/>
    </w:p>
    <w:p w14:paraId="31BF7A1A" w14:textId="77777777" w:rsidR="004B2AEE" w:rsidRPr="00D52C47" w:rsidRDefault="000F23A2" w:rsidP="00D26E1F">
      <w:pPr>
        <w:spacing w:line="360" w:lineRule="auto"/>
        <w:ind w:firstLine="709"/>
      </w:pPr>
      <w:r w:rsidRPr="00D52C47">
        <w:t xml:space="preserve">Σκοπός της παρούσας εργασίας είναι η αναθεώρηση και </w:t>
      </w:r>
      <w:proofErr w:type="spellStart"/>
      <w:r w:rsidRPr="00D52C47">
        <w:t>επικαιροποίηση</w:t>
      </w:r>
      <w:proofErr w:type="spellEnd"/>
      <w:r w:rsidRPr="00D52C47">
        <w:t xml:space="preserve"> της εκ των προτέρων αξιολόγησης του </w:t>
      </w:r>
      <w:r w:rsidR="005E65CC">
        <w:t>Χρηματοοικονομικού Εργαλείου (FI)</w:t>
      </w:r>
      <w:r w:rsidR="00701BAE" w:rsidRPr="00D52C47">
        <w:t xml:space="preserve"> του Ταμείου ΕΞΟΙΚΟΝΟΜΩ ΙΙ</w:t>
      </w:r>
      <w:r w:rsidR="00D84FCF" w:rsidRPr="00D52C47">
        <w:t xml:space="preserve">. Το Ταμείο ΕΞΟΙΚΟΝΟΜΩ ΙΙ , ιδρύθηκε για να εξυπηρετήσει δράσεις εξοικονόμησης ενέργειας στον οικιακό τομέα για την τρέχουσα </w:t>
      </w:r>
      <w:r w:rsidR="00E5630E">
        <w:t>Προγραμματ</w:t>
      </w:r>
      <w:r w:rsidR="00D84FCF" w:rsidRPr="00D52C47">
        <w:t xml:space="preserve">ική </w:t>
      </w:r>
      <w:r w:rsidR="00EB38B3">
        <w:t>Περίοδο</w:t>
      </w:r>
      <w:r w:rsidR="00D84FCF" w:rsidRPr="00D52C47">
        <w:t xml:space="preserve"> 2014-2020</w:t>
      </w:r>
      <w:r w:rsidR="004E7E9B" w:rsidRPr="00D52C47">
        <w:t xml:space="preserve">. Ο χαρακτηρισμός «ΙΙ» οφείλεται στο ότι στην προηγούμενη </w:t>
      </w:r>
      <w:r w:rsidR="00E5630E">
        <w:t>Προγραμματ</w:t>
      </w:r>
      <w:r w:rsidR="004E7E9B" w:rsidRPr="00D52C47">
        <w:t xml:space="preserve">ική </w:t>
      </w:r>
      <w:r w:rsidR="00EB38B3">
        <w:t>Περίοδο</w:t>
      </w:r>
      <w:r w:rsidR="00BC5AF2" w:rsidRPr="00D52C47">
        <w:t xml:space="preserve"> </w:t>
      </w:r>
      <w:r w:rsidR="00A0608B" w:rsidRPr="00D52C47">
        <w:t>2007 – 2013</w:t>
      </w:r>
      <w:r w:rsidR="00124398" w:rsidRPr="00D52C47">
        <w:t xml:space="preserve"> </w:t>
      </w:r>
      <w:r w:rsidR="00BC5AF2" w:rsidRPr="00D52C47">
        <w:t>είχε συσταθεί το</w:t>
      </w:r>
      <w:r w:rsidR="00D84FCF" w:rsidRPr="00D52C47">
        <w:t xml:space="preserve"> πρώτο ταμείο </w:t>
      </w:r>
      <w:r w:rsidR="00A0608B" w:rsidRPr="00D52C47">
        <w:t>«</w:t>
      </w:r>
      <w:r w:rsidR="00D84FCF" w:rsidRPr="00D52C47">
        <w:t>ΕΞΟΙΚΟΝΟΜΩ Ι</w:t>
      </w:r>
      <w:r w:rsidR="00A0608B" w:rsidRPr="00D52C47">
        <w:t>»,</w:t>
      </w:r>
      <w:r w:rsidR="00D84FCF" w:rsidRPr="00D52C47">
        <w:t xml:space="preserve"> </w:t>
      </w:r>
      <w:r w:rsidR="00701BAE" w:rsidRPr="00D52C47">
        <w:t xml:space="preserve"> το οποίο </w:t>
      </w:r>
      <w:r w:rsidR="00A0608B" w:rsidRPr="00D52C47">
        <w:t>είχε επίσης</w:t>
      </w:r>
      <w:r w:rsidRPr="00D52C47">
        <w:t xml:space="preserve"> </w:t>
      </w:r>
      <w:r w:rsidR="00E5630E">
        <w:t xml:space="preserve">ως </w:t>
      </w:r>
      <w:r w:rsidR="00E5630E" w:rsidRPr="00D52C47">
        <w:t xml:space="preserve">στόχο </w:t>
      </w:r>
      <w:r w:rsidRPr="00D52C47">
        <w:t>παρεμβάσεις εξοικονόμησης ενέργειας στον οικιακό τομέα.</w:t>
      </w:r>
    </w:p>
    <w:p w14:paraId="19BC17A8" w14:textId="77777777" w:rsidR="000F23A2" w:rsidRPr="00D52C47" w:rsidRDefault="00390552" w:rsidP="00D26E1F">
      <w:pPr>
        <w:spacing w:line="360" w:lineRule="auto"/>
        <w:ind w:firstLine="709"/>
      </w:pPr>
      <w:r w:rsidRPr="00D52C47">
        <w:t xml:space="preserve">Η Παρούσα </w:t>
      </w:r>
      <w:proofErr w:type="spellStart"/>
      <w:r w:rsidRPr="00D52C47">
        <w:t>επικαιροποίηση</w:t>
      </w:r>
      <w:proofErr w:type="spellEnd"/>
      <w:r w:rsidRPr="00D52C47">
        <w:t xml:space="preserve"> είναι η 2</w:t>
      </w:r>
      <w:r w:rsidRPr="00D52C47">
        <w:rPr>
          <w:vertAlign w:val="superscript"/>
        </w:rPr>
        <w:t>η</w:t>
      </w:r>
      <w:r w:rsidRPr="00D52C47">
        <w:t xml:space="preserve"> για το</w:t>
      </w:r>
      <w:r w:rsidR="00E5630E">
        <w:t xml:space="preserve"> εν λόγω</w:t>
      </w:r>
      <w:r w:rsidRPr="00D52C47">
        <w:t xml:space="preserve"> </w:t>
      </w:r>
      <w:r w:rsidR="00701BAE" w:rsidRPr="00D52C47">
        <w:t>Τ</w:t>
      </w:r>
      <w:r w:rsidRPr="00D52C47">
        <w:t>αμείο</w:t>
      </w:r>
      <w:r w:rsidR="00701BAE" w:rsidRPr="00D52C47">
        <w:t>.</w:t>
      </w:r>
      <w:r w:rsidRPr="00D52C47">
        <w:t xml:space="preserve"> </w:t>
      </w:r>
      <w:r w:rsidR="00701BAE" w:rsidRPr="00D52C47">
        <w:t>Σημειώνεται πως η</w:t>
      </w:r>
      <w:r w:rsidRPr="00D52C47">
        <w:t xml:space="preserve"> </w:t>
      </w:r>
      <w:r w:rsidR="000553C4" w:rsidRPr="00D52C47">
        <w:t>1</w:t>
      </w:r>
      <w:r w:rsidR="000553C4" w:rsidRPr="00D52C47">
        <w:rPr>
          <w:vertAlign w:val="superscript"/>
        </w:rPr>
        <w:t>η</w:t>
      </w:r>
      <w:r w:rsidR="000553C4" w:rsidRPr="00D52C47">
        <w:t xml:space="preserve"> </w:t>
      </w:r>
      <w:r w:rsidR="00701BAE" w:rsidRPr="00D52C47">
        <w:t xml:space="preserve">τροποποίηση </w:t>
      </w:r>
      <w:r w:rsidRPr="00D52C47">
        <w:t>ολοκληρώθηκε τον Οκτώβριο 2016</w:t>
      </w:r>
      <w:r w:rsidR="00593E4A" w:rsidRPr="00D52C47">
        <w:t>, πριν την</w:t>
      </w:r>
      <w:r w:rsidR="00701BAE" w:rsidRPr="00D52C47">
        <w:t xml:space="preserve"> κατάρτιση και</w:t>
      </w:r>
      <w:r w:rsidR="00593E4A" w:rsidRPr="00D52C47">
        <w:t xml:space="preserve"> οριστικοποίηση του </w:t>
      </w:r>
      <w:r w:rsidR="00B925F9">
        <w:t>Οδηγού</w:t>
      </w:r>
      <w:r w:rsidR="00593E4A" w:rsidRPr="00D52C47">
        <w:t xml:space="preserve"> του </w:t>
      </w:r>
      <w:r w:rsidR="00971D9A">
        <w:t>Προγράμματος</w:t>
      </w:r>
      <w:r w:rsidR="00593E4A" w:rsidRPr="00D52C47">
        <w:t xml:space="preserve"> και τον </w:t>
      </w:r>
      <w:proofErr w:type="spellStart"/>
      <w:r w:rsidR="00593E4A" w:rsidRPr="00D52C47">
        <w:t>Α’κύκλο</w:t>
      </w:r>
      <w:proofErr w:type="spellEnd"/>
      <w:r w:rsidR="00593E4A" w:rsidRPr="00D52C47">
        <w:t xml:space="preserve"> </w:t>
      </w:r>
      <w:r w:rsidR="004F576E">
        <w:t>Εφαρμογής</w:t>
      </w:r>
      <w:r w:rsidR="00593E4A" w:rsidRPr="00D52C47">
        <w:t xml:space="preserve"> του, ώστε να προσδιοριστεί</w:t>
      </w:r>
      <w:r w:rsidR="00124398" w:rsidRPr="00D52C47">
        <w:t>,</w:t>
      </w:r>
      <w:r w:rsidR="00593E4A" w:rsidRPr="00D52C47">
        <w:t xml:space="preserve"> σύμφωνα με τους διαθέσιμους πόρους και </w:t>
      </w:r>
      <w:r w:rsidR="00E5630E">
        <w:t xml:space="preserve">τα </w:t>
      </w:r>
      <w:r w:rsidR="00593E4A" w:rsidRPr="00D52C47">
        <w:t>στοιχεία που υπήρχαν</w:t>
      </w:r>
      <w:r w:rsidR="00124398" w:rsidRPr="00D52C47">
        <w:t xml:space="preserve"> ως</w:t>
      </w:r>
      <w:r w:rsidR="00593E4A" w:rsidRPr="00D52C47">
        <w:t xml:space="preserve"> δεδομένα τον συγκεκριμένο χρόνο</w:t>
      </w:r>
      <w:r w:rsidR="00701BAE" w:rsidRPr="00D52C47">
        <w:t>, το ύψος του κεφαλαίου του Ταμείου</w:t>
      </w:r>
      <w:r w:rsidR="00593E4A" w:rsidRPr="00D52C47">
        <w:t>.</w:t>
      </w:r>
      <w:r w:rsidRPr="00D52C47">
        <w:t xml:space="preserve"> </w:t>
      </w:r>
    </w:p>
    <w:p w14:paraId="5FE44432" w14:textId="77777777" w:rsidR="00134F51" w:rsidRPr="00D52C47" w:rsidRDefault="000F23A2" w:rsidP="00D26E1F">
      <w:pPr>
        <w:spacing w:line="360" w:lineRule="auto"/>
        <w:ind w:firstLine="709"/>
      </w:pPr>
      <w:r w:rsidRPr="00D52C47">
        <w:rPr>
          <w:lang w:val="en-US"/>
        </w:rPr>
        <w:t>H</w:t>
      </w:r>
      <w:r w:rsidRPr="00D52C47">
        <w:t xml:space="preserve"> αρχική έκδοση της </w:t>
      </w:r>
      <w:r w:rsidR="000553C4" w:rsidRPr="00D52C47">
        <w:t>μελέτης «</w:t>
      </w:r>
      <w:r w:rsidRPr="00D52C47">
        <w:t>εκ των προτέρων αξιολόγησης</w:t>
      </w:r>
      <w:r w:rsidR="000553C4" w:rsidRPr="00D52C47">
        <w:t>»</w:t>
      </w:r>
      <w:r w:rsidRPr="00D52C47">
        <w:t xml:space="preserve"> </w:t>
      </w:r>
      <w:r w:rsidR="00701BAE" w:rsidRPr="00D52C47">
        <w:t xml:space="preserve">για την τεκμηρίωση της ίδρυσης του Ταμείου ΕΞΟΙΚΟΝΟΜΩ ΙΙ, </w:t>
      </w:r>
      <w:r w:rsidRPr="00D52C47">
        <w:t xml:space="preserve">παρουσιάσθηκε κατά την </w:t>
      </w:r>
      <w:r w:rsidR="00E5630E">
        <w:t>1η</w:t>
      </w:r>
      <w:r w:rsidRPr="00D52C47">
        <w:t xml:space="preserve"> συνεδρίαση της Επιτροπής Παρακολούθησης του Επιχειρησιακού </w:t>
      </w:r>
      <w:r w:rsidR="00971D9A">
        <w:t>Προγράμματος</w:t>
      </w:r>
      <w:r w:rsidRPr="00D52C47">
        <w:t xml:space="preserve"> «Ανταγωνιστικότητα, Επιχειρηματικότητα και Καινοτομία», τον Ιούλιο του 2015 στην Αθήνα</w:t>
      </w:r>
      <w:r w:rsidR="00E5630E">
        <w:t>,</w:t>
      </w:r>
      <w:r w:rsidR="00701BAE" w:rsidRPr="00D52C47">
        <w:t xml:space="preserve"> και ήταν μελέτη η οποία προκηρύχθηκε από την ΕΥΔ </w:t>
      </w:r>
      <w:r w:rsidR="00B925F9">
        <w:t>ΕΠΑνΕΚ</w:t>
      </w:r>
      <w:r w:rsidR="00701BAE" w:rsidRPr="00D52C47">
        <w:t xml:space="preserve"> κατόπιν εντολής της ΓΓ ΕΣΠΑ και ανατέθηκε στην </w:t>
      </w:r>
      <w:r w:rsidR="00701BAE" w:rsidRPr="00D52C47">
        <w:rPr>
          <w:lang w:val="en-GB"/>
        </w:rPr>
        <w:t>ICAP</w:t>
      </w:r>
      <w:r w:rsidRPr="00D52C47">
        <w:t xml:space="preserve">. Στην συνέχεια, τον Οκτώβριο του ίδιου έτους ζητήθηκε από την αρμόδια Διεύθυνση Περιφερειακής Πολιτικής της Ε.Ε. η αναθεώρηση των </w:t>
      </w:r>
      <w:r w:rsidR="00701BAE" w:rsidRPr="00D52C47">
        <w:t xml:space="preserve">«εκ των προτέρων </w:t>
      </w:r>
      <w:r w:rsidRPr="00D52C47">
        <w:t>αξιολογήσεων</w:t>
      </w:r>
      <w:r w:rsidR="00701BAE" w:rsidRPr="00D52C47">
        <w:t>»</w:t>
      </w:r>
      <w:r w:rsidRPr="00D52C47">
        <w:t xml:space="preserve"> που είχαν </w:t>
      </w:r>
      <w:r w:rsidR="00701BAE" w:rsidRPr="00D52C47">
        <w:t xml:space="preserve">καταρτιστεί και δημοσιευθεί </w:t>
      </w:r>
      <w:r w:rsidRPr="00D52C47">
        <w:t>μέχρι εκείνη τη στιγμή</w:t>
      </w:r>
      <w:r w:rsidR="00701BAE" w:rsidRPr="00D52C47">
        <w:t>,</w:t>
      </w:r>
      <w:r w:rsidRPr="00D52C47">
        <w:t xml:space="preserve"> προκειμένου να </w:t>
      </w:r>
      <w:r w:rsidR="000553C4" w:rsidRPr="00D52C47">
        <w:t>συμπεριληφθούν στο σχεδιασμό, οι οικονομικές επιπτώσεις</w:t>
      </w:r>
      <w:r w:rsidRPr="00D52C47">
        <w:t xml:space="preserve"> </w:t>
      </w:r>
      <w:r w:rsidR="000553C4" w:rsidRPr="00D52C47">
        <w:t xml:space="preserve">στο εγχώριο χρηματοπιστωτικό σύστημα </w:t>
      </w:r>
      <w:r w:rsidR="00701BAE" w:rsidRPr="00D52C47">
        <w:t>των περιορισμών στην κίνηση των κεφαλαίων «</w:t>
      </w:r>
      <w:r w:rsidR="000553C4" w:rsidRPr="00D52C47">
        <w:rPr>
          <w:lang w:val="en-US"/>
        </w:rPr>
        <w:t>capital</w:t>
      </w:r>
      <w:r w:rsidR="000553C4" w:rsidRPr="00D52C47">
        <w:t xml:space="preserve"> </w:t>
      </w:r>
      <w:r w:rsidR="000553C4" w:rsidRPr="00D52C47">
        <w:rPr>
          <w:lang w:val="en-US"/>
        </w:rPr>
        <w:t>controls</w:t>
      </w:r>
      <w:r w:rsidR="00701BAE" w:rsidRPr="00D52C47">
        <w:t>»</w:t>
      </w:r>
      <w:r w:rsidR="000553C4" w:rsidRPr="00D52C47">
        <w:t xml:space="preserve"> και τις λοιπές εξελίξεις της </w:t>
      </w:r>
      <w:r w:rsidR="00EB38B3">
        <w:t>Περιόδου</w:t>
      </w:r>
      <w:r w:rsidR="00701BAE" w:rsidRPr="00D52C47">
        <w:t xml:space="preserve"> που ίσχυαν για τον τραπεζικό τομέα</w:t>
      </w:r>
      <w:r w:rsidRPr="00D52C47">
        <w:t>. Η</w:t>
      </w:r>
      <w:r w:rsidR="000553C4" w:rsidRPr="00D52C47">
        <w:t xml:space="preserve"> πρωτοβουλία της </w:t>
      </w:r>
      <w:r w:rsidR="00134F51" w:rsidRPr="00D52C47">
        <w:t>1</w:t>
      </w:r>
      <w:r w:rsidR="00134F51" w:rsidRPr="00D52C47">
        <w:rPr>
          <w:vertAlign w:val="superscript"/>
        </w:rPr>
        <w:t>ης</w:t>
      </w:r>
      <w:r w:rsidR="00134F51" w:rsidRPr="00D52C47">
        <w:t xml:space="preserve"> </w:t>
      </w:r>
      <w:proofErr w:type="spellStart"/>
      <w:r w:rsidR="000553C4" w:rsidRPr="00D52C47">
        <w:t>επικαιροποίησης</w:t>
      </w:r>
      <w:proofErr w:type="spellEnd"/>
      <w:r w:rsidR="000553C4" w:rsidRPr="00D52C47">
        <w:t xml:space="preserve"> της εκ των προτέρων αξιολόγησης λήφθηκε από την ΕΥΔ </w:t>
      </w:r>
      <w:r w:rsidR="00B925F9">
        <w:t>ΕΠΑνΕΚ</w:t>
      </w:r>
      <w:r w:rsidR="000553C4" w:rsidRPr="00D52C47">
        <w:t xml:space="preserve"> μετά και από εντολή της Ειδικής Γραμματείας ΕΤΠΑ </w:t>
      </w:r>
      <w:r w:rsidR="00134F51" w:rsidRPr="00D52C47">
        <w:t xml:space="preserve">για να περιλάβει τις αρχές σχεδιασμού που παρήγαγε το </w:t>
      </w:r>
      <w:r w:rsidR="00E5630E">
        <w:t>Υπουργείο Περιβάλλοντος και Ενέργειας (</w:t>
      </w:r>
      <w:r w:rsidR="00134F51" w:rsidRPr="00D52C47">
        <w:t>ΥΠΕΝ</w:t>
      </w:r>
      <w:r w:rsidR="00E5630E">
        <w:t>)</w:t>
      </w:r>
      <w:r w:rsidR="00134F51" w:rsidRPr="00D52C47">
        <w:t xml:space="preserve"> και ήταν γνωστές κατά την </w:t>
      </w:r>
      <w:r w:rsidR="00EB38B3">
        <w:t>Περίοδο</w:t>
      </w:r>
      <w:r w:rsidR="00134F51" w:rsidRPr="00D52C47">
        <w:t xml:space="preserve"> πριν τη σύσταση του Ταμείο</w:t>
      </w:r>
      <w:r w:rsidR="00124398" w:rsidRPr="00D52C47">
        <w:t xml:space="preserve">. Η </w:t>
      </w:r>
      <w:proofErr w:type="spellStart"/>
      <w:r w:rsidR="00124398" w:rsidRPr="00D52C47">
        <w:t>επικαιροποίηση</w:t>
      </w:r>
      <w:proofErr w:type="spellEnd"/>
      <w:r w:rsidR="00134F51" w:rsidRPr="00D52C47">
        <w:t xml:space="preserve"> </w:t>
      </w:r>
      <w:r w:rsidR="000553C4" w:rsidRPr="00D52C47">
        <w:t xml:space="preserve">υλοποιήθηκε από </w:t>
      </w:r>
      <w:r w:rsidR="00E5630E">
        <w:t>Ε</w:t>
      </w:r>
      <w:r w:rsidR="000553C4" w:rsidRPr="00D52C47">
        <w:t xml:space="preserve">πιτροπή που αποτελούνταν από </w:t>
      </w:r>
      <w:r w:rsidR="00E5630E">
        <w:t>Σ</w:t>
      </w:r>
      <w:r w:rsidR="000553C4" w:rsidRPr="00D52C47">
        <w:t xml:space="preserve">τελέχη </w:t>
      </w:r>
      <w:r w:rsidR="00D47FF9" w:rsidRPr="00D52C47">
        <w:t>της</w:t>
      </w:r>
      <w:r w:rsidRPr="00D52C47">
        <w:t xml:space="preserve"> Ειδική</w:t>
      </w:r>
      <w:r w:rsidR="00D47FF9" w:rsidRPr="00D52C47">
        <w:t>ς</w:t>
      </w:r>
      <w:r w:rsidRPr="00D52C47">
        <w:t xml:space="preserve"> Υπηρεσία</w:t>
      </w:r>
      <w:r w:rsidR="00D47FF9" w:rsidRPr="00D52C47">
        <w:t>ς</w:t>
      </w:r>
      <w:r w:rsidRPr="00D52C47">
        <w:t xml:space="preserve"> Διαχείρισης του Επιχειρησιακού </w:t>
      </w:r>
      <w:r w:rsidR="00971D9A">
        <w:t>Προγράμματος</w:t>
      </w:r>
      <w:r w:rsidRPr="00D52C47">
        <w:t xml:space="preserve"> </w:t>
      </w:r>
      <w:r w:rsidR="00E5630E">
        <w:t>«ΑΝΤΑΓΩΝΙΣΤΙΚΟΤΗΤΑ, ΕΠΙΧΕΙΡΗΜΑΤΙΚΟΤΗΤΑ και ΚΑΙΝΟΤΟΜΙΑ» (</w:t>
      </w:r>
      <w:r w:rsidR="00B925F9">
        <w:t>ΕΠΑνΕΚ</w:t>
      </w:r>
      <w:r w:rsidR="00E5630E">
        <w:t>)</w:t>
      </w:r>
      <w:r w:rsidR="00E5630E" w:rsidRPr="00D52C47">
        <w:t xml:space="preserve"> </w:t>
      </w:r>
      <w:r w:rsidR="000553C4" w:rsidRPr="00D52C47">
        <w:t xml:space="preserve">και της Επιτελικής </w:t>
      </w:r>
      <w:r w:rsidR="00E5630E">
        <w:t>Δ</w:t>
      </w:r>
      <w:r w:rsidR="000553C4" w:rsidRPr="00D52C47">
        <w:t xml:space="preserve">ομής </w:t>
      </w:r>
      <w:r w:rsidR="00E5630E">
        <w:t xml:space="preserve">ΕΣΠΑ </w:t>
      </w:r>
      <w:r w:rsidR="000553C4" w:rsidRPr="00D52C47">
        <w:t xml:space="preserve">του </w:t>
      </w:r>
      <w:r w:rsidR="00E5630E">
        <w:t>Τ</w:t>
      </w:r>
      <w:r w:rsidR="000553C4" w:rsidRPr="00D52C47">
        <w:t>ομέα Ενέργειας</w:t>
      </w:r>
      <w:r w:rsidRPr="00D52C47">
        <w:t xml:space="preserve"> του ΥΠΕΝ</w:t>
      </w:r>
      <w:r w:rsidR="000553C4" w:rsidRPr="00D52C47">
        <w:t xml:space="preserve">. Σημαντική </w:t>
      </w:r>
      <w:r w:rsidR="00124398" w:rsidRPr="00D52C47">
        <w:t>υπήρξε</w:t>
      </w:r>
      <w:r w:rsidR="000553C4" w:rsidRPr="00D52C47">
        <w:t xml:space="preserve"> η βοήθεια που παρείχε</w:t>
      </w:r>
      <w:r w:rsidRPr="00D52C47">
        <w:t xml:space="preserve"> </w:t>
      </w:r>
      <w:r w:rsidR="000553C4" w:rsidRPr="00D52C47">
        <w:t>η</w:t>
      </w:r>
      <w:r w:rsidRPr="00D52C47">
        <w:t xml:space="preserve"> </w:t>
      </w:r>
      <w:r w:rsidR="00593E4A" w:rsidRPr="00D52C47">
        <w:t xml:space="preserve">Εθνική Αναπτυξιακή Τράπεζα Α.Ε. (Ε.Α.Τ. Α.Ε. - πρώην </w:t>
      </w:r>
      <w:r w:rsidRPr="00D52C47">
        <w:t>ΕΤΕΑΝ Α</w:t>
      </w:r>
      <w:r w:rsidR="00593E4A" w:rsidRPr="00D52C47">
        <w:t>.</w:t>
      </w:r>
      <w:r w:rsidRPr="00D52C47">
        <w:t>Ε.</w:t>
      </w:r>
      <w:r w:rsidR="00593E4A" w:rsidRPr="00D52C47">
        <w:t>)</w:t>
      </w:r>
      <w:r w:rsidR="00124398" w:rsidRPr="00D52C47">
        <w:t>, η οποία παρείχε τα απαραίτητα στοιχεία ώστε να τεκμηριωθούν οι προτάσεις της επιτροπής</w:t>
      </w:r>
      <w:r w:rsidR="000553C4" w:rsidRPr="00D52C47">
        <w:t>.</w:t>
      </w:r>
      <w:r w:rsidRPr="00D52C47">
        <w:t xml:space="preserve"> </w:t>
      </w:r>
    </w:p>
    <w:p w14:paraId="53192CE5" w14:textId="77777777" w:rsidR="00DD6184" w:rsidRPr="00D52C47" w:rsidRDefault="00134F51" w:rsidP="00D26E1F">
      <w:pPr>
        <w:spacing w:line="360" w:lineRule="auto"/>
        <w:ind w:firstLine="709"/>
      </w:pPr>
      <w:r w:rsidRPr="00D52C47">
        <w:lastRenderedPageBreak/>
        <w:t>Η παρούσα 2</w:t>
      </w:r>
      <w:r w:rsidRPr="00D52C47">
        <w:rPr>
          <w:vertAlign w:val="superscript"/>
        </w:rPr>
        <w:t>η</w:t>
      </w:r>
      <w:r w:rsidRPr="00D52C47">
        <w:t xml:space="preserve"> </w:t>
      </w:r>
      <w:proofErr w:type="spellStart"/>
      <w:r w:rsidRPr="00D52C47">
        <w:t>επικαιροποίηση</w:t>
      </w:r>
      <w:proofErr w:type="spellEnd"/>
      <w:r w:rsidRPr="00D52C47">
        <w:t xml:space="preserve"> της </w:t>
      </w:r>
      <w:r w:rsidR="002C22C8" w:rsidRPr="00D52C47">
        <w:t>«</w:t>
      </w:r>
      <w:r w:rsidRPr="00D52C47">
        <w:t>εκ των προτέρων αξιολόγησης</w:t>
      </w:r>
      <w:r w:rsidR="002C22C8" w:rsidRPr="00D52C47">
        <w:t>»,</w:t>
      </w:r>
      <w:r w:rsidRPr="00D52C47">
        <w:t xml:space="preserve"> διερευν</w:t>
      </w:r>
      <w:r w:rsidR="002C22C8" w:rsidRPr="00D52C47">
        <w:t>ά</w:t>
      </w:r>
      <w:r w:rsidRPr="00D52C47">
        <w:t xml:space="preserve"> τις προοπτικές και</w:t>
      </w:r>
      <w:r w:rsidR="00124398" w:rsidRPr="00D52C47">
        <w:t xml:space="preserve"> πρόσθετες</w:t>
      </w:r>
      <w:r w:rsidRPr="00D52C47">
        <w:t xml:space="preserve"> κεφαλαιακές απαιτήσεις του Ταμείου ΕΞΟΙΚΟΝΟΜΩ ΙΙ, λαμβάνοντας υπόψη</w:t>
      </w:r>
      <w:r w:rsidR="00DD6184" w:rsidRPr="00D52C47">
        <w:t xml:space="preserve"> στοιχεία που διαφοροποιήθηκαν του αρχικού σχεδιασμού και των προβλέψεών του όπως:</w:t>
      </w:r>
    </w:p>
    <w:p w14:paraId="07DC3B44" w14:textId="77777777" w:rsidR="00DD6184" w:rsidRPr="00D52C47" w:rsidRDefault="00DD6184" w:rsidP="00D26E1F">
      <w:pPr>
        <w:pStyle w:val="a3"/>
        <w:numPr>
          <w:ilvl w:val="0"/>
          <w:numId w:val="25"/>
        </w:numPr>
        <w:tabs>
          <w:tab w:val="left" w:pos="1134"/>
        </w:tabs>
        <w:spacing w:line="360" w:lineRule="auto"/>
        <w:ind w:left="1134" w:hanging="425"/>
      </w:pPr>
      <w:r w:rsidRPr="00D52C47">
        <w:t>Τ</w:t>
      </w:r>
      <w:r w:rsidR="00134F51" w:rsidRPr="00D52C47">
        <w:t>ο εν ισχύ</w:t>
      </w:r>
      <w:r w:rsidR="00BB46AD" w:rsidRPr="00D52C47">
        <w:t xml:space="preserve"> και ήδη </w:t>
      </w:r>
      <w:proofErr w:type="spellStart"/>
      <w:r w:rsidR="00BB46AD" w:rsidRPr="00D52C47">
        <w:t>εφαρμοσθέν</w:t>
      </w:r>
      <w:proofErr w:type="spellEnd"/>
      <w:r w:rsidR="00BB46AD" w:rsidRPr="00D52C47">
        <w:t>,</w:t>
      </w:r>
      <w:r w:rsidR="00134F51" w:rsidRPr="00D52C47">
        <w:t xml:space="preserve"> σχέδιο του </w:t>
      </w:r>
      <w:r w:rsidR="00B925F9">
        <w:t>Οδηγού</w:t>
      </w:r>
      <w:r w:rsidR="00134F51" w:rsidRPr="00D52C47">
        <w:t xml:space="preserve"> του </w:t>
      </w:r>
      <w:r w:rsidR="00971D9A">
        <w:t>Προγράμματος</w:t>
      </w:r>
      <w:r w:rsidR="00134F51" w:rsidRPr="00D52C47">
        <w:t xml:space="preserve"> ΕΞΟΙΚΟΝΟΜΩ ΙΙ</w:t>
      </w:r>
      <w:r w:rsidR="003B1545" w:rsidRPr="00D52C47">
        <w:t>.</w:t>
      </w:r>
    </w:p>
    <w:p w14:paraId="26DA4CA9" w14:textId="77777777" w:rsidR="00DD6184" w:rsidRPr="00D52C47" w:rsidRDefault="00DD6184" w:rsidP="00D26E1F">
      <w:pPr>
        <w:pStyle w:val="a3"/>
        <w:numPr>
          <w:ilvl w:val="0"/>
          <w:numId w:val="25"/>
        </w:numPr>
        <w:tabs>
          <w:tab w:val="left" w:pos="1134"/>
        </w:tabs>
        <w:spacing w:line="360" w:lineRule="auto"/>
        <w:ind w:left="1134" w:hanging="425"/>
      </w:pPr>
      <w:r w:rsidRPr="00D52C47">
        <w:t>Τ</w:t>
      </w:r>
      <w:r w:rsidR="00134F51" w:rsidRPr="00D52C47">
        <w:t xml:space="preserve">α </w:t>
      </w:r>
      <w:r w:rsidR="00FD3B58" w:rsidRPr="00D52C47">
        <w:t xml:space="preserve">στοιχεία που προέκυψαν και τα </w:t>
      </w:r>
      <w:r w:rsidR="00134F51" w:rsidRPr="00D52C47">
        <w:t xml:space="preserve">αποτελέσματα της </w:t>
      </w:r>
      <w:r w:rsidR="00FD3B58" w:rsidRPr="00D52C47">
        <w:t xml:space="preserve">υλοποίησης </w:t>
      </w:r>
      <w:r w:rsidR="00134F51" w:rsidRPr="00D52C47">
        <w:t xml:space="preserve">που έλαβε χώρα κατά τον </w:t>
      </w:r>
      <w:proofErr w:type="spellStart"/>
      <w:r w:rsidR="00134F51" w:rsidRPr="00D52C47">
        <w:t>Α’Κύκλο</w:t>
      </w:r>
      <w:proofErr w:type="spellEnd"/>
      <w:r w:rsidR="00134F51" w:rsidRPr="00D52C47">
        <w:t xml:space="preserve"> του </w:t>
      </w:r>
      <w:r w:rsidR="00971D9A">
        <w:t>Προγράμματος</w:t>
      </w:r>
      <w:r w:rsidR="00134F51" w:rsidRPr="00D52C47">
        <w:t xml:space="preserve"> (κατηγορίες </w:t>
      </w:r>
      <w:proofErr w:type="spellStart"/>
      <w:r w:rsidR="00134F51" w:rsidRPr="00D52C47">
        <w:t>ωφελουμένων</w:t>
      </w:r>
      <w:proofErr w:type="spellEnd"/>
      <w:r w:rsidR="00134F51" w:rsidRPr="00D52C47">
        <w:t xml:space="preserve">, ποσοστά επιδότησης, </w:t>
      </w:r>
      <w:proofErr w:type="spellStart"/>
      <w:r w:rsidR="00134F51" w:rsidRPr="00D52C47">
        <w:t>μόχλευση</w:t>
      </w:r>
      <w:proofErr w:type="spellEnd"/>
      <w:r w:rsidR="00134F51" w:rsidRPr="00D52C47">
        <w:t xml:space="preserve"> των τραπεζών μετά από τον διαγωνισμό για την επιλογή τους ως ΕΧΟ,</w:t>
      </w:r>
      <w:r w:rsidRPr="00D52C47">
        <w:t xml:space="preserve"> τα</w:t>
      </w:r>
      <w:r w:rsidR="00134F51" w:rsidRPr="00D52C47">
        <w:t xml:space="preserve"> επιτόκια δανείων</w:t>
      </w:r>
      <w:r w:rsidRPr="00D52C47">
        <w:t xml:space="preserve"> και το χρόνο διάρκειάς τους</w:t>
      </w:r>
      <w:r w:rsidR="00134F51" w:rsidRPr="00D52C47">
        <w:t>,</w:t>
      </w:r>
      <w:r w:rsidRPr="00D52C47">
        <w:t xml:space="preserve"> το</w:t>
      </w:r>
      <w:r w:rsidR="00134F51" w:rsidRPr="00D52C47">
        <w:t xml:space="preserve"> </w:t>
      </w:r>
      <w:r w:rsidR="00134F51" w:rsidRPr="00D52C47">
        <w:rPr>
          <w:lang w:val="en-US"/>
        </w:rPr>
        <w:t>max</w:t>
      </w:r>
      <w:r w:rsidR="00134F51" w:rsidRPr="00D52C47">
        <w:t xml:space="preserve"> ύψος προϋπολογισμού,</w:t>
      </w:r>
      <w:r w:rsidRPr="00D52C47">
        <w:t xml:space="preserve"> τη δυνατότητα ενίσχυσης</w:t>
      </w:r>
      <w:r w:rsidR="00134F51" w:rsidRPr="00D52C47">
        <w:t xml:space="preserve"> </w:t>
      </w:r>
      <w:proofErr w:type="spellStart"/>
      <w:r w:rsidR="00134F51" w:rsidRPr="00D52C47">
        <w:t>ενοικιαζ</w:t>
      </w:r>
      <w:r w:rsidRPr="00D52C47">
        <w:t>ομένων</w:t>
      </w:r>
      <w:proofErr w:type="spellEnd"/>
      <w:r w:rsidR="00134F51" w:rsidRPr="00D52C47">
        <w:t xml:space="preserve"> ή μη</w:t>
      </w:r>
      <w:r w:rsidRPr="00D52C47">
        <w:t xml:space="preserve"> και </w:t>
      </w:r>
      <w:r w:rsidR="00FD3B58" w:rsidRPr="00D52C47">
        <w:rPr>
          <w:sz w:val="23"/>
          <w:szCs w:val="23"/>
        </w:rPr>
        <w:t>τη συμμόρφωση με τους κανόνες περί κρατικών ενισχύσεων</w:t>
      </w:r>
      <w:r w:rsidRPr="00D52C47">
        <w:t>, ρυθμίσεις για τις πολυκατοικίες</w:t>
      </w:r>
      <w:r w:rsidR="00E5630E">
        <w:t>,</w:t>
      </w:r>
      <w:r w:rsidR="00FD3B58" w:rsidRPr="00D52C47">
        <w:rPr>
          <w:sz w:val="23"/>
          <w:szCs w:val="23"/>
        </w:rPr>
        <w:t xml:space="preserve"> </w:t>
      </w:r>
      <w:r w:rsidR="00134F51" w:rsidRPr="00D52C47">
        <w:t>κλπ</w:t>
      </w:r>
      <w:r w:rsidR="00E5630E">
        <w:t>.</w:t>
      </w:r>
      <w:r w:rsidRPr="00D52C47">
        <w:t>).</w:t>
      </w:r>
      <w:r w:rsidR="00134F51" w:rsidRPr="00D52C47">
        <w:t xml:space="preserve"> </w:t>
      </w:r>
    </w:p>
    <w:p w14:paraId="1FBBC8A3" w14:textId="77777777" w:rsidR="00DD6184" w:rsidRPr="00D52C47" w:rsidRDefault="00DD6184" w:rsidP="00D26E1F">
      <w:pPr>
        <w:pStyle w:val="a3"/>
        <w:numPr>
          <w:ilvl w:val="0"/>
          <w:numId w:val="25"/>
        </w:numPr>
        <w:tabs>
          <w:tab w:val="left" w:pos="1134"/>
        </w:tabs>
        <w:spacing w:line="360" w:lineRule="auto"/>
        <w:ind w:left="1134" w:hanging="425"/>
      </w:pPr>
      <w:r w:rsidRPr="00D52C47">
        <w:t>Τον αριθμό</w:t>
      </w:r>
      <w:r w:rsidR="00134F51" w:rsidRPr="00D52C47">
        <w:t xml:space="preserve"> υπαγωγ</w:t>
      </w:r>
      <w:r w:rsidRPr="00D52C47">
        <w:t xml:space="preserve">ών </w:t>
      </w:r>
      <w:r w:rsidR="00134F51" w:rsidRPr="00D52C47">
        <w:t xml:space="preserve">αιτήσεων πολιτών που εξυπηρετήθηκαν </w:t>
      </w:r>
      <w:r w:rsidRPr="00D52C47">
        <w:t xml:space="preserve">με και χωρίς επιλογή στήριξης του </w:t>
      </w:r>
      <w:r w:rsidR="005E65CC">
        <w:t>Χρηματοοικονομικού Εργαλείου (FI)</w:t>
      </w:r>
      <w:r w:rsidR="003B1545" w:rsidRPr="00D52C47">
        <w:t>.</w:t>
      </w:r>
      <w:r w:rsidRPr="00D52C47">
        <w:t xml:space="preserve"> </w:t>
      </w:r>
    </w:p>
    <w:p w14:paraId="020CD582" w14:textId="77777777" w:rsidR="00DD6184" w:rsidRPr="00D52C47" w:rsidRDefault="00DD6184" w:rsidP="00D26E1F">
      <w:pPr>
        <w:pStyle w:val="a3"/>
        <w:numPr>
          <w:ilvl w:val="0"/>
          <w:numId w:val="25"/>
        </w:numPr>
        <w:tabs>
          <w:tab w:val="left" w:pos="1134"/>
        </w:tabs>
        <w:spacing w:line="360" w:lineRule="auto"/>
        <w:ind w:left="1134" w:hanging="425"/>
      </w:pPr>
      <w:r w:rsidRPr="00D52C47">
        <w:t>Τ</w:t>
      </w:r>
      <w:r w:rsidR="00134F51" w:rsidRPr="00D52C47">
        <w:t xml:space="preserve">η συγκέντρωση πόρων για τα </w:t>
      </w:r>
      <w:r w:rsidR="00134F51" w:rsidRPr="00D52C47">
        <w:rPr>
          <w:lang w:val="en-US"/>
        </w:rPr>
        <w:t>grants</w:t>
      </w:r>
      <w:r w:rsidR="00134F51" w:rsidRPr="00D52C47">
        <w:t xml:space="preserve"> είτε συγχρηματοδοτούμενους από τις </w:t>
      </w:r>
      <w:r w:rsidR="00E5630E">
        <w:t>Περιφέρ</w:t>
      </w:r>
      <w:r w:rsidR="00134F51" w:rsidRPr="00D52C47">
        <w:t>ειες είτε από εθνικούς πόρους</w:t>
      </w:r>
      <w:r w:rsidR="003B1545" w:rsidRPr="00D52C47">
        <w:t>.</w:t>
      </w:r>
    </w:p>
    <w:p w14:paraId="416789DC" w14:textId="77777777" w:rsidR="00DD6184" w:rsidRPr="00D52C47" w:rsidRDefault="00DD6184" w:rsidP="00D26E1F">
      <w:pPr>
        <w:pStyle w:val="a3"/>
        <w:numPr>
          <w:ilvl w:val="0"/>
          <w:numId w:val="25"/>
        </w:numPr>
        <w:tabs>
          <w:tab w:val="left" w:pos="1134"/>
        </w:tabs>
        <w:spacing w:line="360" w:lineRule="auto"/>
        <w:ind w:left="1134" w:hanging="425"/>
      </w:pPr>
      <w:r w:rsidRPr="00D52C47">
        <w:t xml:space="preserve">Την εξαγγελία και </w:t>
      </w:r>
      <w:r w:rsidR="00787E12" w:rsidRPr="00D52C47">
        <w:t xml:space="preserve">τη συμμετοχή των πολιτών στον </w:t>
      </w:r>
      <w:proofErr w:type="spellStart"/>
      <w:r w:rsidR="00787E12" w:rsidRPr="00D52C47">
        <w:t>Β’Κύκλο</w:t>
      </w:r>
      <w:proofErr w:type="spellEnd"/>
      <w:r w:rsidR="00AC73D1" w:rsidRPr="00D52C47">
        <w:t xml:space="preserve"> (κατηγοριοποίηση, αιτήσεις για δάνειο/αιτήσεις για </w:t>
      </w:r>
      <w:r w:rsidR="00AC73D1" w:rsidRPr="00D52C47">
        <w:rPr>
          <w:lang w:val="en-US"/>
        </w:rPr>
        <w:t>grants</w:t>
      </w:r>
      <w:r w:rsidR="00E5630E">
        <w:t>,</w:t>
      </w:r>
      <w:r w:rsidR="00AC73D1" w:rsidRPr="00D52C47">
        <w:t xml:space="preserve"> </w:t>
      </w:r>
      <w:proofErr w:type="spellStart"/>
      <w:r w:rsidR="00AC73D1" w:rsidRPr="00D52C47">
        <w:t>κλπ</w:t>
      </w:r>
      <w:proofErr w:type="spellEnd"/>
      <w:r w:rsidR="00AC73D1" w:rsidRPr="00D52C47">
        <w:t>)</w:t>
      </w:r>
      <w:r w:rsidR="00787E12" w:rsidRPr="00D52C47">
        <w:t xml:space="preserve">. </w:t>
      </w:r>
    </w:p>
    <w:p w14:paraId="3C208827" w14:textId="77777777" w:rsidR="003B1545" w:rsidRPr="00D52C47" w:rsidRDefault="003B1545" w:rsidP="00D26E1F">
      <w:pPr>
        <w:pStyle w:val="a3"/>
        <w:numPr>
          <w:ilvl w:val="0"/>
          <w:numId w:val="25"/>
        </w:numPr>
        <w:tabs>
          <w:tab w:val="left" w:pos="1134"/>
        </w:tabs>
        <w:spacing w:line="360" w:lineRule="auto"/>
        <w:ind w:left="1134" w:hanging="425"/>
      </w:pPr>
      <w:r w:rsidRPr="00D52C47">
        <w:t xml:space="preserve">Τα στοιχεία της πραγματικής υλοποίησης (υπαγωγές, ποσοστό υλοποίησης, </w:t>
      </w:r>
      <w:proofErr w:type="spellStart"/>
      <w:r w:rsidRPr="00D52C47">
        <w:t>απεντάξεις</w:t>
      </w:r>
      <w:proofErr w:type="spellEnd"/>
      <w:r w:rsidRPr="00D52C47">
        <w:t>) από τον Α κύκλο.</w:t>
      </w:r>
    </w:p>
    <w:p w14:paraId="471418BC" w14:textId="77777777" w:rsidR="0062368F" w:rsidRDefault="00787E12" w:rsidP="00D26E1F">
      <w:pPr>
        <w:spacing w:line="360" w:lineRule="auto"/>
        <w:ind w:firstLine="709"/>
        <w:rPr>
          <w:bCs/>
        </w:rPr>
      </w:pPr>
      <w:r w:rsidRPr="00D52C47">
        <w:t xml:space="preserve">Για το σκοπό αυτό συγκροτήθηκε με πρωτοβουλία της ΕΥΔ </w:t>
      </w:r>
      <w:r w:rsidR="00B925F9">
        <w:t>ΕΠΑνΕΚ</w:t>
      </w:r>
      <w:r w:rsidRPr="00D52C47">
        <w:t xml:space="preserve"> </w:t>
      </w:r>
      <w:r w:rsidR="00DD6184" w:rsidRPr="00D52C47">
        <w:t xml:space="preserve">και έγκριση της Ειδικής Γραμματείας υπεύθυνης για τα τομεακά </w:t>
      </w:r>
      <w:r w:rsidR="00E5630E">
        <w:t>Προγράμματ</w:t>
      </w:r>
      <w:r w:rsidR="00DD6184" w:rsidRPr="00D52C47">
        <w:t xml:space="preserve">α, νέα </w:t>
      </w:r>
      <w:r w:rsidRPr="00D52C47">
        <w:t xml:space="preserve">ομάδα εργασίας με αντικείμενο την </w:t>
      </w:r>
      <w:r w:rsidR="003B1545" w:rsidRPr="00D52C47">
        <w:t>2</w:t>
      </w:r>
      <w:r w:rsidR="003B1545" w:rsidRPr="00D52C47">
        <w:rPr>
          <w:vertAlign w:val="superscript"/>
        </w:rPr>
        <w:t>η</w:t>
      </w:r>
      <w:r w:rsidR="003B1545" w:rsidRPr="00D52C47">
        <w:t xml:space="preserve"> σε σειρά, </w:t>
      </w:r>
      <w:r w:rsidRPr="00D52C47">
        <w:t xml:space="preserve">εκ νέου </w:t>
      </w:r>
      <w:proofErr w:type="spellStart"/>
      <w:r w:rsidRPr="00D52C47">
        <w:t>επικαιροποίηση</w:t>
      </w:r>
      <w:proofErr w:type="spellEnd"/>
      <w:r w:rsidRPr="00D52C47">
        <w:t xml:space="preserve"> της </w:t>
      </w:r>
      <w:r w:rsidRPr="00D52C47">
        <w:rPr>
          <w:lang w:val="en-US"/>
        </w:rPr>
        <w:t>ex</w:t>
      </w:r>
      <w:r w:rsidRPr="00D52C47">
        <w:t xml:space="preserve"> </w:t>
      </w:r>
      <w:r w:rsidRPr="00D52C47">
        <w:rPr>
          <w:lang w:val="en-US"/>
        </w:rPr>
        <w:t>ante</w:t>
      </w:r>
      <w:r w:rsidRPr="00D52C47">
        <w:t xml:space="preserve"> </w:t>
      </w:r>
      <w:r w:rsidRPr="00D52C47">
        <w:rPr>
          <w:lang w:val="en-US"/>
        </w:rPr>
        <w:t>assessment</w:t>
      </w:r>
      <w:r w:rsidRPr="00D52C47">
        <w:t xml:space="preserve"> του Ταμείου ΕΞΟΙΚΟΝΟΜΩ ΙΙ</w:t>
      </w:r>
      <w:r w:rsidR="003B1545" w:rsidRPr="00D52C47">
        <w:t>,</w:t>
      </w:r>
      <w:r w:rsidRPr="00D52C47">
        <w:t xml:space="preserve"> </w:t>
      </w:r>
      <w:r w:rsidR="00134F51" w:rsidRPr="00D52C47">
        <w:t xml:space="preserve"> </w:t>
      </w:r>
      <w:r w:rsidRPr="00D52C47">
        <w:t xml:space="preserve">από στελέχη ΕΥΔ και της Επιτελικής της Ενέργειας </w:t>
      </w:r>
      <w:r w:rsidRPr="00F505C4">
        <w:t>(</w:t>
      </w:r>
      <w:r w:rsidRPr="00F505C4">
        <w:rPr>
          <w:bCs/>
        </w:rPr>
        <w:t>Α.Π. 7813/Β1/1600/23.12.2019 – ΦΕΚ: Υ.Ο.Δ.Δ. 119/2019 (31.12.2019))</w:t>
      </w:r>
    </w:p>
    <w:p w14:paraId="6905B298" w14:textId="77777777" w:rsidR="0062368F" w:rsidRDefault="0062368F">
      <w:pPr>
        <w:autoSpaceDE/>
        <w:autoSpaceDN/>
        <w:adjustRightInd/>
        <w:spacing w:before="0" w:after="200" w:line="276" w:lineRule="auto"/>
        <w:jc w:val="left"/>
        <w:rPr>
          <w:bCs/>
        </w:rPr>
      </w:pPr>
      <w:r>
        <w:rPr>
          <w:bCs/>
        </w:rPr>
        <w:br w:type="page"/>
      </w:r>
    </w:p>
    <w:sdt>
      <w:sdtPr>
        <w:rPr>
          <w:rFonts w:ascii="Calibri" w:eastAsiaTheme="minorHAnsi" w:hAnsi="Calibri" w:cs="Arial"/>
          <w:b w:val="0"/>
          <w:bCs w:val="0"/>
          <w:color w:val="auto"/>
          <w:sz w:val="22"/>
          <w:szCs w:val="22"/>
          <w:lang w:eastAsia="en-US"/>
        </w:rPr>
        <w:id w:val="40261736"/>
        <w:docPartObj>
          <w:docPartGallery w:val="Table of Contents"/>
          <w:docPartUnique/>
        </w:docPartObj>
      </w:sdtPr>
      <w:sdtEndPr>
        <w:rPr>
          <w:rFonts w:asciiTheme="minorHAnsi" w:hAnsiTheme="minorHAnsi"/>
        </w:rPr>
      </w:sdtEndPr>
      <w:sdtContent>
        <w:p w14:paraId="1AA16A4E" w14:textId="77777777" w:rsidR="0062368F" w:rsidRPr="00D47FF9" w:rsidRDefault="0062368F" w:rsidP="0062368F">
          <w:pPr>
            <w:pStyle w:val="af8"/>
            <w:spacing w:line="360" w:lineRule="auto"/>
            <w:rPr>
              <w:rFonts w:ascii="Calibri" w:hAnsi="Calibri"/>
            </w:rPr>
          </w:pPr>
          <w:r w:rsidRPr="00D47FF9">
            <w:rPr>
              <w:rFonts w:ascii="Calibri" w:hAnsi="Calibri"/>
            </w:rPr>
            <w:t>Περιεχόμενα</w:t>
          </w:r>
        </w:p>
        <w:p w14:paraId="636E572C" w14:textId="15EC8AA9" w:rsidR="00DA2318" w:rsidRDefault="0062368F">
          <w:pPr>
            <w:pStyle w:val="10"/>
            <w:tabs>
              <w:tab w:val="right" w:leader="dot" w:pos="8778"/>
            </w:tabs>
            <w:rPr>
              <w:rFonts w:eastAsiaTheme="minorEastAsia" w:cstheme="minorBidi"/>
              <w:noProof/>
              <w:lang w:eastAsia="el-GR"/>
            </w:rPr>
          </w:pPr>
          <w:r>
            <w:fldChar w:fldCharType="begin"/>
          </w:r>
          <w:r>
            <w:instrText xml:space="preserve"> TOC \o "1-3" \h \z \u </w:instrText>
          </w:r>
          <w:r>
            <w:fldChar w:fldCharType="separate"/>
          </w:r>
          <w:hyperlink w:anchor="_Toc36639181" w:history="1">
            <w:r w:rsidR="00DA2318" w:rsidRPr="007E6FE9">
              <w:rPr>
                <w:rStyle w:val="-"/>
                <w:noProof/>
              </w:rPr>
              <w:t>Εισαγωγή</w:t>
            </w:r>
            <w:r w:rsidR="00DA2318">
              <w:rPr>
                <w:noProof/>
                <w:webHidden/>
              </w:rPr>
              <w:tab/>
            </w:r>
            <w:r w:rsidR="00DA2318">
              <w:rPr>
                <w:noProof/>
                <w:webHidden/>
              </w:rPr>
              <w:fldChar w:fldCharType="begin"/>
            </w:r>
            <w:r w:rsidR="00DA2318">
              <w:rPr>
                <w:noProof/>
                <w:webHidden/>
              </w:rPr>
              <w:instrText xml:space="preserve"> PAGEREF _Toc36639181 \h </w:instrText>
            </w:r>
            <w:r w:rsidR="00DA2318">
              <w:rPr>
                <w:noProof/>
                <w:webHidden/>
              </w:rPr>
            </w:r>
            <w:r w:rsidR="00DA2318">
              <w:rPr>
                <w:noProof/>
                <w:webHidden/>
              </w:rPr>
              <w:fldChar w:fldCharType="separate"/>
            </w:r>
            <w:r w:rsidR="00DA2318">
              <w:rPr>
                <w:noProof/>
                <w:webHidden/>
              </w:rPr>
              <w:t>2</w:t>
            </w:r>
            <w:r w:rsidR="00DA2318">
              <w:rPr>
                <w:noProof/>
                <w:webHidden/>
              </w:rPr>
              <w:fldChar w:fldCharType="end"/>
            </w:r>
          </w:hyperlink>
        </w:p>
        <w:p w14:paraId="1B1324F4" w14:textId="49A28F7B" w:rsidR="00DA2318" w:rsidRDefault="00F267EF">
          <w:pPr>
            <w:pStyle w:val="20"/>
            <w:tabs>
              <w:tab w:val="right" w:leader="dot" w:pos="8778"/>
            </w:tabs>
            <w:rPr>
              <w:rFonts w:eastAsiaTheme="minorEastAsia" w:cstheme="minorBidi"/>
              <w:noProof/>
              <w:lang w:eastAsia="el-GR"/>
            </w:rPr>
          </w:pPr>
          <w:hyperlink w:anchor="_Toc36639182" w:history="1">
            <w:r w:rsidR="00DA2318" w:rsidRPr="007E6FE9">
              <w:rPr>
                <w:rStyle w:val="-"/>
                <w:noProof/>
              </w:rPr>
              <w:t>Σύντομο ιστορικό του ταμείου ΕΞΟΙΚΟΝΟΜΩ ΙΙ</w:t>
            </w:r>
            <w:r w:rsidR="00DA2318">
              <w:rPr>
                <w:noProof/>
                <w:webHidden/>
              </w:rPr>
              <w:tab/>
            </w:r>
            <w:r w:rsidR="00DA2318">
              <w:rPr>
                <w:noProof/>
                <w:webHidden/>
              </w:rPr>
              <w:fldChar w:fldCharType="begin"/>
            </w:r>
            <w:r w:rsidR="00DA2318">
              <w:rPr>
                <w:noProof/>
                <w:webHidden/>
              </w:rPr>
              <w:instrText xml:space="preserve"> PAGEREF _Toc36639182 \h </w:instrText>
            </w:r>
            <w:r w:rsidR="00DA2318">
              <w:rPr>
                <w:noProof/>
                <w:webHidden/>
              </w:rPr>
            </w:r>
            <w:r w:rsidR="00DA2318">
              <w:rPr>
                <w:noProof/>
                <w:webHidden/>
              </w:rPr>
              <w:fldChar w:fldCharType="separate"/>
            </w:r>
            <w:r w:rsidR="00DA2318">
              <w:rPr>
                <w:noProof/>
                <w:webHidden/>
              </w:rPr>
              <w:t>7</w:t>
            </w:r>
            <w:r w:rsidR="00DA2318">
              <w:rPr>
                <w:noProof/>
                <w:webHidden/>
              </w:rPr>
              <w:fldChar w:fldCharType="end"/>
            </w:r>
          </w:hyperlink>
        </w:p>
        <w:p w14:paraId="487D62AE" w14:textId="75748387" w:rsidR="00DA2318" w:rsidRDefault="00F267EF">
          <w:pPr>
            <w:pStyle w:val="20"/>
            <w:tabs>
              <w:tab w:val="right" w:leader="dot" w:pos="8778"/>
            </w:tabs>
            <w:rPr>
              <w:rFonts w:eastAsiaTheme="minorEastAsia" w:cstheme="minorBidi"/>
              <w:noProof/>
              <w:lang w:eastAsia="el-GR"/>
            </w:rPr>
          </w:pPr>
          <w:hyperlink w:anchor="_Toc36639183" w:history="1">
            <w:r w:rsidR="00DA2318" w:rsidRPr="007E6FE9">
              <w:rPr>
                <w:rStyle w:val="-"/>
                <w:noProof/>
              </w:rPr>
              <w:t>Συνεδριάσεις της Επενδυτικής Επιτροπής του Ταμείου ΕΞΟΙΚΟΝΟΜΩ ΙΙ</w:t>
            </w:r>
            <w:r w:rsidR="00DA2318">
              <w:rPr>
                <w:noProof/>
                <w:webHidden/>
              </w:rPr>
              <w:tab/>
            </w:r>
            <w:r w:rsidR="00DA2318">
              <w:rPr>
                <w:noProof/>
                <w:webHidden/>
              </w:rPr>
              <w:fldChar w:fldCharType="begin"/>
            </w:r>
            <w:r w:rsidR="00DA2318">
              <w:rPr>
                <w:noProof/>
                <w:webHidden/>
              </w:rPr>
              <w:instrText xml:space="preserve"> PAGEREF _Toc36639183 \h </w:instrText>
            </w:r>
            <w:r w:rsidR="00DA2318">
              <w:rPr>
                <w:noProof/>
                <w:webHidden/>
              </w:rPr>
            </w:r>
            <w:r w:rsidR="00DA2318">
              <w:rPr>
                <w:noProof/>
                <w:webHidden/>
              </w:rPr>
              <w:fldChar w:fldCharType="separate"/>
            </w:r>
            <w:r w:rsidR="00DA2318">
              <w:rPr>
                <w:noProof/>
                <w:webHidden/>
              </w:rPr>
              <w:t>10</w:t>
            </w:r>
            <w:r w:rsidR="00DA2318">
              <w:rPr>
                <w:noProof/>
                <w:webHidden/>
              </w:rPr>
              <w:fldChar w:fldCharType="end"/>
            </w:r>
          </w:hyperlink>
        </w:p>
        <w:p w14:paraId="0D3F9657" w14:textId="246B0DB3" w:rsidR="00DA2318" w:rsidRDefault="00F267EF">
          <w:pPr>
            <w:pStyle w:val="20"/>
            <w:tabs>
              <w:tab w:val="right" w:leader="dot" w:pos="8778"/>
            </w:tabs>
            <w:rPr>
              <w:rFonts w:eastAsiaTheme="minorEastAsia" w:cstheme="minorBidi"/>
              <w:noProof/>
              <w:lang w:eastAsia="el-GR"/>
            </w:rPr>
          </w:pPr>
          <w:hyperlink w:anchor="_Toc36639184" w:history="1">
            <w:r w:rsidR="00DA2318" w:rsidRPr="007E6FE9">
              <w:rPr>
                <w:rStyle w:val="-"/>
                <w:noProof/>
              </w:rPr>
              <w:t>Βασικές αρχές, παράμετροι εκπόνησης και περιεχόμενο της «εκ των προτέρων αξιολόγησης»</w:t>
            </w:r>
            <w:r w:rsidR="00DA2318">
              <w:rPr>
                <w:noProof/>
                <w:webHidden/>
              </w:rPr>
              <w:tab/>
            </w:r>
            <w:r w:rsidR="00DA2318">
              <w:rPr>
                <w:noProof/>
                <w:webHidden/>
              </w:rPr>
              <w:fldChar w:fldCharType="begin"/>
            </w:r>
            <w:r w:rsidR="00DA2318">
              <w:rPr>
                <w:noProof/>
                <w:webHidden/>
              </w:rPr>
              <w:instrText xml:space="preserve"> PAGEREF _Toc36639184 \h </w:instrText>
            </w:r>
            <w:r w:rsidR="00DA2318">
              <w:rPr>
                <w:noProof/>
                <w:webHidden/>
              </w:rPr>
            </w:r>
            <w:r w:rsidR="00DA2318">
              <w:rPr>
                <w:noProof/>
                <w:webHidden/>
              </w:rPr>
              <w:fldChar w:fldCharType="separate"/>
            </w:r>
            <w:r w:rsidR="00DA2318">
              <w:rPr>
                <w:noProof/>
                <w:webHidden/>
              </w:rPr>
              <w:t>12</w:t>
            </w:r>
            <w:r w:rsidR="00DA2318">
              <w:rPr>
                <w:noProof/>
                <w:webHidden/>
              </w:rPr>
              <w:fldChar w:fldCharType="end"/>
            </w:r>
          </w:hyperlink>
        </w:p>
        <w:p w14:paraId="5B773503" w14:textId="70ED1AB8" w:rsidR="00DA2318" w:rsidRDefault="00F267EF">
          <w:pPr>
            <w:pStyle w:val="10"/>
            <w:tabs>
              <w:tab w:val="right" w:leader="dot" w:pos="8778"/>
            </w:tabs>
            <w:rPr>
              <w:rFonts w:eastAsiaTheme="minorEastAsia" w:cstheme="minorBidi"/>
              <w:noProof/>
              <w:lang w:eastAsia="el-GR"/>
            </w:rPr>
          </w:pPr>
          <w:hyperlink w:anchor="_Toc36639185" w:history="1">
            <w:r w:rsidR="00DA2318" w:rsidRPr="007E6FE9">
              <w:rPr>
                <w:rStyle w:val="-"/>
                <w:noProof/>
              </w:rPr>
              <w:t>Πρώτο Μέρος : Αξιολόγηση Αγοράς &amp; Αποκομισθείσας Εμπειρίας</w:t>
            </w:r>
            <w:r w:rsidR="00DA2318">
              <w:rPr>
                <w:noProof/>
                <w:webHidden/>
              </w:rPr>
              <w:tab/>
            </w:r>
            <w:r w:rsidR="00DA2318">
              <w:rPr>
                <w:noProof/>
                <w:webHidden/>
              </w:rPr>
              <w:fldChar w:fldCharType="begin"/>
            </w:r>
            <w:r w:rsidR="00DA2318">
              <w:rPr>
                <w:noProof/>
                <w:webHidden/>
              </w:rPr>
              <w:instrText xml:space="preserve"> PAGEREF _Toc36639185 \h </w:instrText>
            </w:r>
            <w:r w:rsidR="00DA2318">
              <w:rPr>
                <w:noProof/>
                <w:webHidden/>
              </w:rPr>
            </w:r>
            <w:r w:rsidR="00DA2318">
              <w:rPr>
                <w:noProof/>
                <w:webHidden/>
              </w:rPr>
              <w:fldChar w:fldCharType="separate"/>
            </w:r>
            <w:r w:rsidR="00DA2318">
              <w:rPr>
                <w:noProof/>
                <w:webHidden/>
              </w:rPr>
              <w:t>15</w:t>
            </w:r>
            <w:r w:rsidR="00DA2318">
              <w:rPr>
                <w:noProof/>
                <w:webHidden/>
              </w:rPr>
              <w:fldChar w:fldCharType="end"/>
            </w:r>
          </w:hyperlink>
        </w:p>
        <w:p w14:paraId="073990C8" w14:textId="12BFFDD4" w:rsidR="00DA2318" w:rsidRDefault="00F267EF">
          <w:pPr>
            <w:pStyle w:val="20"/>
            <w:tabs>
              <w:tab w:val="right" w:leader="dot" w:pos="8778"/>
            </w:tabs>
            <w:rPr>
              <w:rFonts w:eastAsiaTheme="minorEastAsia" w:cstheme="minorBidi"/>
              <w:noProof/>
              <w:lang w:eastAsia="el-GR"/>
            </w:rPr>
          </w:pPr>
          <w:hyperlink w:anchor="_Toc36639186" w:history="1">
            <w:r w:rsidR="00DA2318" w:rsidRPr="007E6FE9">
              <w:rPr>
                <w:rStyle w:val="-"/>
                <w:noProof/>
              </w:rPr>
              <w:t>Θεσμικό περιβάλλον υλοποίησης του έργου</w:t>
            </w:r>
            <w:r w:rsidR="00DA2318">
              <w:rPr>
                <w:noProof/>
                <w:webHidden/>
              </w:rPr>
              <w:tab/>
            </w:r>
            <w:r w:rsidR="00DA2318">
              <w:rPr>
                <w:noProof/>
                <w:webHidden/>
              </w:rPr>
              <w:fldChar w:fldCharType="begin"/>
            </w:r>
            <w:r w:rsidR="00DA2318">
              <w:rPr>
                <w:noProof/>
                <w:webHidden/>
              </w:rPr>
              <w:instrText xml:space="preserve"> PAGEREF _Toc36639186 \h </w:instrText>
            </w:r>
            <w:r w:rsidR="00DA2318">
              <w:rPr>
                <w:noProof/>
                <w:webHidden/>
              </w:rPr>
            </w:r>
            <w:r w:rsidR="00DA2318">
              <w:rPr>
                <w:noProof/>
                <w:webHidden/>
              </w:rPr>
              <w:fldChar w:fldCharType="separate"/>
            </w:r>
            <w:r w:rsidR="00DA2318">
              <w:rPr>
                <w:noProof/>
                <w:webHidden/>
              </w:rPr>
              <w:t>15</w:t>
            </w:r>
            <w:r w:rsidR="00DA2318">
              <w:rPr>
                <w:noProof/>
                <w:webHidden/>
              </w:rPr>
              <w:fldChar w:fldCharType="end"/>
            </w:r>
          </w:hyperlink>
        </w:p>
        <w:p w14:paraId="4673F038" w14:textId="2F377BE7" w:rsidR="00DA2318" w:rsidRDefault="00F267EF">
          <w:pPr>
            <w:pStyle w:val="30"/>
            <w:tabs>
              <w:tab w:val="right" w:leader="dot" w:pos="8778"/>
            </w:tabs>
            <w:rPr>
              <w:rFonts w:eastAsiaTheme="minorEastAsia" w:cstheme="minorBidi"/>
              <w:noProof/>
              <w:lang w:eastAsia="el-GR"/>
            </w:rPr>
          </w:pPr>
          <w:hyperlink w:anchor="_Toc36639187" w:history="1">
            <w:r w:rsidR="00DA2318" w:rsidRPr="007E6FE9">
              <w:rPr>
                <w:rStyle w:val="-"/>
                <w:noProof/>
              </w:rPr>
              <w:t>Ισχύουσα Κοινοτική Νομοθεσία</w:t>
            </w:r>
            <w:r w:rsidR="00DA2318">
              <w:rPr>
                <w:noProof/>
                <w:webHidden/>
              </w:rPr>
              <w:tab/>
            </w:r>
            <w:r w:rsidR="00DA2318">
              <w:rPr>
                <w:noProof/>
                <w:webHidden/>
              </w:rPr>
              <w:fldChar w:fldCharType="begin"/>
            </w:r>
            <w:r w:rsidR="00DA2318">
              <w:rPr>
                <w:noProof/>
                <w:webHidden/>
              </w:rPr>
              <w:instrText xml:space="preserve"> PAGEREF _Toc36639187 \h </w:instrText>
            </w:r>
            <w:r w:rsidR="00DA2318">
              <w:rPr>
                <w:noProof/>
                <w:webHidden/>
              </w:rPr>
            </w:r>
            <w:r w:rsidR="00DA2318">
              <w:rPr>
                <w:noProof/>
                <w:webHidden/>
              </w:rPr>
              <w:fldChar w:fldCharType="separate"/>
            </w:r>
            <w:r w:rsidR="00DA2318">
              <w:rPr>
                <w:noProof/>
                <w:webHidden/>
              </w:rPr>
              <w:t>15</w:t>
            </w:r>
            <w:r w:rsidR="00DA2318">
              <w:rPr>
                <w:noProof/>
                <w:webHidden/>
              </w:rPr>
              <w:fldChar w:fldCharType="end"/>
            </w:r>
          </w:hyperlink>
        </w:p>
        <w:p w14:paraId="68D36A96" w14:textId="30616E78" w:rsidR="00DA2318" w:rsidRDefault="00F267EF">
          <w:pPr>
            <w:pStyle w:val="30"/>
            <w:tabs>
              <w:tab w:val="right" w:leader="dot" w:pos="8778"/>
            </w:tabs>
            <w:rPr>
              <w:rFonts w:eastAsiaTheme="minorEastAsia" w:cstheme="minorBidi"/>
              <w:noProof/>
              <w:lang w:eastAsia="el-GR"/>
            </w:rPr>
          </w:pPr>
          <w:hyperlink w:anchor="_Toc36639188" w:history="1">
            <w:r w:rsidR="00DA2318" w:rsidRPr="007E6FE9">
              <w:rPr>
                <w:rStyle w:val="-"/>
                <w:noProof/>
              </w:rPr>
              <w:t>Έγγραφα καθοδήγησης της Ε. Επιτροπής που αφορούν στα Χρηματοοικονομικά Εργαλεία (</w:t>
            </w:r>
            <w:r w:rsidR="00DA2318" w:rsidRPr="007E6FE9">
              <w:rPr>
                <w:rStyle w:val="-"/>
                <w:noProof/>
                <w:lang w:val="en-US"/>
              </w:rPr>
              <w:t>FI</w:t>
            </w:r>
            <w:r w:rsidR="00DA2318" w:rsidRPr="007E6FE9">
              <w:rPr>
                <w:rStyle w:val="-"/>
                <w:noProof/>
              </w:rPr>
              <w:t>)</w:t>
            </w:r>
            <w:r w:rsidR="00DA2318">
              <w:rPr>
                <w:noProof/>
                <w:webHidden/>
              </w:rPr>
              <w:tab/>
            </w:r>
            <w:r w:rsidR="00DA2318">
              <w:rPr>
                <w:noProof/>
                <w:webHidden/>
              </w:rPr>
              <w:fldChar w:fldCharType="begin"/>
            </w:r>
            <w:r w:rsidR="00DA2318">
              <w:rPr>
                <w:noProof/>
                <w:webHidden/>
              </w:rPr>
              <w:instrText xml:space="preserve"> PAGEREF _Toc36639188 \h </w:instrText>
            </w:r>
            <w:r w:rsidR="00DA2318">
              <w:rPr>
                <w:noProof/>
                <w:webHidden/>
              </w:rPr>
            </w:r>
            <w:r w:rsidR="00DA2318">
              <w:rPr>
                <w:noProof/>
                <w:webHidden/>
              </w:rPr>
              <w:fldChar w:fldCharType="separate"/>
            </w:r>
            <w:r w:rsidR="00DA2318">
              <w:rPr>
                <w:noProof/>
                <w:webHidden/>
              </w:rPr>
              <w:t>21</w:t>
            </w:r>
            <w:r w:rsidR="00DA2318">
              <w:rPr>
                <w:noProof/>
                <w:webHidden/>
              </w:rPr>
              <w:fldChar w:fldCharType="end"/>
            </w:r>
          </w:hyperlink>
        </w:p>
        <w:p w14:paraId="11ACD8F5" w14:textId="57506465" w:rsidR="00DA2318" w:rsidRDefault="00F267EF">
          <w:pPr>
            <w:pStyle w:val="30"/>
            <w:tabs>
              <w:tab w:val="right" w:leader="dot" w:pos="8778"/>
            </w:tabs>
            <w:rPr>
              <w:rFonts w:eastAsiaTheme="minorEastAsia" w:cstheme="minorBidi"/>
              <w:noProof/>
              <w:lang w:eastAsia="el-GR"/>
            </w:rPr>
          </w:pPr>
          <w:hyperlink w:anchor="_Toc36639189" w:history="1">
            <w:r w:rsidR="00DA2318" w:rsidRPr="007E6FE9">
              <w:rPr>
                <w:rStyle w:val="-"/>
                <w:noProof/>
              </w:rPr>
              <w:t>Ισχύουσα Εθνική Νομοθεσία</w:t>
            </w:r>
            <w:r w:rsidR="00DA2318">
              <w:rPr>
                <w:noProof/>
                <w:webHidden/>
              </w:rPr>
              <w:tab/>
            </w:r>
            <w:r w:rsidR="00DA2318">
              <w:rPr>
                <w:noProof/>
                <w:webHidden/>
              </w:rPr>
              <w:fldChar w:fldCharType="begin"/>
            </w:r>
            <w:r w:rsidR="00DA2318">
              <w:rPr>
                <w:noProof/>
                <w:webHidden/>
              </w:rPr>
              <w:instrText xml:space="preserve"> PAGEREF _Toc36639189 \h </w:instrText>
            </w:r>
            <w:r w:rsidR="00DA2318">
              <w:rPr>
                <w:noProof/>
                <w:webHidden/>
              </w:rPr>
            </w:r>
            <w:r w:rsidR="00DA2318">
              <w:rPr>
                <w:noProof/>
                <w:webHidden/>
              </w:rPr>
              <w:fldChar w:fldCharType="separate"/>
            </w:r>
            <w:r w:rsidR="00DA2318">
              <w:rPr>
                <w:noProof/>
                <w:webHidden/>
              </w:rPr>
              <w:t>22</w:t>
            </w:r>
            <w:r w:rsidR="00DA2318">
              <w:rPr>
                <w:noProof/>
                <w:webHidden/>
              </w:rPr>
              <w:fldChar w:fldCharType="end"/>
            </w:r>
          </w:hyperlink>
        </w:p>
        <w:p w14:paraId="2F0BE807" w14:textId="6BA326F2" w:rsidR="00DA2318" w:rsidRDefault="00F267EF">
          <w:pPr>
            <w:pStyle w:val="30"/>
            <w:tabs>
              <w:tab w:val="right" w:leader="dot" w:pos="8778"/>
            </w:tabs>
            <w:rPr>
              <w:rFonts w:eastAsiaTheme="minorEastAsia" w:cstheme="minorBidi"/>
              <w:noProof/>
              <w:lang w:eastAsia="el-GR"/>
            </w:rPr>
          </w:pPr>
          <w:hyperlink w:anchor="_Toc36639190" w:history="1">
            <w:r w:rsidR="00DA2318" w:rsidRPr="007E6FE9">
              <w:rPr>
                <w:rStyle w:val="-"/>
                <w:noProof/>
              </w:rPr>
              <w:t>Εκπλήρωση Αιρεσιμότητας 4.1</w:t>
            </w:r>
            <w:r w:rsidR="00DA2318">
              <w:rPr>
                <w:noProof/>
                <w:webHidden/>
              </w:rPr>
              <w:tab/>
            </w:r>
            <w:r w:rsidR="00DA2318">
              <w:rPr>
                <w:noProof/>
                <w:webHidden/>
              </w:rPr>
              <w:fldChar w:fldCharType="begin"/>
            </w:r>
            <w:r w:rsidR="00DA2318">
              <w:rPr>
                <w:noProof/>
                <w:webHidden/>
              </w:rPr>
              <w:instrText xml:space="preserve"> PAGEREF _Toc36639190 \h </w:instrText>
            </w:r>
            <w:r w:rsidR="00DA2318">
              <w:rPr>
                <w:noProof/>
                <w:webHidden/>
              </w:rPr>
            </w:r>
            <w:r w:rsidR="00DA2318">
              <w:rPr>
                <w:noProof/>
                <w:webHidden/>
              </w:rPr>
              <w:fldChar w:fldCharType="separate"/>
            </w:r>
            <w:r w:rsidR="00DA2318">
              <w:rPr>
                <w:noProof/>
                <w:webHidden/>
              </w:rPr>
              <w:t>29</w:t>
            </w:r>
            <w:r w:rsidR="00DA2318">
              <w:rPr>
                <w:noProof/>
                <w:webHidden/>
              </w:rPr>
              <w:fldChar w:fldCharType="end"/>
            </w:r>
          </w:hyperlink>
        </w:p>
        <w:p w14:paraId="76D110C8" w14:textId="10C483E5" w:rsidR="00DA2318" w:rsidRDefault="00F267EF">
          <w:pPr>
            <w:pStyle w:val="30"/>
            <w:tabs>
              <w:tab w:val="right" w:leader="dot" w:pos="8778"/>
            </w:tabs>
            <w:rPr>
              <w:rFonts w:eastAsiaTheme="minorEastAsia" w:cstheme="minorBidi"/>
              <w:noProof/>
              <w:lang w:eastAsia="el-GR"/>
            </w:rPr>
          </w:pPr>
          <w:hyperlink w:anchor="_Toc36639191" w:history="1">
            <w:r w:rsidR="00DA2318" w:rsidRPr="007E6FE9">
              <w:rPr>
                <w:rStyle w:val="-"/>
                <w:noProof/>
              </w:rPr>
              <w:t>Εθνική και Ευρωπαϊκή Στοχοθεσία</w:t>
            </w:r>
            <w:r w:rsidR="00DA2318">
              <w:rPr>
                <w:noProof/>
                <w:webHidden/>
              </w:rPr>
              <w:tab/>
            </w:r>
            <w:r w:rsidR="00DA2318">
              <w:rPr>
                <w:noProof/>
                <w:webHidden/>
              </w:rPr>
              <w:fldChar w:fldCharType="begin"/>
            </w:r>
            <w:r w:rsidR="00DA2318">
              <w:rPr>
                <w:noProof/>
                <w:webHidden/>
              </w:rPr>
              <w:instrText xml:space="preserve"> PAGEREF _Toc36639191 \h </w:instrText>
            </w:r>
            <w:r w:rsidR="00DA2318">
              <w:rPr>
                <w:noProof/>
                <w:webHidden/>
              </w:rPr>
            </w:r>
            <w:r w:rsidR="00DA2318">
              <w:rPr>
                <w:noProof/>
                <w:webHidden/>
              </w:rPr>
              <w:fldChar w:fldCharType="separate"/>
            </w:r>
            <w:r w:rsidR="00DA2318">
              <w:rPr>
                <w:noProof/>
                <w:webHidden/>
              </w:rPr>
              <w:t>31</w:t>
            </w:r>
            <w:r w:rsidR="00DA2318">
              <w:rPr>
                <w:noProof/>
                <w:webHidden/>
              </w:rPr>
              <w:fldChar w:fldCharType="end"/>
            </w:r>
          </w:hyperlink>
        </w:p>
        <w:p w14:paraId="4D7DCA5B" w14:textId="4B46845D" w:rsidR="00DA2318" w:rsidRDefault="00F267EF">
          <w:pPr>
            <w:pStyle w:val="20"/>
            <w:tabs>
              <w:tab w:val="right" w:leader="dot" w:pos="8778"/>
            </w:tabs>
            <w:rPr>
              <w:rFonts w:eastAsiaTheme="minorEastAsia" w:cstheme="minorBidi"/>
              <w:noProof/>
              <w:lang w:eastAsia="el-GR"/>
            </w:rPr>
          </w:pPr>
          <w:hyperlink w:anchor="_Toc36639192" w:history="1">
            <w:r w:rsidR="00DA2318" w:rsidRPr="007E6FE9">
              <w:rPr>
                <w:rStyle w:val="-"/>
                <w:noProof/>
              </w:rPr>
              <w:t>Επιχειρησιακά Προγράμματα της Προγραμματικής Περιόδου 2014-2020</w:t>
            </w:r>
            <w:r w:rsidR="00DA2318">
              <w:rPr>
                <w:noProof/>
                <w:webHidden/>
              </w:rPr>
              <w:tab/>
            </w:r>
            <w:r w:rsidR="00DA2318">
              <w:rPr>
                <w:noProof/>
                <w:webHidden/>
              </w:rPr>
              <w:fldChar w:fldCharType="begin"/>
            </w:r>
            <w:r w:rsidR="00DA2318">
              <w:rPr>
                <w:noProof/>
                <w:webHidden/>
              </w:rPr>
              <w:instrText xml:space="preserve"> PAGEREF _Toc36639192 \h </w:instrText>
            </w:r>
            <w:r w:rsidR="00DA2318">
              <w:rPr>
                <w:noProof/>
                <w:webHidden/>
              </w:rPr>
            </w:r>
            <w:r w:rsidR="00DA2318">
              <w:rPr>
                <w:noProof/>
                <w:webHidden/>
              </w:rPr>
              <w:fldChar w:fldCharType="separate"/>
            </w:r>
            <w:r w:rsidR="00DA2318">
              <w:rPr>
                <w:noProof/>
                <w:webHidden/>
              </w:rPr>
              <w:t>34</w:t>
            </w:r>
            <w:r w:rsidR="00DA2318">
              <w:rPr>
                <w:noProof/>
                <w:webHidden/>
              </w:rPr>
              <w:fldChar w:fldCharType="end"/>
            </w:r>
          </w:hyperlink>
        </w:p>
        <w:p w14:paraId="6DC8EF14" w14:textId="0F488FC3" w:rsidR="00DA2318" w:rsidRDefault="00F267EF">
          <w:pPr>
            <w:pStyle w:val="30"/>
            <w:tabs>
              <w:tab w:val="right" w:leader="dot" w:pos="8778"/>
            </w:tabs>
            <w:rPr>
              <w:rFonts w:eastAsiaTheme="minorEastAsia" w:cstheme="minorBidi"/>
              <w:noProof/>
              <w:lang w:eastAsia="el-GR"/>
            </w:rPr>
          </w:pPr>
          <w:hyperlink w:anchor="_Toc36639193" w:history="1">
            <w:r w:rsidR="00DA2318" w:rsidRPr="007E6FE9">
              <w:rPr>
                <w:rStyle w:val="-"/>
                <w:noProof/>
              </w:rPr>
              <w:t>Στόχοι και προτεραιότητες του ΕΠΑνΕΚ 2014-2020 για την εξοικονόμηση ενέργειας στον τομέα της στέγασης</w:t>
            </w:r>
            <w:r w:rsidR="00DA2318">
              <w:rPr>
                <w:noProof/>
                <w:webHidden/>
              </w:rPr>
              <w:tab/>
            </w:r>
            <w:r w:rsidR="00DA2318">
              <w:rPr>
                <w:noProof/>
                <w:webHidden/>
              </w:rPr>
              <w:fldChar w:fldCharType="begin"/>
            </w:r>
            <w:r w:rsidR="00DA2318">
              <w:rPr>
                <w:noProof/>
                <w:webHidden/>
              </w:rPr>
              <w:instrText xml:space="preserve"> PAGEREF _Toc36639193 \h </w:instrText>
            </w:r>
            <w:r w:rsidR="00DA2318">
              <w:rPr>
                <w:noProof/>
                <w:webHidden/>
              </w:rPr>
            </w:r>
            <w:r w:rsidR="00DA2318">
              <w:rPr>
                <w:noProof/>
                <w:webHidden/>
              </w:rPr>
              <w:fldChar w:fldCharType="separate"/>
            </w:r>
            <w:r w:rsidR="00DA2318">
              <w:rPr>
                <w:noProof/>
                <w:webHidden/>
              </w:rPr>
              <w:t>35</w:t>
            </w:r>
            <w:r w:rsidR="00DA2318">
              <w:rPr>
                <w:noProof/>
                <w:webHidden/>
              </w:rPr>
              <w:fldChar w:fldCharType="end"/>
            </w:r>
          </w:hyperlink>
        </w:p>
        <w:p w14:paraId="5088D34B" w14:textId="3E966D23" w:rsidR="00DA2318" w:rsidRDefault="00F267EF">
          <w:pPr>
            <w:pStyle w:val="30"/>
            <w:tabs>
              <w:tab w:val="right" w:leader="dot" w:pos="8778"/>
            </w:tabs>
            <w:rPr>
              <w:rFonts w:eastAsiaTheme="minorEastAsia" w:cstheme="minorBidi"/>
              <w:noProof/>
              <w:lang w:eastAsia="el-GR"/>
            </w:rPr>
          </w:pPr>
          <w:hyperlink w:anchor="_Toc36639194" w:history="1">
            <w:r w:rsidR="00DA2318" w:rsidRPr="007E6FE9">
              <w:rPr>
                <w:rStyle w:val="-"/>
                <w:noProof/>
              </w:rPr>
              <w:t>Συνέργειες με Περιφερειακά Επιχειρησιακά Προγράμματα (ΠΕΠ)</w:t>
            </w:r>
            <w:r w:rsidR="00DA2318">
              <w:rPr>
                <w:noProof/>
                <w:webHidden/>
              </w:rPr>
              <w:tab/>
            </w:r>
            <w:r w:rsidR="00DA2318">
              <w:rPr>
                <w:noProof/>
                <w:webHidden/>
              </w:rPr>
              <w:fldChar w:fldCharType="begin"/>
            </w:r>
            <w:r w:rsidR="00DA2318">
              <w:rPr>
                <w:noProof/>
                <w:webHidden/>
              </w:rPr>
              <w:instrText xml:space="preserve"> PAGEREF _Toc36639194 \h </w:instrText>
            </w:r>
            <w:r w:rsidR="00DA2318">
              <w:rPr>
                <w:noProof/>
                <w:webHidden/>
              </w:rPr>
            </w:r>
            <w:r w:rsidR="00DA2318">
              <w:rPr>
                <w:noProof/>
                <w:webHidden/>
              </w:rPr>
              <w:fldChar w:fldCharType="separate"/>
            </w:r>
            <w:r w:rsidR="00DA2318">
              <w:rPr>
                <w:noProof/>
                <w:webHidden/>
              </w:rPr>
              <w:t>38</w:t>
            </w:r>
            <w:r w:rsidR="00DA2318">
              <w:rPr>
                <w:noProof/>
                <w:webHidden/>
              </w:rPr>
              <w:fldChar w:fldCharType="end"/>
            </w:r>
          </w:hyperlink>
        </w:p>
        <w:p w14:paraId="2C1EB5FF" w14:textId="0A856960" w:rsidR="00DA2318" w:rsidRDefault="00F267EF">
          <w:pPr>
            <w:pStyle w:val="30"/>
            <w:tabs>
              <w:tab w:val="right" w:leader="dot" w:pos="8778"/>
            </w:tabs>
            <w:rPr>
              <w:rFonts w:eastAsiaTheme="minorEastAsia" w:cstheme="minorBidi"/>
              <w:noProof/>
              <w:lang w:eastAsia="el-GR"/>
            </w:rPr>
          </w:pPr>
          <w:hyperlink w:anchor="_Toc36639195" w:history="1">
            <w:r w:rsidR="00DA2318" w:rsidRPr="007E6FE9">
              <w:rPr>
                <w:rStyle w:val="-"/>
                <w:noProof/>
              </w:rPr>
              <w:t>Συνέργειες με άλλα τομεακά Προγράμματα</w:t>
            </w:r>
            <w:r w:rsidR="00DA2318">
              <w:rPr>
                <w:noProof/>
                <w:webHidden/>
              </w:rPr>
              <w:tab/>
            </w:r>
            <w:r w:rsidR="00DA2318">
              <w:rPr>
                <w:noProof/>
                <w:webHidden/>
              </w:rPr>
              <w:fldChar w:fldCharType="begin"/>
            </w:r>
            <w:r w:rsidR="00DA2318">
              <w:rPr>
                <w:noProof/>
                <w:webHidden/>
              </w:rPr>
              <w:instrText xml:space="preserve"> PAGEREF _Toc36639195 \h </w:instrText>
            </w:r>
            <w:r w:rsidR="00DA2318">
              <w:rPr>
                <w:noProof/>
                <w:webHidden/>
              </w:rPr>
            </w:r>
            <w:r w:rsidR="00DA2318">
              <w:rPr>
                <w:noProof/>
                <w:webHidden/>
              </w:rPr>
              <w:fldChar w:fldCharType="separate"/>
            </w:r>
            <w:r w:rsidR="00DA2318">
              <w:rPr>
                <w:noProof/>
                <w:webHidden/>
              </w:rPr>
              <w:t>40</w:t>
            </w:r>
            <w:r w:rsidR="00DA2318">
              <w:rPr>
                <w:noProof/>
                <w:webHidden/>
              </w:rPr>
              <w:fldChar w:fldCharType="end"/>
            </w:r>
          </w:hyperlink>
        </w:p>
        <w:p w14:paraId="3138B1A2" w14:textId="6BE4D807" w:rsidR="00DA2318" w:rsidRDefault="00F267EF">
          <w:pPr>
            <w:pStyle w:val="30"/>
            <w:tabs>
              <w:tab w:val="right" w:leader="dot" w:pos="8778"/>
            </w:tabs>
            <w:rPr>
              <w:rFonts w:eastAsiaTheme="minorEastAsia" w:cstheme="minorBidi"/>
              <w:noProof/>
              <w:lang w:eastAsia="el-GR"/>
            </w:rPr>
          </w:pPr>
          <w:hyperlink w:anchor="_Toc36639196" w:history="1">
            <w:r w:rsidR="00DA2318" w:rsidRPr="007E6FE9">
              <w:rPr>
                <w:rStyle w:val="-"/>
                <w:noProof/>
              </w:rPr>
              <w:t>Σύστημα Διαχείρισης και Ελέγχου</w:t>
            </w:r>
            <w:r w:rsidR="00DA2318">
              <w:rPr>
                <w:noProof/>
                <w:webHidden/>
              </w:rPr>
              <w:tab/>
            </w:r>
            <w:r w:rsidR="00DA2318">
              <w:rPr>
                <w:noProof/>
                <w:webHidden/>
              </w:rPr>
              <w:fldChar w:fldCharType="begin"/>
            </w:r>
            <w:r w:rsidR="00DA2318">
              <w:rPr>
                <w:noProof/>
                <w:webHidden/>
              </w:rPr>
              <w:instrText xml:space="preserve"> PAGEREF _Toc36639196 \h </w:instrText>
            </w:r>
            <w:r w:rsidR="00DA2318">
              <w:rPr>
                <w:noProof/>
                <w:webHidden/>
              </w:rPr>
            </w:r>
            <w:r w:rsidR="00DA2318">
              <w:rPr>
                <w:noProof/>
                <w:webHidden/>
              </w:rPr>
              <w:fldChar w:fldCharType="separate"/>
            </w:r>
            <w:r w:rsidR="00DA2318">
              <w:rPr>
                <w:noProof/>
                <w:webHidden/>
              </w:rPr>
              <w:t>40</w:t>
            </w:r>
            <w:r w:rsidR="00DA2318">
              <w:rPr>
                <w:noProof/>
                <w:webHidden/>
              </w:rPr>
              <w:fldChar w:fldCharType="end"/>
            </w:r>
          </w:hyperlink>
        </w:p>
        <w:p w14:paraId="67035DF4" w14:textId="3CB7DE55" w:rsidR="00DA2318" w:rsidRDefault="00F267EF">
          <w:pPr>
            <w:pStyle w:val="10"/>
            <w:tabs>
              <w:tab w:val="right" w:leader="dot" w:pos="8778"/>
            </w:tabs>
            <w:rPr>
              <w:rFonts w:eastAsiaTheme="minorEastAsia" w:cstheme="minorBidi"/>
              <w:noProof/>
              <w:lang w:eastAsia="el-GR"/>
            </w:rPr>
          </w:pPr>
          <w:hyperlink w:anchor="_Toc36639197" w:history="1">
            <w:r w:rsidR="00DA2318" w:rsidRPr="007E6FE9">
              <w:rPr>
                <w:rStyle w:val="-"/>
                <w:noProof/>
              </w:rPr>
              <w:t>Αξιολόγηση Αγοράς</w:t>
            </w:r>
            <w:r w:rsidR="00DA2318">
              <w:rPr>
                <w:noProof/>
                <w:webHidden/>
              </w:rPr>
              <w:tab/>
            </w:r>
            <w:r w:rsidR="00DA2318">
              <w:rPr>
                <w:noProof/>
                <w:webHidden/>
              </w:rPr>
              <w:fldChar w:fldCharType="begin"/>
            </w:r>
            <w:r w:rsidR="00DA2318">
              <w:rPr>
                <w:noProof/>
                <w:webHidden/>
              </w:rPr>
              <w:instrText xml:space="preserve"> PAGEREF _Toc36639197 \h </w:instrText>
            </w:r>
            <w:r w:rsidR="00DA2318">
              <w:rPr>
                <w:noProof/>
                <w:webHidden/>
              </w:rPr>
            </w:r>
            <w:r w:rsidR="00DA2318">
              <w:rPr>
                <w:noProof/>
                <w:webHidden/>
              </w:rPr>
              <w:fldChar w:fldCharType="separate"/>
            </w:r>
            <w:r w:rsidR="00DA2318">
              <w:rPr>
                <w:noProof/>
                <w:webHidden/>
              </w:rPr>
              <w:t>45</w:t>
            </w:r>
            <w:r w:rsidR="00DA2318">
              <w:rPr>
                <w:noProof/>
                <w:webHidden/>
              </w:rPr>
              <w:fldChar w:fldCharType="end"/>
            </w:r>
          </w:hyperlink>
        </w:p>
        <w:p w14:paraId="07384C23" w14:textId="47A301BF" w:rsidR="00DA2318" w:rsidRDefault="00F267EF">
          <w:pPr>
            <w:pStyle w:val="30"/>
            <w:tabs>
              <w:tab w:val="right" w:leader="dot" w:pos="8778"/>
            </w:tabs>
            <w:rPr>
              <w:rFonts w:eastAsiaTheme="minorEastAsia" w:cstheme="minorBidi"/>
              <w:noProof/>
              <w:lang w:eastAsia="el-GR"/>
            </w:rPr>
          </w:pPr>
          <w:hyperlink w:anchor="_Toc36639198" w:history="1">
            <w:r w:rsidR="00DA2318" w:rsidRPr="007E6FE9">
              <w:rPr>
                <w:rStyle w:val="-"/>
                <w:rFonts w:eastAsia="Times New Roman"/>
                <w:noProof/>
                <w:lang w:eastAsia="el-GR"/>
              </w:rPr>
              <w:t>Βασικά χαρακτηριστικά και επιδόσεις του τομέα των κατασκευών</w:t>
            </w:r>
            <w:r w:rsidR="00DA2318">
              <w:rPr>
                <w:noProof/>
                <w:webHidden/>
              </w:rPr>
              <w:tab/>
            </w:r>
            <w:r w:rsidR="00DA2318">
              <w:rPr>
                <w:noProof/>
                <w:webHidden/>
              </w:rPr>
              <w:fldChar w:fldCharType="begin"/>
            </w:r>
            <w:r w:rsidR="00DA2318">
              <w:rPr>
                <w:noProof/>
                <w:webHidden/>
              </w:rPr>
              <w:instrText xml:space="preserve"> PAGEREF _Toc36639198 \h </w:instrText>
            </w:r>
            <w:r w:rsidR="00DA2318">
              <w:rPr>
                <w:noProof/>
                <w:webHidden/>
              </w:rPr>
            </w:r>
            <w:r w:rsidR="00DA2318">
              <w:rPr>
                <w:noProof/>
                <w:webHidden/>
              </w:rPr>
              <w:fldChar w:fldCharType="separate"/>
            </w:r>
            <w:r w:rsidR="00DA2318">
              <w:rPr>
                <w:noProof/>
                <w:webHidden/>
              </w:rPr>
              <w:t>45</w:t>
            </w:r>
            <w:r w:rsidR="00DA2318">
              <w:rPr>
                <w:noProof/>
                <w:webHidden/>
              </w:rPr>
              <w:fldChar w:fldCharType="end"/>
            </w:r>
          </w:hyperlink>
        </w:p>
        <w:p w14:paraId="15CD7CCF" w14:textId="4D6CF04E" w:rsidR="00DA2318" w:rsidRDefault="00F267EF">
          <w:pPr>
            <w:pStyle w:val="30"/>
            <w:tabs>
              <w:tab w:val="right" w:leader="dot" w:pos="8778"/>
            </w:tabs>
            <w:rPr>
              <w:rFonts w:eastAsiaTheme="minorEastAsia" w:cstheme="minorBidi"/>
              <w:noProof/>
              <w:lang w:eastAsia="el-GR"/>
            </w:rPr>
          </w:pPr>
          <w:hyperlink w:anchor="_Toc36639199" w:history="1">
            <w:r w:rsidR="00DA2318" w:rsidRPr="007E6FE9">
              <w:rPr>
                <w:rStyle w:val="-"/>
                <w:rFonts w:eastAsia="Times New Roman"/>
                <w:noProof/>
                <w:lang w:eastAsia="el-GR"/>
              </w:rPr>
              <w:t>Συνολική συμβολή της κατασκευαστικής δραστηριότητας στην ελληνική οικονομία</w:t>
            </w:r>
            <w:r w:rsidR="00DA2318">
              <w:rPr>
                <w:noProof/>
                <w:webHidden/>
              </w:rPr>
              <w:tab/>
            </w:r>
            <w:r w:rsidR="00DA2318">
              <w:rPr>
                <w:noProof/>
                <w:webHidden/>
              </w:rPr>
              <w:fldChar w:fldCharType="begin"/>
            </w:r>
            <w:r w:rsidR="00DA2318">
              <w:rPr>
                <w:noProof/>
                <w:webHidden/>
              </w:rPr>
              <w:instrText xml:space="preserve"> PAGEREF _Toc36639199 \h </w:instrText>
            </w:r>
            <w:r w:rsidR="00DA2318">
              <w:rPr>
                <w:noProof/>
                <w:webHidden/>
              </w:rPr>
            </w:r>
            <w:r w:rsidR="00DA2318">
              <w:rPr>
                <w:noProof/>
                <w:webHidden/>
              </w:rPr>
              <w:fldChar w:fldCharType="separate"/>
            </w:r>
            <w:r w:rsidR="00DA2318">
              <w:rPr>
                <w:noProof/>
                <w:webHidden/>
              </w:rPr>
              <w:t>47</w:t>
            </w:r>
            <w:r w:rsidR="00DA2318">
              <w:rPr>
                <w:noProof/>
                <w:webHidden/>
              </w:rPr>
              <w:fldChar w:fldCharType="end"/>
            </w:r>
          </w:hyperlink>
        </w:p>
        <w:p w14:paraId="0739DD7B" w14:textId="0D8F8060" w:rsidR="00DA2318" w:rsidRDefault="00F267EF">
          <w:pPr>
            <w:pStyle w:val="30"/>
            <w:tabs>
              <w:tab w:val="right" w:leader="dot" w:pos="8778"/>
            </w:tabs>
            <w:rPr>
              <w:rFonts w:eastAsiaTheme="minorEastAsia" w:cstheme="minorBidi"/>
              <w:noProof/>
              <w:lang w:eastAsia="el-GR"/>
            </w:rPr>
          </w:pPr>
          <w:hyperlink w:anchor="_Toc36639200" w:history="1">
            <w:r w:rsidR="00DA2318" w:rsidRPr="007E6FE9">
              <w:rPr>
                <w:rStyle w:val="-"/>
                <w:noProof/>
              </w:rPr>
              <w:t>Χαρακτηριστικά αποθέματος κτιρίων</w:t>
            </w:r>
            <w:r w:rsidR="00DA2318">
              <w:rPr>
                <w:noProof/>
                <w:webHidden/>
              </w:rPr>
              <w:tab/>
            </w:r>
            <w:r w:rsidR="00DA2318">
              <w:rPr>
                <w:noProof/>
                <w:webHidden/>
              </w:rPr>
              <w:fldChar w:fldCharType="begin"/>
            </w:r>
            <w:r w:rsidR="00DA2318">
              <w:rPr>
                <w:noProof/>
                <w:webHidden/>
              </w:rPr>
              <w:instrText xml:space="preserve"> PAGEREF _Toc36639200 \h </w:instrText>
            </w:r>
            <w:r w:rsidR="00DA2318">
              <w:rPr>
                <w:noProof/>
                <w:webHidden/>
              </w:rPr>
            </w:r>
            <w:r w:rsidR="00DA2318">
              <w:rPr>
                <w:noProof/>
                <w:webHidden/>
              </w:rPr>
              <w:fldChar w:fldCharType="separate"/>
            </w:r>
            <w:r w:rsidR="00DA2318">
              <w:rPr>
                <w:noProof/>
                <w:webHidden/>
              </w:rPr>
              <w:t>47</w:t>
            </w:r>
            <w:r w:rsidR="00DA2318">
              <w:rPr>
                <w:noProof/>
                <w:webHidden/>
              </w:rPr>
              <w:fldChar w:fldCharType="end"/>
            </w:r>
          </w:hyperlink>
        </w:p>
        <w:p w14:paraId="51F267B6" w14:textId="4370E674" w:rsidR="00DA2318" w:rsidRDefault="00F267EF">
          <w:pPr>
            <w:pStyle w:val="30"/>
            <w:tabs>
              <w:tab w:val="right" w:leader="dot" w:pos="8778"/>
            </w:tabs>
            <w:rPr>
              <w:rFonts w:eastAsiaTheme="minorEastAsia" w:cstheme="minorBidi"/>
              <w:noProof/>
              <w:lang w:eastAsia="el-GR"/>
            </w:rPr>
          </w:pPr>
          <w:hyperlink w:anchor="_Toc36639201" w:history="1">
            <w:r w:rsidR="00DA2318" w:rsidRPr="007E6FE9">
              <w:rPr>
                <w:rStyle w:val="-"/>
                <w:noProof/>
              </w:rPr>
              <w:t>Χρήση και κατανάλωση ενέργειας στις κατοικίες, κατάταξη κατά κατηγορία ενεργειακής απόδοσης.</w:t>
            </w:r>
            <w:r w:rsidR="00DA2318">
              <w:rPr>
                <w:noProof/>
                <w:webHidden/>
              </w:rPr>
              <w:tab/>
            </w:r>
            <w:r w:rsidR="00DA2318">
              <w:rPr>
                <w:noProof/>
                <w:webHidden/>
              </w:rPr>
              <w:fldChar w:fldCharType="begin"/>
            </w:r>
            <w:r w:rsidR="00DA2318">
              <w:rPr>
                <w:noProof/>
                <w:webHidden/>
              </w:rPr>
              <w:instrText xml:space="preserve"> PAGEREF _Toc36639201 \h </w:instrText>
            </w:r>
            <w:r w:rsidR="00DA2318">
              <w:rPr>
                <w:noProof/>
                <w:webHidden/>
              </w:rPr>
            </w:r>
            <w:r w:rsidR="00DA2318">
              <w:rPr>
                <w:noProof/>
                <w:webHidden/>
              </w:rPr>
              <w:fldChar w:fldCharType="separate"/>
            </w:r>
            <w:r w:rsidR="00DA2318">
              <w:rPr>
                <w:noProof/>
                <w:webHidden/>
              </w:rPr>
              <w:t>51</w:t>
            </w:r>
            <w:r w:rsidR="00DA2318">
              <w:rPr>
                <w:noProof/>
                <w:webHidden/>
              </w:rPr>
              <w:fldChar w:fldCharType="end"/>
            </w:r>
          </w:hyperlink>
        </w:p>
        <w:p w14:paraId="5B819B84" w14:textId="26D0AAC5" w:rsidR="00DA2318" w:rsidRDefault="00F267EF">
          <w:pPr>
            <w:pStyle w:val="30"/>
            <w:tabs>
              <w:tab w:val="right" w:leader="dot" w:pos="8778"/>
            </w:tabs>
            <w:rPr>
              <w:rFonts w:eastAsiaTheme="minorEastAsia" w:cstheme="minorBidi"/>
              <w:noProof/>
              <w:lang w:eastAsia="el-GR"/>
            </w:rPr>
          </w:pPr>
          <w:hyperlink w:anchor="_Toc36639202" w:history="1">
            <w:r w:rsidR="00DA2318" w:rsidRPr="007E6FE9">
              <w:rPr>
                <w:rStyle w:val="-"/>
                <w:noProof/>
              </w:rPr>
              <w:t>Καταναλώσεις ενέργειας</w:t>
            </w:r>
            <w:r w:rsidR="00DA2318">
              <w:rPr>
                <w:noProof/>
                <w:webHidden/>
              </w:rPr>
              <w:tab/>
            </w:r>
            <w:r w:rsidR="00DA2318">
              <w:rPr>
                <w:noProof/>
                <w:webHidden/>
              </w:rPr>
              <w:fldChar w:fldCharType="begin"/>
            </w:r>
            <w:r w:rsidR="00DA2318">
              <w:rPr>
                <w:noProof/>
                <w:webHidden/>
              </w:rPr>
              <w:instrText xml:space="preserve"> PAGEREF _Toc36639202 \h </w:instrText>
            </w:r>
            <w:r w:rsidR="00DA2318">
              <w:rPr>
                <w:noProof/>
                <w:webHidden/>
              </w:rPr>
            </w:r>
            <w:r w:rsidR="00DA2318">
              <w:rPr>
                <w:noProof/>
                <w:webHidden/>
              </w:rPr>
              <w:fldChar w:fldCharType="separate"/>
            </w:r>
            <w:r w:rsidR="00DA2318">
              <w:rPr>
                <w:noProof/>
                <w:webHidden/>
              </w:rPr>
              <w:t>53</w:t>
            </w:r>
            <w:r w:rsidR="00DA2318">
              <w:rPr>
                <w:noProof/>
                <w:webHidden/>
              </w:rPr>
              <w:fldChar w:fldCharType="end"/>
            </w:r>
          </w:hyperlink>
        </w:p>
        <w:p w14:paraId="1637EE19" w14:textId="57EF7853" w:rsidR="00DA2318" w:rsidRDefault="00F267EF">
          <w:pPr>
            <w:pStyle w:val="20"/>
            <w:tabs>
              <w:tab w:val="right" w:leader="dot" w:pos="8778"/>
            </w:tabs>
            <w:rPr>
              <w:rFonts w:eastAsiaTheme="minorEastAsia" w:cstheme="minorBidi"/>
              <w:noProof/>
              <w:lang w:eastAsia="el-GR"/>
            </w:rPr>
          </w:pPr>
          <w:hyperlink w:anchor="_Toc36639203" w:history="1">
            <w:r w:rsidR="00DA2318" w:rsidRPr="007E6FE9">
              <w:rPr>
                <w:rStyle w:val="-"/>
                <w:noProof/>
              </w:rPr>
              <w:t>Προσδιορισμός προβλημάτων της Αγοράς</w:t>
            </w:r>
            <w:r w:rsidR="00DA2318">
              <w:rPr>
                <w:noProof/>
                <w:webHidden/>
              </w:rPr>
              <w:tab/>
            </w:r>
            <w:r w:rsidR="00DA2318">
              <w:rPr>
                <w:noProof/>
                <w:webHidden/>
              </w:rPr>
              <w:fldChar w:fldCharType="begin"/>
            </w:r>
            <w:r w:rsidR="00DA2318">
              <w:rPr>
                <w:noProof/>
                <w:webHidden/>
              </w:rPr>
              <w:instrText xml:space="preserve"> PAGEREF _Toc36639203 \h </w:instrText>
            </w:r>
            <w:r w:rsidR="00DA2318">
              <w:rPr>
                <w:noProof/>
                <w:webHidden/>
              </w:rPr>
            </w:r>
            <w:r w:rsidR="00DA2318">
              <w:rPr>
                <w:noProof/>
                <w:webHidden/>
              </w:rPr>
              <w:fldChar w:fldCharType="separate"/>
            </w:r>
            <w:r w:rsidR="00DA2318">
              <w:rPr>
                <w:noProof/>
                <w:webHidden/>
              </w:rPr>
              <w:t>56</w:t>
            </w:r>
            <w:r w:rsidR="00DA2318">
              <w:rPr>
                <w:noProof/>
                <w:webHidden/>
              </w:rPr>
              <w:fldChar w:fldCharType="end"/>
            </w:r>
          </w:hyperlink>
        </w:p>
        <w:p w14:paraId="7AB5F212" w14:textId="07D88B69" w:rsidR="00DA2318" w:rsidRDefault="00F267EF">
          <w:pPr>
            <w:pStyle w:val="30"/>
            <w:tabs>
              <w:tab w:val="right" w:leader="dot" w:pos="8778"/>
            </w:tabs>
            <w:rPr>
              <w:rFonts w:eastAsiaTheme="minorEastAsia" w:cstheme="minorBidi"/>
              <w:noProof/>
              <w:lang w:eastAsia="el-GR"/>
            </w:rPr>
          </w:pPr>
          <w:hyperlink w:anchor="_Toc36639204" w:history="1">
            <w:r w:rsidR="00DA2318" w:rsidRPr="007E6FE9">
              <w:rPr>
                <w:rStyle w:val="-"/>
                <w:noProof/>
              </w:rPr>
              <w:t>Μείωση εισοδημάτων – Αλλαγή καταναλωτικών προτύπων</w:t>
            </w:r>
            <w:r w:rsidR="00DA2318">
              <w:rPr>
                <w:noProof/>
                <w:webHidden/>
              </w:rPr>
              <w:tab/>
            </w:r>
            <w:r w:rsidR="00DA2318">
              <w:rPr>
                <w:noProof/>
                <w:webHidden/>
              </w:rPr>
              <w:fldChar w:fldCharType="begin"/>
            </w:r>
            <w:r w:rsidR="00DA2318">
              <w:rPr>
                <w:noProof/>
                <w:webHidden/>
              </w:rPr>
              <w:instrText xml:space="preserve"> PAGEREF _Toc36639204 \h </w:instrText>
            </w:r>
            <w:r w:rsidR="00DA2318">
              <w:rPr>
                <w:noProof/>
                <w:webHidden/>
              </w:rPr>
            </w:r>
            <w:r w:rsidR="00DA2318">
              <w:rPr>
                <w:noProof/>
                <w:webHidden/>
              </w:rPr>
              <w:fldChar w:fldCharType="separate"/>
            </w:r>
            <w:r w:rsidR="00DA2318">
              <w:rPr>
                <w:noProof/>
                <w:webHidden/>
              </w:rPr>
              <w:t>57</w:t>
            </w:r>
            <w:r w:rsidR="00DA2318">
              <w:rPr>
                <w:noProof/>
                <w:webHidden/>
              </w:rPr>
              <w:fldChar w:fldCharType="end"/>
            </w:r>
          </w:hyperlink>
        </w:p>
        <w:p w14:paraId="31149733" w14:textId="5D4DE7EA" w:rsidR="00DA2318" w:rsidRDefault="00F267EF">
          <w:pPr>
            <w:pStyle w:val="30"/>
            <w:tabs>
              <w:tab w:val="right" w:leader="dot" w:pos="8778"/>
            </w:tabs>
            <w:rPr>
              <w:rFonts w:eastAsiaTheme="minorEastAsia" w:cstheme="minorBidi"/>
              <w:noProof/>
              <w:lang w:eastAsia="el-GR"/>
            </w:rPr>
          </w:pPr>
          <w:hyperlink w:anchor="_Toc36639205" w:history="1">
            <w:r w:rsidR="00DA2318" w:rsidRPr="007E6FE9">
              <w:rPr>
                <w:rStyle w:val="-"/>
                <w:noProof/>
              </w:rPr>
              <w:t>Επιδείνωση συνθηκών πρόσβασης σε τραπεζικά κεφάλαια.</w:t>
            </w:r>
            <w:r w:rsidR="00DA2318">
              <w:rPr>
                <w:noProof/>
                <w:webHidden/>
              </w:rPr>
              <w:tab/>
            </w:r>
            <w:r w:rsidR="00DA2318">
              <w:rPr>
                <w:noProof/>
                <w:webHidden/>
              </w:rPr>
              <w:fldChar w:fldCharType="begin"/>
            </w:r>
            <w:r w:rsidR="00DA2318">
              <w:rPr>
                <w:noProof/>
                <w:webHidden/>
              </w:rPr>
              <w:instrText xml:space="preserve"> PAGEREF _Toc36639205 \h </w:instrText>
            </w:r>
            <w:r w:rsidR="00DA2318">
              <w:rPr>
                <w:noProof/>
                <w:webHidden/>
              </w:rPr>
            </w:r>
            <w:r w:rsidR="00DA2318">
              <w:rPr>
                <w:noProof/>
                <w:webHidden/>
              </w:rPr>
              <w:fldChar w:fldCharType="separate"/>
            </w:r>
            <w:r w:rsidR="00DA2318">
              <w:rPr>
                <w:noProof/>
                <w:webHidden/>
              </w:rPr>
              <w:t>59</w:t>
            </w:r>
            <w:r w:rsidR="00DA2318">
              <w:rPr>
                <w:noProof/>
                <w:webHidden/>
              </w:rPr>
              <w:fldChar w:fldCharType="end"/>
            </w:r>
          </w:hyperlink>
        </w:p>
        <w:p w14:paraId="7DF94056" w14:textId="49A25880" w:rsidR="00DA2318" w:rsidRDefault="00F267EF">
          <w:pPr>
            <w:pStyle w:val="30"/>
            <w:tabs>
              <w:tab w:val="right" w:leader="dot" w:pos="8778"/>
            </w:tabs>
            <w:rPr>
              <w:rFonts w:eastAsiaTheme="minorEastAsia" w:cstheme="minorBidi"/>
              <w:noProof/>
              <w:lang w:eastAsia="el-GR"/>
            </w:rPr>
          </w:pPr>
          <w:hyperlink w:anchor="_Toc36639206" w:history="1">
            <w:r w:rsidR="00DA2318" w:rsidRPr="007E6FE9">
              <w:rPr>
                <w:rStyle w:val="-"/>
                <w:noProof/>
              </w:rPr>
              <w:t>Θεσμικό πλαίσιο προστασίας της πρώτης κατοικίας</w:t>
            </w:r>
            <w:r w:rsidR="00DA2318">
              <w:rPr>
                <w:noProof/>
                <w:webHidden/>
              </w:rPr>
              <w:tab/>
            </w:r>
            <w:r w:rsidR="00DA2318">
              <w:rPr>
                <w:noProof/>
                <w:webHidden/>
              </w:rPr>
              <w:fldChar w:fldCharType="begin"/>
            </w:r>
            <w:r w:rsidR="00DA2318">
              <w:rPr>
                <w:noProof/>
                <w:webHidden/>
              </w:rPr>
              <w:instrText xml:space="preserve"> PAGEREF _Toc36639206 \h </w:instrText>
            </w:r>
            <w:r w:rsidR="00DA2318">
              <w:rPr>
                <w:noProof/>
                <w:webHidden/>
              </w:rPr>
            </w:r>
            <w:r w:rsidR="00DA2318">
              <w:rPr>
                <w:noProof/>
                <w:webHidden/>
              </w:rPr>
              <w:fldChar w:fldCharType="separate"/>
            </w:r>
            <w:r w:rsidR="00DA2318">
              <w:rPr>
                <w:noProof/>
                <w:webHidden/>
              </w:rPr>
              <w:t>61</w:t>
            </w:r>
            <w:r w:rsidR="00DA2318">
              <w:rPr>
                <w:noProof/>
                <w:webHidden/>
              </w:rPr>
              <w:fldChar w:fldCharType="end"/>
            </w:r>
          </w:hyperlink>
        </w:p>
        <w:p w14:paraId="5E262803" w14:textId="45FB6215" w:rsidR="00DA2318" w:rsidRDefault="00F267EF">
          <w:pPr>
            <w:pStyle w:val="30"/>
            <w:tabs>
              <w:tab w:val="right" w:leader="dot" w:pos="8778"/>
            </w:tabs>
            <w:rPr>
              <w:rFonts w:eastAsiaTheme="minorEastAsia" w:cstheme="minorBidi"/>
              <w:noProof/>
              <w:lang w:eastAsia="el-GR"/>
            </w:rPr>
          </w:pPr>
          <w:hyperlink w:anchor="_Toc36639207" w:history="1">
            <w:r w:rsidR="00DA2318" w:rsidRPr="007E6FE9">
              <w:rPr>
                <w:rStyle w:val="-"/>
                <w:noProof/>
              </w:rPr>
              <w:t>Η περιβαλλοντική υποβάθμιση – ενεργειακή φτώχεια</w:t>
            </w:r>
            <w:r w:rsidR="00DA2318">
              <w:rPr>
                <w:noProof/>
                <w:webHidden/>
              </w:rPr>
              <w:tab/>
            </w:r>
            <w:r w:rsidR="00DA2318">
              <w:rPr>
                <w:noProof/>
                <w:webHidden/>
              </w:rPr>
              <w:fldChar w:fldCharType="begin"/>
            </w:r>
            <w:r w:rsidR="00DA2318">
              <w:rPr>
                <w:noProof/>
                <w:webHidden/>
              </w:rPr>
              <w:instrText xml:space="preserve"> PAGEREF _Toc36639207 \h </w:instrText>
            </w:r>
            <w:r w:rsidR="00DA2318">
              <w:rPr>
                <w:noProof/>
                <w:webHidden/>
              </w:rPr>
            </w:r>
            <w:r w:rsidR="00DA2318">
              <w:rPr>
                <w:noProof/>
                <w:webHidden/>
              </w:rPr>
              <w:fldChar w:fldCharType="separate"/>
            </w:r>
            <w:r w:rsidR="00DA2318">
              <w:rPr>
                <w:noProof/>
                <w:webHidden/>
              </w:rPr>
              <w:t>62</w:t>
            </w:r>
            <w:r w:rsidR="00DA2318">
              <w:rPr>
                <w:noProof/>
                <w:webHidden/>
              </w:rPr>
              <w:fldChar w:fldCharType="end"/>
            </w:r>
          </w:hyperlink>
        </w:p>
        <w:p w14:paraId="78D9F632" w14:textId="2C0598B1" w:rsidR="00DA2318" w:rsidRDefault="00F267EF">
          <w:pPr>
            <w:pStyle w:val="30"/>
            <w:tabs>
              <w:tab w:val="right" w:leader="dot" w:pos="8778"/>
            </w:tabs>
            <w:rPr>
              <w:rFonts w:eastAsiaTheme="minorEastAsia" w:cstheme="minorBidi"/>
              <w:noProof/>
              <w:lang w:eastAsia="el-GR"/>
            </w:rPr>
          </w:pPr>
          <w:hyperlink w:anchor="_Toc36639208" w:history="1">
            <w:r w:rsidR="00DA2318" w:rsidRPr="007E6FE9">
              <w:rPr>
                <w:rStyle w:val="-"/>
                <w:noProof/>
              </w:rPr>
              <w:t>Ανεπάρκεια στο συντονισμό - Απόκλιση κινήτρων</w:t>
            </w:r>
            <w:r w:rsidR="00DA2318">
              <w:rPr>
                <w:noProof/>
                <w:webHidden/>
              </w:rPr>
              <w:tab/>
            </w:r>
            <w:r w:rsidR="00DA2318">
              <w:rPr>
                <w:noProof/>
                <w:webHidden/>
              </w:rPr>
              <w:fldChar w:fldCharType="begin"/>
            </w:r>
            <w:r w:rsidR="00DA2318">
              <w:rPr>
                <w:noProof/>
                <w:webHidden/>
              </w:rPr>
              <w:instrText xml:space="preserve"> PAGEREF _Toc36639208 \h </w:instrText>
            </w:r>
            <w:r w:rsidR="00DA2318">
              <w:rPr>
                <w:noProof/>
                <w:webHidden/>
              </w:rPr>
            </w:r>
            <w:r w:rsidR="00DA2318">
              <w:rPr>
                <w:noProof/>
                <w:webHidden/>
              </w:rPr>
              <w:fldChar w:fldCharType="separate"/>
            </w:r>
            <w:r w:rsidR="00DA2318">
              <w:rPr>
                <w:noProof/>
                <w:webHidden/>
              </w:rPr>
              <w:t>63</w:t>
            </w:r>
            <w:r w:rsidR="00DA2318">
              <w:rPr>
                <w:noProof/>
                <w:webHidden/>
              </w:rPr>
              <w:fldChar w:fldCharType="end"/>
            </w:r>
          </w:hyperlink>
        </w:p>
        <w:p w14:paraId="5CC6C6B6" w14:textId="026A68F2" w:rsidR="00DA2318" w:rsidRDefault="00F267EF">
          <w:pPr>
            <w:pStyle w:val="30"/>
            <w:tabs>
              <w:tab w:val="right" w:leader="dot" w:pos="8778"/>
            </w:tabs>
            <w:rPr>
              <w:rFonts w:eastAsiaTheme="minorEastAsia" w:cstheme="minorBidi"/>
              <w:noProof/>
              <w:lang w:eastAsia="el-GR"/>
            </w:rPr>
          </w:pPr>
          <w:hyperlink w:anchor="_Toc36639209" w:history="1">
            <w:r w:rsidR="00DA2318" w:rsidRPr="007E6FE9">
              <w:rPr>
                <w:rStyle w:val="-"/>
                <w:noProof/>
              </w:rPr>
              <w:t>Περιορισμένη πρόσβαση σε πηγές χρηματοδότησης.</w:t>
            </w:r>
            <w:r w:rsidR="00DA2318">
              <w:rPr>
                <w:noProof/>
                <w:webHidden/>
              </w:rPr>
              <w:tab/>
            </w:r>
            <w:r w:rsidR="00DA2318">
              <w:rPr>
                <w:noProof/>
                <w:webHidden/>
              </w:rPr>
              <w:fldChar w:fldCharType="begin"/>
            </w:r>
            <w:r w:rsidR="00DA2318">
              <w:rPr>
                <w:noProof/>
                <w:webHidden/>
              </w:rPr>
              <w:instrText xml:space="preserve"> PAGEREF _Toc36639209 \h </w:instrText>
            </w:r>
            <w:r w:rsidR="00DA2318">
              <w:rPr>
                <w:noProof/>
                <w:webHidden/>
              </w:rPr>
            </w:r>
            <w:r w:rsidR="00DA2318">
              <w:rPr>
                <w:noProof/>
                <w:webHidden/>
              </w:rPr>
              <w:fldChar w:fldCharType="separate"/>
            </w:r>
            <w:r w:rsidR="00DA2318">
              <w:rPr>
                <w:noProof/>
                <w:webHidden/>
              </w:rPr>
              <w:t>64</w:t>
            </w:r>
            <w:r w:rsidR="00DA2318">
              <w:rPr>
                <w:noProof/>
                <w:webHidden/>
              </w:rPr>
              <w:fldChar w:fldCharType="end"/>
            </w:r>
          </w:hyperlink>
        </w:p>
        <w:p w14:paraId="50C21958" w14:textId="19033574" w:rsidR="00DA2318" w:rsidRDefault="00F267EF">
          <w:pPr>
            <w:pStyle w:val="20"/>
            <w:tabs>
              <w:tab w:val="right" w:leader="dot" w:pos="8778"/>
            </w:tabs>
            <w:rPr>
              <w:rFonts w:eastAsiaTheme="minorEastAsia" w:cstheme="minorBidi"/>
              <w:noProof/>
              <w:lang w:eastAsia="el-GR"/>
            </w:rPr>
          </w:pPr>
          <w:hyperlink w:anchor="_Toc36639210" w:history="1">
            <w:r w:rsidR="00DA2318" w:rsidRPr="007E6FE9">
              <w:rPr>
                <w:rStyle w:val="-"/>
                <w:noProof/>
              </w:rPr>
              <w:t>Τεκμηρίωση των αστοχιών της αγοράς</w:t>
            </w:r>
            <w:r w:rsidR="00DA2318">
              <w:rPr>
                <w:noProof/>
                <w:webHidden/>
              </w:rPr>
              <w:tab/>
            </w:r>
            <w:r w:rsidR="00DA2318">
              <w:rPr>
                <w:noProof/>
                <w:webHidden/>
              </w:rPr>
              <w:fldChar w:fldCharType="begin"/>
            </w:r>
            <w:r w:rsidR="00DA2318">
              <w:rPr>
                <w:noProof/>
                <w:webHidden/>
              </w:rPr>
              <w:instrText xml:space="preserve"> PAGEREF _Toc36639210 \h </w:instrText>
            </w:r>
            <w:r w:rsidR="00DA2318">
              <w:rPr>
                <w:noProof/>
                <w:webHidden/>
              </w:rPr>
            </w:r>
            <w:r w:rsidR="00DA2318">
              <w:rPr>
                <w:noProof/>
                <w:webHidden/>
              </w:rPr>
              <w:fldChar w:fldCharType="separate"/>
            </w:r>
            <w:r w:rsidR="00DA2318">
              <w:rPr>
                <w:noProof/>
                <w:webHidden/>
              </w:rPr>
              <w:t>64</w:t>
            </w:r>
            <w:r w:rsidR="00DA2318">
              <w:rPr>
                <w:noProof/>
                <w:webHidden/>
              </w:rPr>
              <w:fldChar w:fldCharType="end"/>
            </w:r>
          </w:hyperlink>
        </w:p>
        <w:p w14:paraId="41532E05" w14:textId="77AB175B" w:rsidR="00DA2318" w:rsidRDefault="00F267EF">
          <w:pPr>
            <w:pStyle w:val="30"/>
            <w:tabs>
              <w:tab w:val="right" w:leader="dot" w:pos="8778"/>
            </w:tabs>
            <w:rPr>
              <w:rFonts w:eastAsiaTheme="minorEastAsia" w:cstheme="minorBidi"/>
              <w:noProof/>
              <w:lang w:eastAsia="el-GR"/>
            </w:rPr>
          </w:pPr>
          <w:hyperlink w:anchor="_Toc36639211" w:history="1">
            <w:r w:rsidR="00DA2318" w:rsidRPr="007E6FE9">
              <w:rPr>
                <w:rStyle w:val="-"/>
                <w:noProof/>
              </w:rPr>
              <w:t>Ανάλυση Ζήτησης</w:t>
            </w:r>
            <w:r w:rsidR="00DA2318">
              <w:rPr>
                <w:noProof/>
                <w:webHidden/>
              </w:rPr>
              <w:tab/>
            </w:r>
            <w:r w:rsidR="00DA2318">
              <w:rPr>
                <w:noProof/>
                <w:webHidden/>
              </w:rPr>
              <w:fldChar w:fldCharType="begin"/>
            </w:r>
            <w:r w:rsidR="00DA2318">
              <w:rPr>
                <w:noProof/>
                <w:webHidden/>
              </w:rPr>
              <w:instrText xml:space="preserve"> PAGEREF _Toc36639211 \h </w:instrText>
            </w:r>
            <w:r w:rsidR="00DA2318">
              <w:rPr>
                <w:noProof/>
                <w:webHidden/>
              </w:rPr>
            </w:r>
            <w:r w:rsidR="00DA2318">
              <w:rPr>
                <w:noProof/>
                <w:webHidden/>
              </w:rPr>
              <w:fldChar w:fldCharType="separate"/>
            </w:r>
            <w:r w:rsidR="00DA2318">
              <w:rPr>
                <w:noProof/>
                <w:webHidden/>
              </w:rPr>
              <w:t>64</w:t>
            </w:r>
            <w:r w:rsidR="00DA2318">
              <w:rPr>
                <w:noProof/>
                <w:webHidden/>
              </w:rPr>
              <w:fldChar w:fldCharType="end"/>
            </w:r>
          </w:hyperlink>
        </w:p>
        <w:p w14:paraId="2F19429F" w14:textId="0A3628CE" w:rsidR="00DA2318" w:rsidRDefault="00F267EF">
          <w:pPr>
            <w:pStyle w:val="30"/>
            <w:tabs>
              <w:tab w:val="right" w:leader="dot" w:pos="8778"/>
            </w:tabs>
            <w:rPr>
              <w:rFonts w:eastAsiaTheme="minorEastAsia" w:cstheme="minorBidi"/>
              <w:noProof/>
              <w:lang w:eastAsia="el-GR"/>
            </w:rPr>
          </w:pPr>
          <w:hyperlink w:anchor="_Toc36639212" w:history="1">
            <w:r w:rsidR="00DA2318" w:rsidRPr="007E6FE9">
              <w:rPr>
                <w:rStyle w:val="-"/>
                <w:noProof/>
              </w:rPr>
              <w:t>Ανάλυση Προσφοράς</w:t>
            </w:r>
            <w:r w:rsidR="00DA2318">
              <w:rPr>
                <w:noProof/>
                <w:webHidden/>
              </w:rPr>
              <w:tab/>
            </w:r>
            <w:r w:rsidR="00DA2318">
              <w:rPr>
                <w:noProof/>
                <w:webHidden/>
              </w:rPr>
              <w:fldChar w:fldCharType="begin"/>
            </w:r>
            <w:r w:rsidR="00DA2318">
              <w:rPr>
                <w:noProof/>
                <w:webHidden/>
              </w:rPr>
              <w:instrText xml:space="preserve"> PAGEREF _Toc36639212 \h </w:instrText>
            </w:r>
            <w:r w:rsidR="00DA2318">
              <w:rPr>
                <w:noProof/>
                <w:webHidden/>
              </w:rPr>
            </w:r>
            <w:r w:rsidR="00DA2318">
              <w:rPr>
                <w:noProof/>
                <w:webHidden/>
              </w:rPr>
              <w:fldChar w:fldCharType="separate"/>
            </w:r>
            <w:r w:rsidR="00DA2318">
              <w:rPr>
                <w:noProof/>
                <w:webHidden/>
              </w:rPr>
              <w:t>73</w:t>
            </w:r>
            <w:r w:rsidR="00DA2318">
              <w:rPr>
                <w:noProof/>
                <w:webHidden/>
              </w:rPr>
              <w:fldChar w:fldCharType="end"/>
            </w:r>
          </w:hyperlink>
        </w:p>
        <w:p w14:paraId="771D8834" w14:textId="3D08D95C" w:rsidR="00DA2318" w:rsidRDefault="00F267EF">
          <w:pPr>
            <w:pStyle w:val="30"/>
            <w:tabs>
              <w:tab w:val="right" w:leader="dot" w:pos="8778"/>
            </w:tabs>
            <w:rPr>
              <w:rFonts w:eastAsiaTheme="minorEastAsia" w:cstheme="minorBidi"/>
              <w:noProof/>
              <w:lang w:eastAsia="el-GR"/>
            </w:rPr>
          </w:pPr>
          <w:hyperlink w:anchor="_Toc36639213" w:history="1">
            <w:r w:rsidR="00DA2318" w:rsidRPr="007E6FE9">
              <w:rPr>
                <w:rStyle w:val="-"/>
                <w:noProof/>
              </w:rPr>
              <w:t>Μορφές χρηματοδότησης έργων ενεργειακής απόδοσης</w:t>
            </w:r>
            <w:r w:rsidR="00DA2318">
              <w:rPr>
                <w:noProof/>
                <w:webHidden/>
              </w:rPr>
              <w:tab/>
            </w:r>
            <w:r w:rsidR="00DA2318">
              <w:rPr>
                <w:noProof/>
                <w:webHidden/>
              </w:rPr>
              <w:fldChar w:fldCharType="begin"/>
            </w:r>
            <w:r w:rsidR="00DA2318">
              <w:rPr>
                <w:noProof/>
                <w:webHidden/>
              </w:rPr>
              <w:instrText xml:space="preserve"> PAGEREF _Toc36639213 \h </w:instrText>
            </w:r>
            <w:r w:rsidR="00DA2318">
              <w:rPr>
                <w:noProof/>
                <w:webHidden/>
              </w:rPr>
            </w:r>
            <w:r w:rsidR="00DA2318">
              <w:rPr>
                <w:noProof/>
                <w:webHidden/>
              </w:rPr>
              <w:fldChar w:fldCharType="separate"/>
            </w:r>
            <w:r w:rsidR="00DA2318">
              <w:rPr>
                <w:noProof/>
                <w:webHidden/>
              </w:rPr>
              <w:t>76</w:t>
            </w:r>
            <w:r w:rsidR="00DA2318">
              <w:rPr>
                <w:noProof/>
                <w:webHidden/>
              </w:rPr>
              <w:fldChar w:fldCharType="end"/>
            </w:r>
          </w:hyperlink>
        </w:p>
        <w:p w14:paraId="42FF26CE" w14:textId="501E2026" w:rsidR="00DA2318" w:rsidRDefault="00F267EF">
          <w:pPr>
            <w:pStyle w:val="30"/>
            <w:tabs>
              <w:tab w:val="right" w:leader="dot" w:pos="8778"/>
            </w:tabs>
            <w:rPr>
              <w:rFonts w:eastAsiaTheme="minorEastAsia" w:cstheme="minorBidi"/>
              <w:noProof/>
              <w:lang w:eastAsia="el-GR"/>
            </w:rPr>
          </w:pPr>
          <w:hyperlink w:anchor="_Toc36639214" w:history="1">
            <w:r w:rsidR="00DA2318" w:rsidRPr="007E6FE9">
              <w:rPr>
                <w:rStyle w:val="-"/>
                <w:noProof/>
              </w:rPr>
              <w:t>Αξιολόγηση αποκομισθείσας εμπειρίας από προηγούμενη εφαρμογή χρηματοδοτικών μέσων σε δράσεις Εξοικονόμησης Ενέργειας σε κατοικίες</w:t>
            </w:r>
            <w:r w:rsidR="00DA2318">
              <w:rPr>
                <w:noProof/>
                <w:webHidden/>
              </w:rPr>
              <w:tab/>
            </w:r>
            <w:r w:rsidR="00DA2318">
              <w:rPr>
                <w:noProof/>
                <w:webHidden/>
              </w:rPr>
              <w:fldChar w:fldCharType="begin"/>
            </w:r>
            <w:r w:rsidR="00DA2318">
              <w:rPr>
                <w:noProof/>
                <w:webHidden/>
              </w:rPr>
              <w:instrText xml:space="preserve"> PAGEREF _Toc36639214 \h </w:instrText>
            </w:r>
            <w:r w:rsidR="00DA2318">
              <w:rPr>
                <w:noProof/>
                <w:webHidden/>
              </w:rPr>
            </w:r>
            <w:r w:rsidR="00DA2318">
              <w:rPr>
                <w:noProof/>
                <w:webHidden/>
              </w:rPr>
              <w:fldChar w:fldCharType="separate"/>
            </w:r>
            <w:r w:rsidR="00DA2318">
              <w:rPr>
                <w:noProof/>
                <w:webHidden/>
              </w:rPr>
              <w:t>77</w:t>
            </w:r>
            <w:r w:rsidR="00DA2318">
              <w:rPr>
                <w:noProof/>
                <w:webHidden/>
              </w:rPr>
              <w:fldChar w:fldCharType="end"/>
            </w:r>
          </w:hyperlink>
        </w:p>
        <w:p w14:paraId="518086AD" w14:textId="5E272689" w:rsidR="00DA2318" w:rsidRDefault="00F267EF">
          <w:pPr>
            <w:pStyle w:val="30"/>
            <w:tabs>
              <w:tab w:val="right" w:leader="dot" w:pos="8778"/>
            </w:tabs>
            <w:rPr>
              <w:rFonts w:eastAsiaTheme="minorEastAsia" w:cstheme="minorBidi"/>
              <w:noProof/>
              <w:lang w:eastAsia="el-GR"/>
            </w:rPr>
          </w:pPr>
          <w:hyperlink w:anchor="_Toc36639215" w:history="1">
            <w:r w:rsidR="00DA2318" w:rsidRPr="007E6FE9">
              <w:rPr>
                <w:rStyle w:val="-"/>
                <w:noProof/>
              </w:rPr>
              <w:t>Ανάλυση στοιχείων από την Πρόγραμμα «ΕΞΟΙΚΟΝΟΜΩ Ι» την Προγραμματική Περίοδο 2007 – 2013.</w:t>
            </w:r>
            <w:r w:rsidR="00DA2318">
              <w:rPr>
                <w:noProof/>
                <w:webHidden/>
              </w:rPr>
              <w:tab/>
            </w:r>
            <w:r w:rsidR="00DA2318">
              <w:rPr>
                <w:noProof/>
                <w:webHidden/>
              </w:rPr>
              <w:fldChar w:fldCharType="begin"/>
            </w:r>
            <w:r w:rsidR="00DA2318">
              <w:rPr>
                <w:noProof/>
                <w:webHidden/>
              </w:rPr>
              <w:instrText xml:space="preserve"> PAGEREF _Toc36639215 \h </w:instrText>
            </w:r>
            <w:r w:rsidR="00DA2318">
              <w:rPr>
                <w:noProof/>
                <w:webHidden/>
              </w:rPr>
            </w:r>
            <w:r w:rsidR="00DA2318">
              <w:rPr>
                <w:noProof/>
                <w:webHidden/>
              </w:rPr>
              <w:fldChar w:fldCharType="separate"/>
            </w:r>
            <w:r w:rsidR="00DA2318">
              <w:rPr>
                <w:noProof/>
                <w:webHidden/>
              </w:rPr>
              <w:t>77</w:t>
            </w:r>
            <w:r w:rsidR="00DA2318">
              <w:rPr>
                <w:noProof/>
                <w:webHidden/>
              </w:rPr>
              <w:fldChar w:fldCharType="end"/>
            </w:r>
          </w:hyperlink>
        </w:p>
        <w:p w14:paraId="4ABB6C85" w14:textId="50BD43CD" w:rsidR="00DA2318" w:rsidRDefault="00F267EF">
          <w:pPr>
            <w:pStyle w:val="30"/>
            <w:tabs>
              <w:tab w:val="right" w:leader="dot" w:pos="8778"/>
            </w:tabs>
            <w:rPr>
              <w:rFonts w:eastAsiaTheme="minorEastAsia" w:cstheme="minorBidi"/>
              <w:noProof/>
              <w:lang w:eastAsia="el-GR"/>
            </w:rPr>
          </w:pPr>
          <w:hyperlink w:anchor="_Toc36639216" w:history="1">
            <w:r w:rsidR="00DA2318" w:rsidRPr="007E6FE9">
              <w:rPr>
                <w:rStyle w:val="-"/>
                <w:noProof/>
              </w:rPr>
              <w:t>Αποτελέσματα ΕΞΟΙΚΟΝΟΜΩ Ι</w:t>
            </w:r>
            <w:r w:rsidR="00DA2318">
              <w:rPr>
                <w:noProof/>
                <w:webHidden/>
              </w:rPr>
              <w:tab/>
            </w:r>
            <w:r w:rsidR="00DA2318">
              <w:rPr>
                <w:noProof/>
                <w:webHidden/>
              </w:rPr>
              <w:fldChar w:fldCharType="begin"/>
            </w:r>
            <w:r w:rsidR="00DA2318">
              <w:rPr>
                <w:noProof/>
                <w:webHidden/>
              </w:rPr>
              <w:instrText xml:space="preserve"> PAGEREF _Toc36639216 \h </w:instrText>
            </w:r>
            <w:r w:rsidR="00DA2318">
              <w:rPr>
                <w:noProof/>
                <w:webHidden/>
              </w:rPr>
            </w:r>
            <w:r w:rsidR="00DA2318">
              <w:rPr>
                <w:noProof/>
                <w:webHidden/>
              </w:rPr>
              <w:fldChar w:fldCharType="separate"/>
            </w:r>
            <w:r w:rsidR="00DA2318">
              <w:rPr>
                <w:noProof/>
                <w:webHidden/>
              </w:rPr>
              <w:t>82</w:t>
            </w:r>
            <w:r w:rsidR="00DA2318">
              <w:rPr>
                <w:noProof/>
                <w:webHidden/>
              </w:rPr>
              <w:fldChar w:fldCharType="end"/>
            </w:r>
          </w:hyperlink>
        </w:p>
        <w:p w14:paraId="133F03B5" w14:textId="6AA95DF8" w:rsidR="00DA2318" w:rsidRDefault="00F267EF">
          <w:pPr>
            <w:pStyle w:val="30"/>
            <w:tabs>
              <w:tab w:val="right" w:leader="dot" w:pos="8778"/>
            </w:tabs>
            <w:rPr>
              <w:rFonts w:eastAsiaTheme="minorEastAsia" w:cstheme="minorBidi"/>
              <w:noProof/>
              <w:lang w:eastAsia="el-GR"/>
            </w:rPr>
          </w:pPr>
          <w:hyperlink w:anchor="_Toc36639217" w:history="1">
            <w:r w:rsidR="00DA2318" w:rsidRPr="007E6FE9">
              <w:rPr>
                <w:rStyle w:val="-"/>
                <w:noProof/>
              </w:rPr>
              <w:t>Συμπεράσματα</w:t>
            </w:r>
            <w:r w:rsidR="00DA2318">
              <w:rPr>
                <w:noProof/>
                <w:webHidden/>
              </w:rPr>
              <w:tab/>
            </w:r>
            <w:r w:rsidR="00DA2318">
              <w:rPr>
                <w:noProof/>
                <w:webHidden/>
              </w:rPr>
              <w:fldChar w:fldCharType="begin"/>
            </w:r>
            <w:r w:rsidR="00DA2318">
              <w:rPr>
                <w:noProof/>
                <w:webHidden/>
              </w:rPr>
              <w:instrText xml:space="preserve"> PAGEREF _Toc36639217 \h </w:instrText>
            </w:r>
            <w:r w:rsidR="00DA2318">
              <w:rPr>
                <w:noProof/>
                <w:webHidden/>
              </w:rPr>
            </w:r>
            <w:r w:rsidR="00DA2318">
              <w:rPr>
                <w:noProof/>
                <w:webHidden/>
              </w:rPr>
              <w:fldChar w:fldCharType="separate"/>
            </w:r>
            <w:r w:rsidR="00DA2318">
              <w:rPr>
                <w:noProof/>
                <w:webHidden/>
              </w:rPr>
              <w:t>82</w:t>
            </w:r>
            <w:r w:rsidR="00DA2318">
              <w:rPr>
                <w:noProof/>
                <w:webHidden/>
              </w:rPr>
              <w:fldChar w:fldCharType="end"/>
            </w:r>
          </w:hyperlink>
        </w:p>
        <w:p w14:paraId="737E04FA" w14:textId="37D45E90" w:rsidR="00DA2318" w:rsidRDefault="00F267EF">
          <w:pPr>
            <w:pStyle w:val="30"/>
            <w:tabs>
              <w:tab w:val="right" w:leader="dot" w:pos="8778"/>
            </w:tabs>
            <w:rPr>
              <w:rFonts w:eastAsiaTheme="minorEastAsia" w:cstheme="minorBidi"/>
              <w:noProof/>
              <w:lang w:eastAsia="el-GR"/>
            </w:rPr>
          </w:pPr>
          <w:hyperlink w:anchor="_Toc36639218" w:history="1">
            <w:r w:rsidR="00DA2318" w:rsidRPr="007E6FE9">
              <w:rPr>
                <w:rStyle w:val="-"/>
                <w:noProof/>
              </w:rPr>
              <w:t>Λοιπά Χρηματοδοτικά εργαλεία σε εθνικό επίπεδο</w:t>
            </w:r>
            <w:r w:rsidR="00DA2318">
              <w:rPr>
                <w:noProof/>
                <w:webHidden/>
              </w:rPr>
              <w:tab/>
            </w:r>
            <w:r w:rsidR="00DA2318">
              <w:rPr>
                <w:noProof/>
                <w:webHidden/>
              </w:rPr>
              <w:fldChar w:fldCharType="begin"/>
            </w:r>
            <w:r w:rsidR="00DA2318">
              <w:rPr>
                <w:noProof/>
                <w:webHidden/>
              </w:rPr>
              <w:instrText xml:space="preserve"> PAGEREF _Toc36639218 \h </w:instrText>
            </w:r>
            <w:r w:rsidR="00DA2318">
              <w:rPr>
                <w:noProof/>
                <w:webHidden/>
              </w:rPr>
            </w:r>
            <w:r w:rsidR="00DA2318">
              <w:rPr>
                <w:noProof/>
                <w:webHidden/>
              </w:rPr>
              <w:fldChar w:fldCharType="separate"/>
            </w:r>
            <w:r w:rsidR="00DA2318">
              <w:rPr>
                <w:noProof/>
                <w:webHidden/>
              </w:rPr>
              <w:t>85</w:t>
            </w:r>
            <w:r w:rsidR="00DA2318">
              <w:rPr>
                <w:noProof/>
                <w:webHidden/>
              </w:rPr>
              <w:fldChar w:fldCharType="end"/>
            </w:r>
          </w:hyperlink>
        </w:p>
        <w:p w14:paraId="4491DCF0" w14:textId="557B9A8B" w:rsidR="00DA2318" w:rsidRDefault="00F267EF">
          <w:pPr>
            <w:pStyle w:val="30"/>
            <w:tabs>
              <w:tab w:val="right" w:leader="dot" w:pos="8778"/>
            </w:tabs>
            <w:rPr>
              <w:rFonts w:eastAsiaTheme="minorEastAsia" w:cstheme="minorBidi"/>
              <w:noProof/>
              <w:lang w:eastAsia="el-GR"/>
            </w:rPr>
          </w:pPr>
          <w:hyperlink w:anchor="_Toc36639219" w:history="1">
            <w:r w:rsidR="00DA2318" w:rsidRPr="007E6FE9">
              <w:rPr>
                <w:rStyle w:val="-"/>
                <w:noProof/>
              </w:rPr>
              <w:t>Συμπεράσματα</w:t>
            </w:r>
            <w:r w:rsidR="00DA2318">
              <w:rPr>
                <w:noProof/>
                <w:webHidden/>
              </w:rPr>
              <w:tab/>
            </w:r>
            <w:r w:rsidR="00DA2318">
              <w:rPr>
                <w:noProof/>
                <w:webHidden/>
              </w:rPr>
              <w:fldChar w:fldCharType="begin"/>
            </w:r>
            <w:r w:rsidR="00DA2318">
              <w:rPr>
                <w:noProof/>
                <w:webHidden/>
              </w:rPr>
              <w:instrText xml:space="preserve"> PAGEREF _Toc36639219 \h </w:instrText>
            </w:r>
            <w:r w:rsidR="00DA2318">
              <w:rPr>
                <w:noProof/>
                <w:webHidden/>
              </w:rPr>
            </w:r>
            <w:r w:rsidR="00DA2318">
              <w:rPr>
                <w:noProof/>
                <w:webHidden/>
              </w:rPr>
              <w:fldChar w:fldCharType="separate"/>
            </w:r>
            <w:r w:rsidR="00DA2318">
              <w:rPr>
                <w:noProof/>
                <w:webHidden/>
              </w:rPr>
              <w:t>86</w:t>
            </w:r>
            <w:r w:rsidR="00DA2318">
              <w:rPr>
                <w:noProof/>
                <w:webHidden/>
              </w:rPr>
              <w:fldChar w:fldCharType="end"/>
            </w:r>
          </w:hyperlink>
        </w:p>
        <w:p w14:paraId="2AD5AF3E" w14:textId="30BA3FB9" w:rsidR="00DA2318" w:rsidRDefault="00F267EF">
          <w:pPr>
            <w:pStyle w:val="30"/>
            <w:tabs>
              <w:tab w:val="right" w:leader="dot" w:pos="8778"/>
            </w:tabs>
            <w:rPr>
              <w:rFonts w:eastAsiaTheme="minorEastAsia" w:cstheme="minorBidi"/>
              <w:noProof/>
              <w:lang w:eastAsia="el-GR"/>
            </w:rPr>
          </w:pPr>
          <w:hyperlink w:anchor="_Toc36639220" w:history="1">
            <w:r w:rsidR="00DA2318" w:rsidRPr="007E6FE9">
              <w:rPr>
                <w:rStyle w:val="-"/>
                <w:noProof/>
              </w:rPr>
              <w:t>Προσδιορισμός Επενδυτικού Κενού μετά το ΕΞΟΙΚΟΝΟΜΩ Ι</w:t>
            </w:r>
            <w:r w:rsidR="00DA2318">
              <w:rPr>
                <w:noProof/>
                <w:webHidden/>
              </w:rPr>
              <w:tab/>
            </w:r>
            <w:r w:rsidR="00DA2318">
              <w:rPr>
                <w:noProof/>
                <w:webHidden/>
              </w:rPr>
              <w:fldChar w:fldCharType="begin"/>
            </w:r>
            <w:r w:rsidR="00DA2318">
              <w:rPr>
                <w:noProof/>
                <w:webHidden/>
              </w:rPr>
              <w:instrText xml:space="preserve"> PAGEREF _Toc36639220 \h </w:instrText>
            </w:r>
            <w:r w:rsidR="00DA2318">
              <w:rPr>
                <w:noProof/>
                <w:webHidden/>
              </w:rPr>
            </w:r>
            <w:r w:rsidR="00DA2318">
              <w:rPr>
                <w:noProof/>
                <w:webHidden/>
              </w:rPr>
              <w:fldChar w:fldCharType="separate"/>
            </w:r>
            <w:r w:rsidR="00DA2318">
              <w:rPr>
                <w:noProof/>
                <w:webHidden/>
              </w:rPr>
              <w:t>87</w:t>
            </w:r>
            <w:r w:rsidR="00DA2318">
              <w:rPr>
                <w:noProof/>
                <w:webHidden/>
              </w:rPr>
              <w:fldChar w:fldCharType="end"/>
            </w:r>
          </w:hyperlink>
        </w:p>
        <w:p w14:paraId="62B09F02" w14:textId="36D71C0E" w:rsidR="00DA2318" w:rsidRDefault="00F267EF">
          <w:pPr>
            <w:pStyle w:val="30"/>
            <w:tabs>
              <w:tab w:val="right" w:leader="dot" w:pos="8778"/>
            </w:tabs>
            <w:rPr>
              <w:rFonts w:eastAsiaTheme="minorEastAsia" w:cstheme="minorBidi"/>
              <w:noProof/>
              <w:lang w:eastAsia="el-GR"/>
            </w:rPr>
          </w:pPr>
          <w:hyperlink w:anchor="_Toc36639221" w:history="1">
            <w:r w:rsidR="00DA2318" w:rsidRPr="007E6FE9">
              <w:rPr>
                <w:rStyle w:val="-"/>
                <w:noProof/>
              </w:rPr>
              <w:t>Προσδιορισμός επενδυτικού κενού σύσταση Ταμείου ΕΞΟΙΚΟΝΟΜΩ ΙΙ</w:t>
            </w:r>
            <w:r w:rsidR="00DA2318">
              <w:rPr>
                <w:noProof/>
                <w:webHidden/>
              </w:rPr>
              <w:tab/>
            </w:r>
            <w:r w:rsidR="00DA2318">
              <w:rPr>
                <w:noProof/>
                <w:webHidden/>
              </w:rPr>
              <w:fldChar w:fldCharType="begin"/>
            </w:r>
            <w:r w:rsidR="00DA2318">
              <w:rPr>
                <w:noProof/>
                <w:webHidden/>
              </w:rPr>
              <w:instrText xml:space="preserve"> PAGEREF _Toc36639221 \h </w:instrText>
            </w:r>
            <w:r w:rsidR="00DA2318">
              <w:rPr>
                <w:noProof/>
                <w:webHidden/>
              </w:rPr>
            </w:r>
            <w:r w:rsidR="00DA2318">
              <w:rPr>
                <w:noProof/>
                <w:webHidden/>
              </w:rPr>
              <w:fldChar w:fldCharType="separate"/>
            </w:r>
            <w:r w:rsidR="00DA2318">
              <w:rPr>
                <w:noProof/>
                <w:webHidden/>
              </w:rPr>
              <w:t>91</w:t>
            </w:r>
            <w:r w:rsidR="00DA2318">
              <w:rPr>
                <w:noProof/>
                <w:webHidden/>
              </w:rPr>
              <w:fldChar w:fldCharType="end"/>
            </w:r>
          </w:hyperlink>
        </w:p>
        <w:p w14:paraId="2CD1067D" w14:textId="620C62C9" w:rsidR="00DA2318" w:rsidRDefault="00F267EF">
          <w:pPr>
            <w:pStyle w:val="30"/>
            <w:tabs>
              <w:tab w:val="right" w:leader="dot" w:pos="8778"/>
            </w:tabs>
            <w:rPr>
              <w:rFonts w:eastAsiaTheme="minorEastAsia" w:cstheme="minorBidi"/>
              <w:noProof/>
              <w:lang w:eastAsia="el-GR"/>
            </w:rPr>
          </w:pPr>
          <w:hyperlink w:anchor="_Toc36639222" w:history="1">
            <w:r w:rsidR="00DA2318" w:rsidRPr="007E6FE9">
              <w:rPr>
                <w:rStyle w:val="-"/>
                <w:noProof/>
              </w:rPr>
              <w:t>Ανάλυση στοιχείων από την Πρόγραμμα «ΕΞΟΙΚΟΝΟΜΩ ΙΙ – Α’Κύκλος»</w:t>
            </w:r>
            <w:r w:rsidR="00DA2318">
              <w:rPr>
                <w:noProof/>
                <w:webHidden/>
              </w:rPr>
              <w:tab/>
            </w:r>
            <w:r w:rsidR="00DA2318">
              <w:rPr>
                <w:noProof/>
                <w:webHidden/>
              </w:rPr>
              <w:fldChar w:fldCharType="begin"/>
            </w:r>
            <w:r w:rsidR="00DA2318">
              <w:rPr>
                <w:noProof/>
                <w:webHidden/>
              </w:rPr>
              <w:instrText xml:space="preserve"> PAGEREF _Toc36639222 \h </w:instrText>
            </w:r>
            <w:r w:rsidR="00DA2318">
              <w:rPr>
                <w:noProof/>
                <w:webHidden/>
              </w:rPr>
            </w:r>
            <w:r w:rsidR="00DA2318">
              <w:rPr>
                <w:noProof/>
                <w:webHidden/>
              </w:rPr>
              <w:fldChar w:fldCharType="separate"/>
            </w:r>
            <w:r w:rsidR="00DA2318">
              <w:rPr>
                <w:noProof/>
                <w:webHidden/>
              </w:rPr>
              <w:t>92</w:t>
            </w:r>
            <w:r w:rsidR="00DA2318">
              <w:rPr>
                <w:noProof/>
                <w:webHidden/>
              </w:rPr>
              <w:fldChar w:fldCharType="end"/>
            </w:r>
          </w:hyperlink>
        </w:p>
        <w:p w14:paraId="69F2BF6D" w14:textId="4C1CCD3D" w:rsidR="00DA2318" w:rsidRDefault="00F267EF">
          <w:pPr>
            <w:pStyle w:val="30"/>
            <w:tabs>
              <w:tab w:val="right" w:leader="dot" w:pos="8778"/>
            </w:tabs>
            <w:rPr>
              <w:rFonts w:eastAsiaTheme="minorEastAsia" w:cstheme="minorBidi"/>
              <w:noProof/>
              <w:lang w:eastAsia="el-GR"/>
            </w:rPr>
          </w:pPr>
          <w:hyperlink w:anchor="_Toc36639223" w:history="1">
            <w:r w:rsidR="00DA2318" w:rsidRPr="007E6FE9">
              <w:rPr>
                <w:rStyle w:val="-"/>
                <w:noProof/>
              </w:rPr>
              <w:t>Στοιχεία προς αξιολόγηση για τον Β’Κύκλο πρόσκλησης του Προγράμματος ΕΞΟΙΚΟΝΟΜΩ ΙΙ – Β’Κύκλος</w:t>
            </w:r>
            <w:r w:rsidR="00DA2318">
              <w:rPr>
                <w:noProof/>
                <w:webHidden/>
              </w:rPr>
              <w:tab/>
            </w:r>
            <w:r w:rsidR="00DA2318">
              <w:rPr>
                <w:noProof/>
                <w:webHidden/>
              </w:rPr>
              <w:fldChar w:fldCharType="begin"/>
            </w:r>
            <w:r w:rsidR="00DA2318">
              <w:rPr>
                <w:noProof/>
                <w:webHidden/>
              </w:rPr>
              <w:instrText xml:space="preserve"> PAGEREF _Toc36639223 \h </w:instrText>
            </w:r>
            <w:r w:rsidR="00DA2318">
              <w:rPr>
                <w:noProof/>
                <w:webHidden/>
              </w:rPr>
            </w:r>
            <w:r w:rsidR="00DA2318">
              <w:rPr>
                <w:noProof/>
                <w:webHidden/>
              </w:rPr>
              <w:fldChar w:fldCharType="separate"/>
            </w:r>
            <w:r w:rsidR="00DA2318">
              <w:rPr>
                <w:noProof/>
                <w:webHidden/>
              </w:rPr>
              <w:t>95</w:t>
            </w:r>
            <w:r w:rsidR="00DA2318">
              <w:rPr>
                <w:noProof/>
                <w:webHidden/>
              </w:rPr>
              <w:fldChar w:fldCharType="end"/>
            </w:r>
          </w:hyperlink>
        </w:p>
        <w:p w14:paraId="20A6A685" w14:textId="6E3710BC" w:rsidR="00DA2318" w:rsidRDefault="00F267EF">
          <w:pPr>
            <w:pStyle w:val="30"/>
            <w:tabs>
              <w:tab w:val="right" w:leader="dot" w:pos="8778"/>
            </w:tabs>
            <w:rPr>
              <w:rFonts w:eastAsiaTheme="minorEastAsia" w:cstheme="minorBidi"/>
              <w:noProof/>
              <w:lang w:eastAsia="el-GR"/>
            </w:rPr>
          </w:pPr>
          <w:hyperlink w:anchor="_Toc36639224" w:history="1">
            <w:r w:rsidR="00DA2318" w:rsidRPr="007E6FE9">
              <w:rPr>
                <w:rStyle w:val="-"/>
                <w:noProof/>
              </w:rPr>
              <w:t>Συνοπτική εικόνα όλων των κύκλων (συγχρηματοδοτούμενων ή μη) στο πλαίσιο των προγραμμάτων «Εξοικονομώ κατ’οίκον»</w:t>
            </w:r>
            <w:r w:rsidR="00DA2318">
              <w:rPr>
                <w:noProof/>
                <w:webHidden/>
              </w:rPr>
              <w:tab/>
            </w:r>
            <w:r w:rsidR="00DA2318">
              <w:rPr>
                <w:noProof/>
                <w:webHidden/>
              </w:rPr>
              <w:fldChar w:fldCharType="begin"/>
            </w:r>
            <w:r w:rsidR="00DA2318">
              <w:rPr>
                <w:noProof/>
                <w:webHidden/>
              </w:rPr>
              <w:instrText xml:space="preserve"> PAGEREF _Toc36639224 \h </w:instrText>
            </w:r>
            <w:r w:rsidR="00DA2318">
              <w:rPr>
                <w:noProof/>
                <w:webHidden/>
              </w:rPr>
            </w:r>
            <w:r w:rsidR="00DA2318">
              <w:rPr>
                <w:noProof/>
                <w:webHidden/>
              </w:rPr>
              <w:fldChar w:fldCharType="separate"/>
            </w:r>
            <w:r w:rsidR="00DA2318">
              <w:rPr>
                <w:noProof/>
                <w:webHidden/>
              </w:rPr>
              <w:t>98</w:t>
            </w:r>
            <w:r w:rsidR="00DA2318">
              <w:rPr>
                <w:noProof/>
                <w:webHidden/>
              </w:rPr>
              <w:fldChar w:fldCharType="end"/>
            </w:r>
          </w:hyperlink>
        </w:p>
        <w:p w14:paraId="344F01B3" w14:textId="170ADC26" w:rsidR="00DA2318" w:rsidRDefault="00F267EF">
          <w:pPr>
            <w:pStyle w:val="10"/>
            <w:tabs>
              <w:tab w:val="right" w:leader="dot" w:pos="8778"/>
            </w:tabs>
            <w:rPr>
              <w:rFonts w:eastAsiaTheme="minorEastAsia" w:cstheme="minorBidi"/>
              <w:noProof/>
              <w:lang w:eastAsia="el-GR"/>
            </w:rPr>
          </w:pPr>
          <w:hyperlink w:anchor="_Toc36639225" w:history="1">
            <w:r w:rsidR="00DA2318" w:rsidRPr="007E6FE9">
              <w:rPr>
                <w:rStyle w:val="-"/>
                <w:noProof/>
              </w:rPr>
              <w:t>Δεύτερο Μέρος: Αξιολόγηση της πιθανής προστιθέμενης αξίας και της μόχλευσης</w:t>
            </w:r>
            <w:r w:rsidR="00DA2318">
              <w:rPr>
                <w:noProof/>
                <w:webHidden/>
              </w:rPr>
              <w:tab/>
            </w:r>
            <w:r w:rsidR="00DA2318">
              <w:rPr>
                <w:noProof/>
                <w:webHidden/>
              </w:rPr>
              <w:fldChar w:fldCharType="begin"/>
            </w:r>
            <w:r w:rsidR="00DA2318">
              <w:rPr>
                <w:noProof/>
                <w:webHidden/>
              </w:rPr>
              <w:instrText xml:space="preserve"> PAGEREF _Toc36639225 \h </w:instrText>
            </w:r>
            <w:r w:rsidR="00DA2318">
              <w:rPr>
                <w:noProof/>
                <w:webHidden/>
              </w:rPr>
            </w:r>
            <w:r w:rsidR="00DA2318">
              <w:rPr>
                <w:noProof/>
                <w:webHidden/>
              </w:rPr>
              <w:fldChar w:fldCharType="separate"/>
            </w:r>
            <w:r w:rsidR="00DA2318">
              <w:rPr>
                <w:noProof/>
                <w:webHidden/>
              </w:rPr>
              <w:t>100</w:t>
            </w:r>
            <w:r w:rsidR="00DA2318">
              <w:rPr>
                <w:noProof/>
                <w:webHidden/>
              </w:rPr>
              <w:fldChar w:fldCharType="end"/>
            </w:r>
          </w:hyperlink>
        </w:p>
        <w:p w14:paraId="56011182" w14:textId="684A15FA" w:rsidR="00DA2318" w:rsidRDefault="00F267EF">
          <w:pPr>
            <w:pStyle w:val="30"/>
            <w:tabs>
              <w:tab w:val="right" w:leader="dot" w:pos="8778"/>
            </w:tabs>
            <w:rPr>
              <w:rFonts w:eastAsiaTheme="minorEastAsia" w:cstheme="minorBidi"/>
              <w:noProof/>
              <w:lang w:eastAsia="el-GR"/>
            </w:rPr>
          </w:pPr>
          <w:hyperlink w:anchor="_Toc36639226" w:history="1">
            <w:r w:rsidR="00DA2318" w:rsidRPr="007E6FE9">
              <w:rPr>
                <w:rStyle w:val="-"/>
                <w:noProof/>
              </w:rPr>
              <w:t>Αξιολόγηση της πιθανής προστιθέμενης αξίας  του Χρηματοοικονομικού Εργαλείου (FI)</w:t>
            </w:r>
            <w:r w:rsidR="00DA2318">
              <w:rPr>
                <w:noProof/>
                <w:webHidden/>
              </w:rPr>
              <w:tab/>
            </w:r>
            <w:r w:rsidR="00DA2318">
              <w:rPr>
                <w:noProof/>
                <w:webHidden/>
              </w:rPr>
              <w:fldChar w:fldCharType="begin"/>
            </w:r>
            <w:r w:rsidR="00DA2318">
              <w:rPr>
                <w:noProof/>
                <w:webHidden/>
              </w:rPr>
              <w:instrText xml:space="preserve"> PAGEREF _Toc36639226 \h </w:instrText>
            </w:r>
            <w:r w:rsidR="00DA2318">
              <w:rPr>
                <w:noProof/>
                <w:webHidden/>
              </w:rPr>
            </w:r>
            <w:r w:rsidR="00DA2318">
              <w:rPr>
                <w:noProof/>
                <w:webHidden/>
              </w:rPr>
              <w:fldChar w:fldCharType="separate"/>
            </w:r>
            <w:r w:rsidR="00DA2318">
              <w:rPr>
                <w:noProof/>
                <w:webHidden/>
              </w:rPr>
              <w:t>101</w:t>
            </w:r>
            <w:r w:rsidR="00DA2318">
              <w:rPr>
                <w:noProof/>
                <w:webHidden/>
              </w:rPr>
              <w:fldChar w:fldCharType="end"/>
            </w:r>
          </w:hyperlink>
        </w:p>
        <w:p w14:paraId="02098E22" w14:textId="38E7694C" w:rsidR="00DA2318" w:rsidRDefault="00F267EF">
          <w:pPr>
            <w:pStyle w:val="30"/>
            <w:tabs>
              <w:tab w:val="right" w:leader="dot" w:pos="8778"/>
            </w:tabs>
            <w:rPr>
              <w:rFonts w:eastAsiaTheme="minorEastAsia" w:cstheme="minorBidi"/>
              <w:noProof/>
              <w:lang w:eastAsia="el-GR"/>
            </w:rPr>
          </w:pPr>
          <w:hyperlink w:anchor="_Toc36639227" w:history="1">
            <w:r w:rsidR="00DA2318" w:rsidRPr="007E6FE9">
              <w:rPr>
                <w:rStyle w:val="-"/>
                <w:noProof/>
              </w:rPr>
              <w:t>Συγκριτική αξιολόγηση του συσταθέντος Χρηματοοικονομικού Εργαλείου (FI) «Ταμείο Εξοικονομώ ΙΙ» με το «Ταμείο Εξοικονομώ» της Προγραμματικής Περιόδου 2007-2013</w:t>
            </w:r>
            <w:r w:rsidR="00DA2318">
              <w:rPr>
                <w:noProof/>
                <w:webHidden/>
              </w:rPr>
              <w:tab/>
            </w:r>
            <w:r w:rsidR="00DA2318">
              <w:rPr>
                <w:noProof/>
                <w:webHidden/>
              </w:rPr>
              <w:fldChar w:fldCharType="begin"/>
            </w:r>
            <w:r w:rsidR="00DA2318">
              <w:rPr>
                <w:noProof/>
                <w:webHidden/>
              </w:rPr>
              <w:instrText xml:space="preserve"> PAGEREF _Toc36639227 \h </w:instrText>
            </w:r>
            <w:r w:rsidR="00DA2318">
              <w:rPr>
                <w:noProof/>
                <w:webHidden/>
              </w:rPr>
            </w:r>
            <w:r w:rsidR="00DA2318">
              <w:rPr>
                <w:noProof/>
                <w:webHidden/>
              </w:rPr>
              <w:fldChar w:fldCharType="separate"/>
            </w:r>
            <w:r w:rsidR="00DA2318">
              <w:rPr>
                <w:noProof/>
                <w:webHidden/>
              </w:rPr>
              <w:t>113</w:t>
            </w:r>
            <w:r w:rsidR="00DA2318">
              <w:rPr>
                <w:noProof/>
                <w:webHidden/>
              </w:rPr>
              <w:fldChar w:fldCharType="end"/>
            </w:r>
          </w:hyperlink>
        </w:p>
        <w:p w14:paraId="439E6307" w14:textId="12D96C7E" w:rsidR="00DA2318" w:rsidRDefault="00F267EF">
          <w:pPr>
            <w:pStyle w:val="30"/>
            <w:tabs>
              <w:tab w:val="right" w:leader="dot" w:pos="8778"/>
            </w:tabs>
            <w:rPr>
              <w:rFonts w:eastAsiaTheme="minorEastAsia" w:cstheme="minorBidi"/>
              <w:noProof/>
              <w:lang w:eastAsia="el-GR"/>
            </w:rPr>
          </w:pPr>
          <w:hyperlink w:anchor="_Toc36639228" w:history="1">
            <w:r w:rsidR="00DA2318" w:rsidRPr="007E6FE9">
              <w:rPr>
                <w:rStyle w:val="-"/>
                <w:iCs/>
                <w:noProof/>
              </w:rPr>
              <w:t>Αντιμετώπιση των επιπλοκών κρατικών ενισχύσεων του Χρηματοοικονομικού Εργαλείου (FI)</w:t>
            </w:r>
            <w:r w:rsidR="00DA2318">
              <w:rPr>
                <w:noProof/>
                <w:webHidden/>
              </w:rPr>
              <w:tab/>
            </w:r>
            <w:r w:rsidR="00DA2318">
              <w:rPr>
                <w:noProof/>
                <w:webHidden/>
              </w:rPr>
              <w:fldChar w:fldCharType="begin"/>
            </w:r>
            <w:r w:rsidR="00DA2318">
              <w:rPr>
                <w:noProof/>
                <w:webHidden/>
              </w:rPr>
              <w:instrText xml:space="preserve"> PAGEREF _Toc36639228 \h </w:instrText>
            </w:r>
            <w:r w:rsidR="00DA2318">
              <w:rPr>
                <w:noProof/>
                <w:webHidden/>
              </w:rPr>
            </w:r>
            <w:r w:rsidR="00DA2318">
              <w:rPr>
                <w:noProof/>
                <w:webHidden/>
              </w:rPr>
              <w:fldChar w:fldCharType="separate"/>
            </w:r>
            <w:r w:rsidR="00DA2318">
              <w:rPr>
                <w:noProof/>
                <w:webHidden/>
              </w:rPr>
              <w:t>115</w:t>
            </w:r>
            <w:r w:rsidR="00DA2318">
              <w:rPr>
                <w:noProof/>
                <w:webHidden/>
              </w:rPr>
              <w:fldChar w:fldCharType="end"/>
            </w:r>
          </w:hyperlink>
        </w:p>
        <w:p w14:paraId="2E49D19F" w14:textId="42460199" w:rsidR="00DA2318" w:rsidRDefault="00F267EF">
          <w:pPr>
            <w:pStyle w:val="30"/>
            <w:tabs>
              <w:tab w:val="right" w:leader="dot" w:pos="8778"/>
            </w:tabs>
            <w:rPr>
              <w:rFonts w:eastAsiaTheme="minorEastAsia" w:cstheme="minorBidi"/>
              <w:noProof/>
              <w:lang w:eastAsia="el-GR"/>
            </w:rPr>
          </w:pPr>
          <w:hyperlink w:anchor="_Toc36639229" w:history="1">
            <w:r w:rsidR="00DA2318" w:rsidRPr="007E6FE9">
              <w:rPr>
                <w:rStyle w:val="-"/>
                <w:noProof/>
              </w:rPr>
              <w:t>Προσδιορισμός των πρόσθετων δημόσιων και ιδιωτικών πόρων που δύναται να συγκεντρώσει ένα Χρηματοοικονομικό Εργαλείο (FI)</w:t>
            </w:r>
            <w:r w:rsidR="00DA2318">
              <w:rPr>
                <w:noProof/>
                <w:webHidden/>
              </w:rPr>
              <w:tab/>
            </w:r>
            <w:r w:rsidR="00DA2318">
              <w:rPr>
                <w:noProof/>
                <w:webHidden/>
              </w:rPr>
              <w:fldChar w:fldCharType="begin"/>
            </w:r>
            <w:r w:rsidR="00DA2318">
              <w:rPr>
                <w:noProof/>
                <w:webHidden/>
              </w:rPr>
              <w:instrText xml:space="preserve"> PAGEREF _Toc36639229 \h </w:instrText>
            </w:r>
            <w:r w:rsidR="00DA2318">
              <w:rPr>
                <w:noProof/>
                <w:webHidden/>
              </w:rPr>
            </w:r>
            <w:r w:rsidR="00DA2318">
              <w:rPr>
                <w:noProof/>
                <w:webHidden/>
              </w:rPr>
              <w:fldChar w:fldCharType="separate"/>
            </w:r>
            <w:r w:rsidR="00DA2318">
              <w:rPr>
                <w:noProof/>
                <w:webHidden/>
              </w:rPr>
              <w:t>119</w:t>
            </w:r>
            <w:r w:rsidR="00DA2318">
              <w:rPr>
                <w:noProof/>
                <w:webHidden/>
              </w:rPr>
              <w:fldChar w:fldCharType="end"/>
            </w:r>
          </w:hyperlink>
        </w:p>
        <w:p w14:paraId="60FB9594" w14:textId="280B835B" w:rsidR="00DA2318" w:rsidRDefault="00F267EF">
          <w:pPr>
            <w:pStyle w:val="30"/>
            <w:tabs>
              <w:tab w:val="right" w:leader="dot" w:pos="8778"/>
            </w:tabs>
            <w:rPr>
              <w:rFonts w:eastAsiaTheme="minorEastAsia" w:cstheme="minorBidi"/>
              <w:noProof/>
              <w:lang w:eastAsia="el-GR"/>
            </w:rPr>
          </w:pPr>
          <w:hyperlink w:anchor="_Toc36639230" w:history="1">
            <w:r w:rsidR="00DA2318" w:rsidRPr="007E6FE9">
              <w:rPr>
                <w:rStyle w:val="-"/>
                <w:noProof/>
              </w:rPr>
              <w:t>Ιδιωτικοί Πόροι</w:t>
            </w:r>
            <w:r w:rsidR="00DA2318">
              <w:rPr>
                <w:noProof/>
                <w:webHidden/>
              </w:rPr>
              <w:tab/>
            </w:r>
            <w:r w:rsidR="00DA2318">
              <w:rPr>
                <w:noProof/>
                <w:webHidden/>
              </w:rPr>
              <w:fldChar w:fldCharType="begin"/>
            </w:r>
            <w:r w:rsidR="00DA2318">
              <w:rPr>
                <w:noProof/>
                <w:webHidden/>
              </w:rPr>
              <w:instrText xml:space="preserve"> PAGEREF _Toc36639230 \h </w:instrText>
            </w:r>
            <w:r w:rsidR="00DA2318">
              <w:rPr>
                <w:noProof/>
                <w:webHidden/>
              </w:rPr>
            </w:r>
            <w:r w:rsidR="00DA2318">
              <w:rPr>
                <w:noProof/>
                <w:webHidden/>
              </w:rPr>
              <w:fldChar w:fldCharType="separate"/>
            </w:r>
            <w:r w:rsidR="00DA2318">
              <w:rPr>
                <w:noProof/>
                <w:webHidden/>
              </w:rPr>
              <w:t>119</w:t>
            </w:r>
            <w:r w:rsidR="00DA2318">
              <w:rPr>
                <w:noProof/>
                <w:webHidden/>
              </w:rPr>
              <w:fldChar w:fldCharType="end"/>
            </w:r>
          </w:hyperlink>
        </w:p>
        <w:p w14:paraId="2EA64049" w14:textId="122AB448" w:rsidR="00DA2318" w:rsidRDefault="00F267EF">
          <w:pPr>
            <w:pStyle w:val="30"/>
            <w:tabs>
              <w:tab w:val="right" w:leader="dot" w:pos="8778"/>
            </w:tabs>
            <w:rPr>
              <w:rFonts w:eastAsiaTheme="minorEastAsia" w:cstheme="minorBidi"/>
              <w:noProof/>
              <w:lang w:eastAsia="el-GR"/>
            </w:rPr>
          </w:pPr>
          <w:hyperlink w:anchor="_Toc36639231" w:history="1">
            <w:r w:rsidR="00DA2318" w:rsidRPr="007E6FE9">
              <w:rPr>
                <w:rStyle w:val="-"/>
                <w:noProof/>
              </w:rPr>
              <w:t>Περιφερειακά Επιχειρησιακά Προγράμματα (ΠΕΠ)</w:t>
            </w:r>
            <w:r w:rsidR="00DA2318">
              <w:rPr>
                <w:noProof/>
                <w:webHidden/>
              </w:rPr>
              <w:tab/>
            </w:r>
            <w:r w:rsidR="00DA2318">
              <w:rPr>
                <w:noProof/>
                <w:webHidden/>
              </w:rPr>
              <w:fldChar w:fldCharType="begin"/>
            </w:r>
            <w:r w:rsidR="00DA2318">
              <w:rPr>
                <w:noProof/>
                <w:webHidden/>
              </w:rPr>
              <w:instrText xml:space="preserve"> PAGEREF _Toc36639231 \h </w:instrText>
            </w:r>
            <w:r w:rsidR="00DA2318">
              <w:rPr>
                <w:noProof/>
                <w:webHidden/>
              </w:rPr>
            </w:r>
            <w:r w:rsidR="00DA2318">
              <w:rPr>
                <w:noProof/>
                <w:webHidden/>
              </w:rPr>
              <w:fldChar w:fldCharType="separate"/>
            </w:r>
            <w:r w:rsidR="00DA2318">
              <w:rPr>
                <w:noProof/>
                <w:webHidden/>
              </w:rPr>
              <w:t>119</w:t>
            </w:r>
            <w:r w:rsidR="00DA2318">
              <w:rPr>
                <w:noProof/>
                <w:webHidden/>
              </w:rPr>
              <w:fldChar w:fldCharType="end"/>
            </w:r>
          </w:hyperlink>
        </w:p>
        <w:p w14:paraId="3AFCEB1D" w14:textId="618830F9" w:rsidR="00DA2318" w:rsidRDefault="00F267EF">
          <w:pPr>
            <w:pStyle w:val="30"/>
            <w:tabs>
              <w:tab w:val="right" w:leader="dot" w:pos="8778"/>
            </w:tabs>
            <w:rPr>
              <w:rFonts w:eastAsiaTheme="minorEastAsia" w:cstheme="minorBidi"/>
              <w:noProof/>
              <w:lang w:eastAsia="el-GR"/>
            </w:rPr>
          </w:pPr>
          <w:hyperlink w:anchor="_Toc36639232" w:history="1">
            <w:r w:rsidR="00DA2318" w:rsidRPr="007E6FE9">
              <w:rPr>
                <w:rStyle w:val="-"/>
                <w:noProof/>
              </w:rPr>
              <w:t>Εθνικοί πόροι – Πράσινο ταμείο – Σύστημα Εμπορίας των Δικαιωμάτων εκπομπών Ρύπων</w:t>
            </w:r>
            <w:r w:rsidR="00DA2318">
              <w:rPr>
                <w:noProof/>
                <w:webHidden/>
              </w:rPr>
              <w:tab/>
            </w:r>
            <w:r w:rsidR="00DA2318">
              <w:rPr>
                <w:noProof/>
                <w:webHidden/>
              </w:rPr>
              <w:fldChar w:fldCharType="begin"/>
            </w:r>
            <w:r w:rsidR="00DA2318">
              <w:rPr>
                <w:noProof/>
                <w:webHidden/>
              </w:rPr>
              <w:instrText xml:space="preserve"> PAGEREF _Toc36639232 \h </w:instrText>
            </w:r>
            <w:r w:rsidR="00DA2318">
              <w:rPr>
                <w:noProof/>
                <w:webHidden/>
              </w:rPr>
            </w:r>
            <w:r w:rsidR="00DA2318">
              <w:rPr>
                <w:noProof/>
                <w:webHidden/>
              </w:rPr>
              <w:fldChar w:fldCharType="separate"/>
            </w:r>
            <w:r w:rsidR="00DA2318">
              <w:rPr>
                <w:noProof/>
                <w:webHidden/>
              </w:rPr>
              <w:t>120</w:t>
            </w:r>
            <w:r w:rsidR="00DA2318">
              <w:rPr>
                <w:noProof/>
                <w:webHidden/>
              </w:rPr>
              <w:fldChar w:fldCharType="end"/>
            </w:r>
          </w:hyperlink>
        </w:p>
        <w:p w14:paraId="13D49307" w14:textId="314AEBF0" w:rsidR="00DA2318" w:rsidRDefault="00F267EF">
          <w:pPr>
            <w:pStyle w:val="10"/>
            <w:tabs>
              <w:tab w:val="right" w:leader="dot" w:pos="8778"/>
            </w:tabs>
            <w:rPr>
              <w:rFonts w:eastAsiaTheme="minorEastAsia" w:cstheme="minorBidi"/>
              <w:noProof/>
              <w:lang w:eastAsia="el-GR"/>
            </w:rPr>
          </w:pPr>
          <w:hyperlink w:anchor="_Toc36639233" w:history="1">
            <w:r w:rsidR="00DA2318" w:rsidRPr="007E6FE9">
              <w:rPr>
                <w:rStyle w:val="-"/>
                <w:noProof/>
              </w:rPr>
              <w:t>Τρίτο μέρος: Αξιολόγηση Επενδυτικής Στρατηγικής και εξέταση επανακαθορισμού της, εξειδίκευση αποτελεσμάτων &amp; Δείκτες, Επικαιροποίηση Χρηματοοικονομικού Εργαλείου (FI)</w:t>
            </w:r>
            <w:r w:rsidR="00DA2318">
              <w:rPr>
                <w:noProof/>
                <w:webHidden/>
              </w:rPr>
              <w:tab/>
            </w:r>
            <w:r w:rsidR="00DA2318">
              <w:rPr>
                <w:noProof/>
                <w:webHidden/>
              </w:rPr>
              <w:fldChar w:fldCharType="begin"/>
            </w:r>
            <w:r w:rsidR="00DA2318">
              <w:rPr>
                <w:noProof/>
                <w:webHidden/>
              </w:rPr>
              <w:instrText xml:space="preserve"> PAGEREF _Toc36639233 \h </w:instrText>
            </w:r>
            <w:r w:rsidR="00DA2318">
              <w:rPr>
                <w:noProof/>
                <w:webHidden/>
              </w:rPr>
            </w:r>
            <w:r w:rsidR="00DA2318">
              <w:rPr>
                <w:noProof/>
                <w:webHidden/>
              </w:rPr>
              <w:fldChar w:fldCharType="separate"/>
            </w:r>
            <w:r w:rsidR="00DA2318">
              <w:rPr>
                <w:noProof/>
                <w:webHidden/>
              </w:rPr>
              <w:t>124</w:t>
            </w:r>
            <w:r w:rsidR="00DA2318">
              <w:rPr>
                <w:noProof/>
                <w:webHidden/>
              </w:rPr>
              <w:fldChar w:fldCharType="end"/>
            </w:r>
          </w:hyperlink>
        </w:p>
        <w:p w14:paraId="5D191EB3" w14:textId="02DF6026" w:rsidR="00DA2318" w:rsidRDefault="00F267EF">
          <w:pPr>
            <w:pStyle w:val="20"/>
            <w:tabs>
              <w:tab w:val="right" w:leader="dot" w:pos="8778"/>
            </w:tabs>
            <w:rPr>
              <w:rFonts w:eastAsiaTheme="minorEastAsia" w:cstheme="minorBidi"/>
              <w:noProof/>
              <w:lang w:eastAsia="el-GR"/>
            </w:rPr>
          </w:pPr>
          <w:hyperlink w:anchor="_Toc36639234" w:history="1">
            <w:r w:rsidR="00DA2318" w:rsidRPr="007E6FE9">
              <w:rPr>
                <w:rStyle w:val="-"/>
                <w:noProof/>
              </w:rPr>
              <w:t>Αξιολόγηση της επενδυτική στρατηγικής που εφαρμόστηκε</w:t>
            </w:r>
            <w:r w:rsidR="00DA2318">
              <w:rPr>
                <w:noProof/>
                <w:webHidden/>
              </w:rPr>
              <w:tab/>
            </w:r>
            <w:r w:rsidR="00DA2318">
              <w:rPr>
                <w:noProof/>
                <w:webHidden/>
              </w:rPr>
              <w:fldChar w:fldCharType="begin"/>
            </w:r>
            <w:r w:rsidR="00DA2318">
              <w:rPr>
                <w:noProof/>
                <w:webHidden/>
              </w:rPr>
              <w:instrText xml:space="preserve"> PAGEREF _Toc36639234 \h </w:instrText>
            </w:r>
            <w:r w:rsidR="00DA2318">
              <w:rPr>
                <w:noProof/>
                <w:webHidden/>
              </w:rPr>
            </w:r>
            <w:r w:rsidR="00DA2318">
              <w:rPr>
                <w:noProof/>
                <w:webHidden/>
              </w:rPr>
              <w:fldChar w:fldCharType="separate"/>
            </w:r>
            <w:r w:rsidR="00DA2318">
              <w:rPr>
                <w:noProof/>
                <w:webHidden/>
              </w:rPr>
              <w:t>125</w:t>
            </w:r>
            <w:r w:rsidR="00DA2318">
              <w:rPr>
                <w:noProof/>
                <w:webHidden/>
              </w:rPr>
              <w:fldChar w:fldCharType="end"/>
            </w:r>
          </w:hyperlink>
        </w:p>
        <w:p w14:paraId="27BBAAD8" w14:textId="4077AB8C" w:rsidR="00DA2318" w:rsidRDefault="00F267EF">
          <w:pPr>
            <w:pStyle w:val="30"/>
            <w:tabs>
              <w:tab w:val="right" w:leader="dot" w:pos="8778"/>
            </w:tabs>
            <w:rPr>
              <w:rFonts w:eastAsiaTheme="minorEastAsia" w:cstheme="minorBidi"/>
              <w:noProof/>
              <w:lang w:eastAsia="el-GR"/>
            </w:rPr>
          </w:pPr>
          <w:hyperlink w:anchor="_Toc36639235" w:history="1">
            <w:r w:rsidR="00DA2318" w:rsidRPr="007E6FE9">
              <w:rPr>
                <w:rStyle w:val="-"/>
                <w:noProof/>
              </w:rPr>
              <w:t>Διασφάλιση συνοχής με τις ανάγκες της αγοράς της αγοράς</w:t>
            </w:r>
            <w:r w:rsidR="00DA2318">
              <w:rPr>
                <w:noProof/>
                <w:webHidden/>
              </w:rPr>
              <w:tab/>
            </w:r>
            <w:r w:rsidR="00DA2318">
              <w:rPr>
                <w:noProof/>
                <w:webHidden/>
              </w:rPr>
              <w:fldChar w:fldCharType="begin"/>
            </w:r>
            <w:r w:rsidR="00DA2318">
              <w:rPr>
                <w:noProof/>
                <w:webHidden/>
              </w:rPr>
              <w:instrText xml:space="preserve"> PAGEREF _Toc36639235 \h </w:instrText>
            </w:r>
            <w:r w:rsidR="00DA2318">
              <w:rPr>
                <w:noProof/>
                <w:webHidden/>
              </w:rPr>
            </w:r>
            <w:r w:rsidR="00DA2318">
              <w:rPr>
                <w:noProof/>
                <w:webHidden/>
              </w:rPr>
              <w:fldChar w:fldCharType="separate"/>
            </w:r>
            <w:r w:rsidR="00DA2318">
              <w:rPr>
                <w:noProof/>
                <w:webHidden/>
              </w:rPr>
              <w:t>125</w:t>
            </w:r>
            <w:r w:rsidR="00DA2318">
              <w:rPr>
                <w:noProof/>
                <w:webHidden/>
              </w:rPr>
              <w:fldChar w:fldCharType="end"/>
            </w:r>
          </w:hyperlink>
        </w:p>
        <w:p w14:paraId="6595F6EF" w14:textId="2ADA5873" w:rsidR="00DA2318" w:rsidRDefault="00F267EF">
          <w:pPr>
            <w:pStyle w:val="30"/>
            <w:tabs>
              <w:tab w:val="right" w:leader="dot" w:pos="8778"/>
            </w:tabs>
            <w:rPr>
              <w:rFonts w:eastAsiaTheme="minorEastAsia" w:cstheme="minorBidi"/>
              <w:noProof/>
              <w:lang w:eastAsia="el-GR"/>
            </w:rPr>
          </w:pPr>
          <w:hyperlink w:anchor="_Toc36639236" w:history="1">
            <w:r w:rsidR="00DA2318" w:rsidRPr="007E6FE9">
              <w:rPr>
                <w:rStyle w:val="-"/>
                <w:noProof/>
              </w:rPr>
              <w:t>Χαρακτηριστικά προϊόντος του προτεινόμενο μέσου χρηματοοικονομικής τεχνικής - Προσδιορισμός δυνητικών τελικών αποδεκτών</w:t>
            </w:r>
            <w:r w:rsidR="00DA2318">
              <w:rPr>
                <w:noProof/>
                <w:webHidden/>
              </w:rPr>
              <w:tab/>
            </w:r>
            <w:r w:rsidR="00DA2318">
              <w:rPr>
                <w:noProof/>
                <w:webHidden/>
              </w:rPr>
              <w:fldChar w:fldCharType="begin"/>
            </w:r>
            <w:r w:rsidR="00DA2318">
              <w:rPr>
                <w:noProof/>
                <w:webHidden/>
              </w:rPr>
              <w:instrText xml:space="preserve"> PAGEREF _Toc36639236 \h </w:instrText>
            </w:r>
            <w:r w:rsidR="00DA2318">
              <w:rPr>
                <w:noProof/>
                <w:webHidden/>
              </w:rPr>
            </w:r>
            <w:r w:rsidR="00DA2318">
              <w:rPr>
                <w:noProof/>
                <w:webHidden/>
              </w:rPr>
              <w:fldChar w:fldCharType="separate"/>
            </w:r>
            <w:r w:rsidR="00DA2318">
              <w:rPr>
                <w:noProof/>
                <w:webHidden/>
              </w:rPr>
              <w:t>127</w:t>
            </w:r>
            <w:r w:rsidR="00DA2318">
              <w:rPr>
                <w:noProof/>
                <w:webHidden/>
              </w:rPr>
              <w:fldChar w:fldCharType="end"/>
            </w:r>
          </w:hyperlink>
        </w:p>
        <w:p w14:paraId="452F2031" w14:textId="5EA1C8DB" w:rsidR="00DA2318" w:rsidRDefault="00F267EF">
          <w:pPr>
            <w:pStyle w:val="20"/>
            <w:tabs>
              <w:tab w:val="right" w:leader="dot" w:pos="8778"/>
            </w:tabs>
            <w:rPr>
              <w:rFonts w:eastAsiaTheme="minorEastAsia" w:cstheme="minorBidi"/>
              <w:noProof/>
              <w:lang w:eastAsia="el-GR"/>
            </w:rPr>
          </w:pPr>
          <w:hyperlink w:anchor="_Toc36639237" w:history="1">
            <w:r w:rsidR="00DA2318" w:rsidRPr="007E6FE9">
              <w:rPr>
                <w:rStyle w:val="-"/>
                <w:noProof/>
              </w:rPr>
              <w:t>Μηχανισμός υλοποίησης του Χρηματοοικονομικού Εργαλείου (FI)</w:t>
            </w:r>
            <w:r w:rsidR="00DA2318">
              <w:rPr>
                <w:noProof/>
                <w:webHidden/>
              </w:rPr>
              <w:tab/>
            </w:r>
            <w:r w:rsidR="00DA2318">
              <w:rPr>
                <w:noProof/>
                <w:webHidden/>
              </w:rPr>
              <w:fldChar w:fldCharType="begin"/>
            </w:r>
            <w:r w:rsidR="00DA2318">
              <w:rPr>
                <w:noProof/>
                <w:webHidden/>
              </w:rPr>
              <w:instrText xml:space="preserve"> PAGEREF _Toc36639237 \h </w:instrText>
            </w:r>
            <w:r w:rsidR="00DA2318">
              <w:rPr>
                <w:noProof/>
                <w:webHidden/>
              </w:rPr>
            </w:r>
            <w:r w:rsidR="00DA2318">
              <w:rPr>
                <w:noProof/>
                <w:webHidden/>
              </w:rPr>
              <w:fldChar w:fldCharType="separate"/>
            </w:r>
            <w:r w:rsidR="00DA2318">
              <w:rPr>
                <w:noProof/>
                <w:webHidden/>
              </w:rPr>
              <w:t>129</w:t>
            </w:r>
            <w:r w:rsidR="00DA2318">
              <w:rPr>
                <w:noProof/>
                <w:webHidden/>
              </w:rPr>
              <w:fldChar w:fldCharType="end"/>
            </w:r>
          </w:hyperlink>
        </w:p>
        <w:p w14:paraId="3BF2CAD2" w14:textId="305C84A5" w:rsidR="00DA2318" w:rsidRDefault="00F267EF">
          <w:pPr>
            <w:pStyle w:val="30"/>
            <w:tabs>
              <w:tab w:val="right" w:leader="dot" w:pos="8778"/>
            </w:tabs>
            <w:rPr>
              <w:rFonts w:eastAsiaTheme="minorEastAsia" w:cstheme="minorBidi"/>
              <w:noProof/>
              <w:lang w:eastAsia="el-GR"/>
            </w:rPr>
          </w:pPr>
          <w:hyperlink w:anchor="_Toc36639238" w:history="1">
            <w:r w:rsidR="00DA2318" w:rsidRPr="007E6FE9">
              <w:rPr>
                <w:rStyle w:val="-"/>
                <w:noProof/>
              </w:rPr>
              <w:t>Επιλογή τύπου μέσου</w:t>
            </w:r>
            <w:r w:rsidR="00DA2318">
              <w:rPr>
                <w:noProof/>
                <w:webHidden/>
              </w:rPr>
              <w:tab/>
            </w:r>
            <w:r w:rsidR="00DA2318">
              <w:rPr>
                <w:noProof/>
                <w:webHidden/>
              </w:rPr>
              <w:fldChar w:fldCharType="begin"/>
            </w:r>
            <w:r w:rsidR="00DA2318">
              <w:rPr>
                <w:noProof/>
                <w:webHidden/>
              </w:rPr>
              <w:instrText xml:space="preserve"> PAGEREF _Toc36639238 \h </w:instrText>
            </w:r>
            <w:r w:rsidR="00DA2318">
              <w:rPr>
                <w:noProof/>
                <w:webHidden/>
              </w:rPr>
            </w:r>
            <w:r w:rsidR="00DA2318">
              <w:rPr>
                <w:noProof/>
                <w:webHidden/>
              </w:rPr>
              <w:fldChar w:fldCharType="separate"/>
            </w:r>
            <w:r w:rsidR="00DA2318">
              <w:rPr>
                <w:noProof/>
                <w:webHidden/>
              </w:rPr>
              <w:t>132</w:t>
            </w:r>
            <w:r w:rsidR="00DA2318">
              <w:rPr>
                <w:noProof/>
                <w:webHidden/>
              </w:rPr>
              <w:fldChar w:fldCharType="end"/>
            </w:r>
          </w:hyperlink>
        </w:p>
        <w:p w14:paraId="6C5BBE04" w14:textId="4956F9F9" w:rsidR="00DA2318" w:rsidRDefault="00F267EF">
          <w:pPr>
            <w:pStyle w:val="30"/>
            <w:tabs>
              <w:tab w:val="right" w:leader="dot" w:pos="8778"/>
            </w:tabs>
            <w:rPr>
              <w:rFonts w:eastAsiaTheme="minorEastAsia" w:cstheme="minorBidi"/>
              <w:noProof/>
              <w:lang w:eastAsia="el-GR"/>
            </w:rPr>
          </w:pPr>
          <w:hyperlink w:anchor="_Toc36639239" w:history="1">
            <w:r w:rsidR="00DA2318" w:rsidRPr="007E6FE9">
              <w:rPr>
                <w:rStyle w:val="-"/>
                <w:noProof/>
              </w:rPr>
              <w:t>Καθορισμός των αναμενόμενων αποτελεσμάτων σε συνέπεια με το ΕΠΑνΕΚ</w:t>
            </w:r>
            <w:r w:rsidR="00DA2318">
              <w:rPr>
                <w:noProof/>
                <w:webHidden/>
              </w:rPr>
              <w:tab/>
            </w:r>
            <w:r w:rsidR="00DA2318">
              <w:rPr>
                <w:noProof/>
                <w:webHidden/>
              </w:rPr>
              <w:fldChar w:fldCharType="begin"/>
            </w:r>
            <w:r w:rsidR="00DA2318">
              <w:rPr>
                <w:noProof/>
                <w:webHidden/>
              </w:rPr>
              <w:instrText xml:space="preserve"> PAGEREF _Toc36639239 \h </w:instrText>
            </w:r>
            <w:r w:rsidR="00DA2318">
              <w:rPr>
                <w:noProof/>
                <w:webHidden/>
              </w:rPr>
            </w:r>
            <w:r w:rsidR="00DA2318">
              <w:rPr>
                <w:noProof/>
                <w:webHidden/>
              </w:rPr>
              <w:fldChar w:fldCharType="separate"/>
            </w:r>
            <w:r w:rsidR="00DA2318">
              <w:rPr>
                <w:noProof/>
                <w:webHidden/>
              </w:rPr>
              <w:t>134</w:t>
            </w:r>
            <w:r w:rsidR="00DA2318">
              <w:rPr>
                <w:noProof/>
                <w:webHidden/>
              </w:rPr>
              <w:fldChar w:fldCharType="end"/>
            </w:r>
          </w:hyperlink>
        </w:p>
        <w:p w14:paraId="16959698" w14:textId="109D27D5" w:rsidR="00DA2318" w:rsidRDefault="00F267EF">
          <w:pPr>
            <w:pStyle w:val="30"/>
            <w:tabs>
              <w:tab w:val="right" w:leader="dot" w:pos="8778"/>
            </w:tabs>
            <w:rPr>
              <w:rFonts w:eastAsiaTheme="minorEastAsia" w:cstheme="minorBidi"/>
              <w:noProof/>
              <w:lang w:eastAsia="el-GR"/>
            </w:rPr>
          </w:pPr>
          <w:hyperlink w:anchor="_Toc36639240" w:history="1">
            <w:r w:rsidR="00DA2318" w:rsidRPr="007E6FE9">
              <w:rPr>
                <w:rStyle w:val="-"/>
                <w:noProof/>
              </w:rPr>
              <w:t>Διαδικασία παρακολούθησης του χρηματοοικονομικού μέσου και έκδοση σχετικών αναφορών.</w:t>
            </w:r>
            <w:r w:rsidR="00DA2318">
              <w:rPr>
                <w:noProof/>
                <w:webHidden/>
              </w:rPr>
              <w:tab/>
            </w:r>
            <w:r w:rsidR="00DA2318">
              <w:rPr>
                <w:noProof/>
                <w:webHidden/>
              </w:rPr>
              <w:fldChar w:fldCharType="begin"/>
            </w:r>
            <w:r w:rsidR="00DA2318">
              <w:rPr>
                <w:noProof/>
                <w:webHidden/>
              </w:rPr>
              <w:instrText xml:space="preserve"> PAGEREF _Toc36639240 \h </w:instrText>
            </w:r>
            <w:r w:rsidR="00DA2318">
              <w:rPr>
                <w:noProof/>
                <w:webHidden/>
              </w:rPr>
            </w:r>
            <w:r w:rsidR="00DA2318">
              <w:rPr>
                <w:noProof/>
                <w:webHidden/>
              </w:rPr>
              <w:fldChar w:fldCharType="separate"/>
            </w:r>
            <w:r w:rsidR="00DA2318">
              <w:rPr>
                <w:noProof/>
                <w:webHidden/>
              </w:rPr>
              <w:t>138</w:t>
            </w:r>
            <w:r w:rsidR="00DA2318">
              <w:rPr>
                <w:noProof/>
                <w:webHidden/>
              </w:rPr>
              <w:fldChar w:fldCharType="end"/>
            </w:r>
          </w:hyperlink>
        </w:p>
        <w:p w14:paraId="03BEF181" w14:textId="048413BF" w:rsidR="00DA2318" w:rsidRDefault="00F267EF">
          <w:pPr>
            <w:pStyle w:val="30"/>
            <w:tabs>
              <w:tab w:val="right" w:leader="dot" w:pos="8778"/>
            </w:tabs>
            <w:rPr>
              <w:rFonts w:eastAsiaTheme="minorEastAsia" w:cstheme="minorBidi"/>
              <w:noProof/>
              <w:lang w:eastAsia="el-GR"/>
            </w:rPr>
          </w:pPr>
          <w:hyperlink w:anchor="_Toc36639241" w:history="1">
            <w:r w:rsidR="00DA2318" w:rsidRPr="007E6FE9">
              <w:rPr>
                <w:rStyle w:val="-"/>
                <w:noProof/>
              </w:rPr>
              <w:t>Διαδικασία αναθεώρησης και επικαιροποίησης της εκ των προτέρων αξιολόγησης του  Χρηματοοικονομικού Εργαλείου.</w:t>
            </w:r>
            <w:r w:rsidR="00DA2318">
              <w:rPr>
                <w:noProof/>
                <w:webHidden/>
              </w:rPr>
              <w:tab/>
            </w:r>
            <w:r w:rsidR="00DA2318">
              <w:rPr>
                <w:noProof/>
                <w:webHidden/>
              </w:rPr>
              <w:fldChar w:fldCharType="begin"/>
            </w:r>
            <w:r w:rsidR="00DA2318">
              <w:rPr>
                <w:noProof/>
                <w:webHidden/>
              </w:rPr>
              <w:instrText xml:space="preserve"> PAGEREF _Toc36639241 \h </w:instrText>
            </w:r>
            <w:r w:rsidR="00DA2318">
              <w:rPr>
                <w:noProof/>
                <w:webHidden/>
              </w:rPr>
            </w:r>
            <w:r w:rsidR="00DA2318">
              <w:rPr>
                <w:noProof/>
                <w:webHidden/>
              </w:rPr>
              <w:fldChar w:fldCharType="separate"/>
            </w:r>
            <w:r w:rsidR="00DA2318">
              <w:rPr>
                <w:noProof/>
                <w:webHidden/>
              </w:rPr>
              <w:t>139</w:t>
            </w:r>
            <w:r w:rsidR="00DA2318">
              <w:rPr>
                <w:noProof/>
                <w:webHidden/>
              </w:rPr>
              <w:fldChar w:fldCharType="end"/>
            </w:r>
          </w:hyperlink>
        </w:p>
        <w:p w14:paraId="07BBD2BB" w14:textId="4565433B" w:rsidR="0062368F" w:rsidRDefault="0062368F" w:rsidP="0062368F">
          <w:pPr>
            <w:spacing w:line="360" w:lineRule="auto"/>
          </w:pPr>
          <w:r>
            <w:rPr>
              <w:b/>
              <w:bCs/>
            </w:rPr>
            <w:fldChar w:fldCharType="end"/>
          </w:r>
        </w:p>
      </w:sdtContent>
    </w:sdt>
    <w:p w14:paraId="4B900283" w14:textId="77777777" w:rsidR="0062368F" w:rsidRDefault="0062368F">
      <w:pPr>
        <w:autoSpaceDE/>
        <w:autoSpaceDN/>
        <w:adjustRightInd/>
        <w:spacing w:before="0" w:after="200" w:line="276" w:lineRule="auto"/>
        <w:jc w:val="left"/>
        <w:rPr>
          <w:bCs/>
        </w:rPr>
      </w:pPr>
      <w:r>
        <w:rPr>
          <w:bCs/>
        </w:rPr>
        <w:br w:type="page"/>
      </w:r>
    </w:p>
    <w:p w14:paraId="6EBD265E" w14:textId="77777777" w:rsidR="000F23A2" w:rsidRPr="00D52C47" w:rsidRDefault="000F23A2" w:rsidP="00D52C47">
      <w:pPr>
        <w:spacing w:line="360" w:lineRule="auto"/>
        <w:rPr>
          <w:bCs/>
        </w:rPr>
      </w:pPr>
    </w:p>
    <w:bookmarkStart w:id="2" w:name="_Toc36639182"/>
    <w:p w14:paraId="6975C8A0" w14:textId="77777777" w:rsidR="000B1197" w:rsidRPr="00D26E1F" w:rsidRDefault="0062368F" w:rsidP="00D26E1F">
      <w:pPr>
        <w:pStyle w:val="2"/>
      </w:pPr>
      <w:r w:rsidRPr="00D52C47">
        <w:rPr>
          <w:noProof/>
          <w:lang w:eastAsia="el-GR"/>
        </w:rPr>
        <mc:AlternateContent>
          <mc:Choice Requires="wps">
            <w:drawing>
              <wp:anchor distT="0" distB="0" distL="114300" distR="114300" simplePos="0" relativeHeight="251672576" behindDoc="1" locked="0" layoutInCell="1" allowOverlap="1" wp14:anchorId="05DF33E8" wp14:editId="5ED6EE7F">
                <wp:simplePos x="0" y="0"/>
                <wp:positionH relativeFrom="page">
                  <wp:align>right</wp:align>
                </wp:positionH>
                <wp:positionV relativeFrom="paragraph">
                  <wp:posOffset>400685</wp:posOffset>
                </wp:positionV>
                <wp:extent cx="7562850" cy="24479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7562850" cy="2447925"/>
                        </a:xfrm>
                        <a:prstGeom prst="rect">
                          <a:avLst/>
                        </a:prstGeom>
                        <a:solidFill>
                          <a:srgbClr val="CBD9EB"/>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6431F" w14:textId="77777777" w:rsidR="00A34E5B" w:rsidRPr="0028442C" w:rsidRDefault="00A34E5B" w:rsidP="000B1197">
                            <w:pPr>
                              <w:jc w:val="center"/>
                              <w:rPr>
                                <w:sz w:val="96"/>
                                <w:szCs w:val="144"/>
                              </w:rPr>
                            </w:pPr>
                            <w:r w:rsidRPr="0028442C">
                              <w:rPr>
                                <w:sz w:val="96"/>
                                <w:szCs w:val="144"/>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F33E8" id="Rectangle 42" o:spid="_x0000_s1026" style="position:absolute;left:0;text-align:left;margin-left:544.3pt;margin-top:31.55pt;width:595.5pt;height:192.75pt;z-index:-2516439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" fillcolor="#cbd9eb" strokecolor="#ccdaea" strokeweight="2pt">
                <v:textbox>
                  <w:txbxContent>
                    <w:p w14:paraId="1B86431F" w14:textId="77777777" w:rsidR="00A34E5B" w:rsidRPr="0028442C" w:rsidRDefault="00A34E5B" w:rsidP="000B1197">
                      <w:pPr>
                        <w:jc w:val="center"/>
                        <w:rPr>
                          <w:sz w:val="96"/>
                          <w:szCs w:val="144"/>
                        </w:rPr>
                      </w:pPr>
                      <w:r w:rsidRPr="0028442C">
                        <w:rPr>
                          <w:sz w:val="96"/>
                          <w:szCs w:val="144"/>
                        </w:rPr>
                        <w:t>2014</w:t>
                      </w:r>
                    </w:p>
                  </w:txbxContent>
                </v:textbox>
                <w10:wrap anchorx="page"/>
              </v:rect>
            </w:pict>
          </mc:Fallback>
        </mc:AlternateContent>
      </w:r>
      <w:r w:rsidR="000B1197" w:rsidRPr="00D52C47">
        <w:t>Σύντ</w:t>
      </w:r>
      <w:r w:rsidR="000B1197" w:rsidRPr="00D26E1F">
        <w:t>ομο ιστορικό του ταμείου ΕΞΟΙΚΟΝΟΜΩ ΙΙ</w:t>
      </w:r>
      <w:bookmarkEnd w:id="2"/>
    </w:p>
    <w:p w14:paraId="669E924A" w14:textId="77777777" w:rsidR="000B1197" w:rsidRPr="00CD1EA2" w:rsidRDefault="000B1197" w:rsidP="00D52C47">
      <w:pPr>
        <w:spacing w:line="360" w:lineRule="auto"/>
        <w:rPr>
          <w:i/>
        </w:rPr>
      </w:pPr>
      <w:r w:rsidRPr="00CD1EA2">
        <w:rPr>
          <w:i/>
        </w:rPr>
        <w:t>Στις 16.</w:t>
      </w:r>
      <w:r w:rsidR="00E5630E">
        <w:rPr>
          <w:i/>
        </w:rPr>
        <w:t>0</w:t>
      </w:r>
      <w:r w:rsidRPr="00CD1EA2">
        <w:rPr>
          <w:i/>
        </w:rPr>
        <w:t xml:space="preserve">6.2014 δίδεται εντολή από τον ΓΓ ΕΣΠΑ στην Μονάδα Β1 </w:t>
      </w:r>
      <w:r w:rsidR="00E5630E">
        <w:rPr>
          <w:i/>
        </w:rPr>
        <w:t xml:space="preserve">της ΕΥΔ </w:t>
      </w:r>
      <w:r w:rsidR="00B925F9">
        <w:rPr>
          <w:i/>
        </w:rPr>
        <w:t>ΕΠΑνΕΚ</w:t>
      </w:r>
      <w:r w:rsidR="00E5630E">
        <w:rPr>
          <w:i/>
        </w:rPr>
        <w:t xml:space="preserve"> </w:t>
      </w:r>
      <w:r w:rsidRPr="00CD1EA2">
        <w:rPr>
          <w:i/>
        </w:rPr>
        <w:t xml:space="preserve">για την  «φροντίδα σύνταξης της </w:t>
      </w:r>
      <w:r w:rsidRPr="00CD1EA2">
        <w:rPr>
          <w:i/>
          <w:lang w:val="en-US"/>
        </w:rPr>
        <w:t>ex</w:t>
      </w:r>
      <w:r w:rsidRPr="00CD1EA2">
        <w:rPr>
          <w:i/>
        </w:rPr>
        <w:t xml:space="preserve"> </w:t>
      </w:r>
      <w:r w:rsidRPr="00CD1EA2">
        <w:rPr>
          <w:i/>
          <w:lang w:val="en-US"/>
        </w:rPr>
        <w:t>ante</w:t>
      </w:r>
      <w:r w:rsidRPr="00CD1EA2">
        <w:rPr>
          <w:i/>
        </w:rPr>
        <w:t xml:space="preserve"> </w:t>
      </w:r>
      <w:r w:rsidRPr="00CD1EA2">
        <w:rPr>
          <w:i/>
          <w:lang w:val="en-US"/>
        </w:rPr>
        <w:t>assessment</w:t>
      </w:r>
      <w:r w:rsidRPr="00CD1EA2">
        <w:rPr>
          <w:i/>
        </w:rPr>
        <w:t xml:space="preserve"> του νέου Ταμείου ΕΞΟΙΚΟΝΟΜΩ ΙΙ, με βάση τα σχετικά μεθοδολογικά έγγραφα της </w:t>
      </w:r>
      <w:r w:rsidR="0062368F">
        <w:rPr>
          <w:i/>
        </w:rPr>
        <w:t>Ε.Ε.</w:t>
      </w:r>
      <w:r w:rsidRPr="00CD1EA2">
        <w:rPr>
          <w:i/>
        </w:rPr>
        <w:t xml:space="preserve"> και σε συνεργασία με ΕΥΘΥ ώστε να προχωρήσει </w:t>
      </w:r>
      <w:proofErr w:type="spellStart"/>
      <w:r w:rsidRPr="00CD1EA2">
        <w:rPr>
          <w:i/>
        </w:rPr>
        <w:t>εμπροσθοβαρώς</w:t>
      </w:r>
      <w:proofErr w:type="spellEnd"/>
      <w:r w:rsidRPr="00CD1EA2">
        <w:rPr>
          <w:i/>
        </w:rPr>
        <w:t xml:space="preserve"> η δράση».</w:t>
      </w:r>
    </w:p>
    <w:p w14:paraId="6C5F1DDC" w14:textId="77777777" w:rsidR="000B1197" w:rsidRPr="00CD1EA2" w:rsidRDefault="000B1197" w:rsidP="00D52C47">
      <w:pPr>
        <w:spacing w:line="360" w:lineRule="auto"/>
        <w:rPr>
          <w:i/>
        </w:rPr>
      </w:pPr>
      <w:r w:rsidRPr="00CD1EA2">
        <w:rPr>
          <w:i/>
        </w:rPr>
        <w:t>Στις 31.</w:t>
      </w:r>
      <w:r w:rsidR="00E5630E">
        <w:rPr>
          <w:i/>
        </w:rPr>
        <w:t>0</w:t>
      </w:r>
      <w:r w:rsidRPr="00CD1EA2">
        <w:rPr>
          <w:i/>
        </w:rPr>
        <w:t xml:space="preserve">7.2014 ανατέθηκε από την ΕΥΔ </w:t>
      </w:r>
      <w:r w:rsidR="00B925F9">
        <w:rPr>
          <w:i/>
        </w:rPr>
        <w:t>ΕΠΑΝΕΚ</w:t>
      </w:r>
      <w:r w:rsidRPr="00CD1EA2">
        <w:rPr>
          <w:i/>
        </w:rPr>
        <w:t xml:space="preserve"> στην </w:t>
      </w:r>
      <w:r w:rsidRPr="00CD1EA2">
        <w:rPr>
          <w:i/>
          <w:lang w:val="en-US"/>
        </w:rPr>
        <w:t>ICAP</w:t>
      </w:r>
      <w:r w:rsidRPr="00CD1EA2">
        <w:rPr>
          <w:i/>
        </w:rPr>
        <w:t xml:space="preserve"> η εκπόνηση της </w:t>
      </w:r>
      <w:r w:rsidRPr="00CD1EA2">
        <w:rPr>
          <w:i/>
          <w:lang w:val="en-US"/>
        </w:rPr>
        <w:t>ex</w:t>
      </w:r>
      <w:r w:rsidRPr="00CD1EA2">
        <w:rPr>
          <w:i/>
        </w:rPr>
        <w:t xml:space="preserve"> </w:t>
      </w:r>
      <w:r w:rsidRPr="00CD1EA2">
        <w:rPr>
          <w:i/>
          <w:lang w:val="en-US"/>
        </w:rPr>
        <w:t>ante</w:t>
      </w:r>
      <w:r w:rsidRPr="00CD1EA2">
        <w:rPr>
          <w:i/>
        </w:rPr>
        <w:t xml:space="preserve"> </w:t>
      </w:r>
      <w:r w:rsidRPr="00CD1EA2">
        <w:rPr>
          <w:i/>
          <w:lang w:val="en-US"/>
        </w:rPr>
        <w:t>assessment</w:t>
      </w:r>
      <w:r w:rsidRPr="00CD1EA2">
        <w:rPr>
          <w:i/>
        </w:rPr>
        <w:t xml:space="preserve"> του νέου Ταμείου ΕΞΟΙΚΟΝΟΜΩ με τετράμηνη διάρκεια της σύμβασης. Σημειώνεται πως η </w:t>
      </w:r>
      <w:proofErr w:type="spellStart"/>
      <w:r w:rsidRPr="00CD1EA2">
        <w:rPr>
          <w:i/>
          <w:lang w:val="en-US"/>
        </w:rPr>
        <w:t>exante</w:t>
      </w:r>
      <w:proofErr w:type="spellEnd"/>
      <w:r w:rsidRPr="00CD1EA2">
        <w:rPr>
          <w:i/>
        </w:rPr>
        <w:t xml:space="preserve"> αφορά μόνο στον οικιακό κτιριακό τομέα και δεν λαμβάνει υπόψη της τις Επιχειρήσεις είτε ως ωφελούμενες προγραμμάτων για τον εαυτό τους είτε ως παρέχουσες υπηρεσίες εξοικονόμησης ενέργειας προς τρίτους.</w:t>
      </w:r>
    </w:p>
    <w:p w14:paraId="1809803A" w14:textId="77777777" w:rsidR="000B1197" w:rsidRPr="00CD1EA2" w:rsidRDefault="0062368F" w:rsidP="00D52C47">
      <w:pPr>
        <w:spacing w:line="360" w:lineRule="auto"/>
        <w:rPr>
          <w:i/>
        </w:rPr>
      </w:pPr>
      <w:r w:rsidRPr="00CD1EA2">
        <w:rPr>
          <w:b/>
          <w:i/>
          <w:noProof/>
          <w:u w:val="single"/>
          <w:lang w:eastAsia="el-GR"/>
        </w:rPr>
        <mc:AlternateContent>
          <mc:Choice Requires="wps">
            <w:drawing>
              <wp:anchor distT="0" distB="0" distL="114300" distR="114300" simplePos="0" relativeHeight="251674624" behindDoc="1" locked="0" layoutInCell="1" allowOverlap="1" wp14:anchorId="76886636" wp14:editId="69C60AEB">
                <wp:simplePos x="0" y="0"/>
                <wp:positionH relativeFrom="page">
                  <wp:align>left</wp:align>
                </wp:positionH>
                <wp:positionV relativeFrom="paragraph">
                  <wp:posOffset>1033144</wp:posOffset>
                </wp:positionV>
                <wp:extent cx="7562850" cy="44672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7562850" cy="4467225"/>
                        </a:xfrm>
                        <a:prstGeom prst="rect">
                          <a:avLst/>
                        </a:prstGeom>
                        <a:solidFill>
                          <a:srgbClr val="FDDFD3"/>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E39EB" w14:textId="77777777" w:rsidR="00A34E5B" w:rsidRPr="0028442C" w:rsidRDefault="00A34E5B" w:rsidP="000B1197">
                            <w:pPr>
                              <w:spacing w:line="240" w:lineRule="auto"/>
                              <w:jc w:val="center"/>
                              <w:rPr>
                                <w:sz w:val="96"/>
                                <w:szCs w:val="96"/>
                              </w:rPr>
                            </w:pPr>
                            <w:r w:rsidRPr="0028442C">
                              <w:rPr>
                                <w:sz w:val="96"/>
                                <w:szCs w:val="96"/>
                              </w:rPr>
                              <w:t>201</w:t>
                            </w:r>
                            <w:r>
                              <w:rPr>
                                <w:sz w:val="96"/>
                                <w:szCs w:val="9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86636" id="Rectangle 49" o:spid="_x0000_s1027" style="position:absolute;left:0;text-align:left;margin-left:0;margin-top:81.35pt;width:595.5pt;height:351.75pt;z-index:-2516418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" fillcolor="#fddfd3" strokecolor="#ccdaea" strokeweight="2pt">
                <v:textbox>
                  <w:txbxContent>
                    <w:p w14:paraId="3C2E39EB" w14:textId="77777777" w:rsidR="00A34E5B" w:rsidRPr="0028442C" w:rsidRDefault="00A34E5B" w:rsidP="000B1197">
                      <w:pPr>
                        <w:spacing w:line="240" w:lineRule="auto"/>
                        <w:jc w:val="center"/>
                        <w:rPr>
                          <w:sz w:val="96"/>
                          <w:szCs w:val="96"/>
                        </w:rPr>
                      </w:pPr>
                      <w:r w:rsidRPr="0028442C">
                        <w:rPr>
                          <w:sz w:val="96"/>
                          <w:szCs w:val="96"/>
                        </w:rPr>
                        <w:t>201</w:t>
                      </w:r>
                      <w:r>
                        <w:rPr>
                          <w:sz w:val="96"/>
                          <w:szCs w:val="96"/>
                        </w:rPr>
                        <w:t>6</w:t>
                      </w:r>
                    </w:p>
                  </w:txbxContent>
                </v:textbox>
                <w10:wrap anchorx="page"/>
              </v:rect>
            </w:pict>
          </mc:Fallback>
        </mc:AlternateContent>
      </w:r>
      <w:r w:rsidRPr="00CD1EA2">
        <w:rPr>
          <w:b/>
          <w:i/>
          <w:noProof/>
          <w:u w:val="single"/>
          <w:lang w:eastAsia="el-GR"/>
        </w:rPr>
        <mc:AlternateContent>
          <mc:Choice Requires="wps">
            <w:drawing>
              <wp:anchor distT="0" distB="0" distL="114300" distR="114300" simplePos="0" relativeHeight="251681792" behindDoc="1" locked="0" layoutInCell="1" allowOverlap="1" wp14:anchorId="6D9DC963" wp14:editId="5943CA02">
                <wp:simplePos x="0" y="0"/>
                <wp:positionH relativeFrom="margin">
                  <wp:align>center</wp:align>
                </wp:positionH>
                <wp:positionV relativeFrom="paragraph">
                  <wp:posOffset>16510</wp:posOffset>
                </wp:positionV>
                <wp:extent cx="7562850" cy="10287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7562850" cy="1028700"/>
                        </a:xfrm>
                        <a:prstGeom prst="rect">
                          <a:avLst/>
                        </a:prstGeom>
                        <a:solidFill>
                          <a:srgbClr val="E8D3FD"/>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A0E3D" w14:textId="77777777" w:rsidR="00A34E5B" w:rsidRPr="0028442C" w:rsidRDefault="00A34E5B" w:rsidP="000B1197">
                            <w:pPr>
                              <w:spacing w:line="240" w:lineRule="auto"/>
                              <w:jc w:val="center"/>
                              <w:rPr>
                                <w:sz w:val="96"/>
                                <w:szCs w:val="96"/>
                              </w:rPr>
                            </w:pPr>
                            <w:r w:rsidRPr="0028442C">
                              <w:rPr>
                                <w:sz w:val="96"/>
                                <w:szCs w:val="96"/>
                              </w:rPr>
                              <w:t>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DC963" id="Rectangle 62" o:spid="_x0000_s1028" style="position:absolute;left:0;text-align:left;margin-left:0;margin-top:1.3pt;width:595.5pt;height:81pt;z-index:-251634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" fillcolor="#e8d3fd" strokecolor="#ccdaea" strokeweight="2pt">
                <v:textbox>
                  <w:txbxContent>
                    <w:p w14:paraId="063A0E3D" w14:textId="77777777" w:rsidR="00A34E5B" w:rsidRPr="0028442C" w:rsidRDefault="00A34E5B" w:rsidP="000B1197">
                      <w:pPr>
                        <w:spacing w:line="240" w:lineRule="auto"/>
                        <w:jc w:val="center"/>
                        <w:rPr>
                          <w:sz w:val="96"/>
                          <w:szCs w:val="96"/>
                        </w:rPr>
                      </w:pPr>
                      <w:r w:rsidRPr="0028442C">
                        <w:rPr>
                          <w:sz w:val="96"/>
                          <w:szCs w:val="96"/>
                        </w:rPr>
                        <w:t>2015</w:t>
                      </w:r>
                    </w:p>
                  </w:txbxContent>
                </v:textbox>
                <w10:wrap anchorx="margin"/>
              </v:rect>
            </w:pict>
          </mc:Fallback>
        </mc:AlternateContent>
      </w:r>
      <w:r w:rsidR="000B1197" w:rsidRPr="00CD1EA2">
        <w:rPr>
          <w:i/>
        </w:rPr>
        <w:t>Στις 25</w:t>
      </w:r>
      <w:r w:rsidR="00E5630E">
        <w:rPr>
          <w:i/>
        </w:rPr>
        <w:t>.02.</w:t>
      </w:r>
      <w:r w:rsidR="000B1197" w:rsidRPr="00CD1EA2">
        <w:rPr>
          <w:i/>
        </w:rPr>
        <w:t xml:space="preserve">2015 παρουσιάζεται στην «ετήσια συνάντηση» η </w:t>
      </w:r>
      <w:proofErr w:type="spellStart"/>
      <w:r w:rsidR="000B1197" w:rsidRPr="00CD1EA2">
        <w:rPr>
          <w:i/>
          <w:lang w:val="en-US"/>
        </w:rPr>
        <w:t>exante</w:t>
      </w:r>
      <w:proofErr w:type="spellEnd"/>
      <w:r w:rsidR="000B1197" w:rsidRPr="00CD1EA2">
        <w:rPr>
          <w:i/>
        </w:rPr>
        <w:t xml:space="preserve">, όπως είχε ολοκληρωθεί. Στην ίδια συνάντηση εξηγείται η αναγκαιότητα εναρμόνισης της ελληνικής νομοθεσίας με την κοινοτική νομοθεσία προκειμένου να καλυφθεί η </w:t>
      </w:r>
      <w:proofErr w:type="spellStart"/>
      <w:r w:rsidR="000B1197" w:rsidRPr="00CD1EA2">
        <w:rPr>
          <w:i/>
        </w:rPr>
        <w:t>αιρεσιμότητα</w:t>
      </w:r>
      <w:proofErr w:type="spellEnd"/>
      <w:r w:rsidR="000B1197" w:rsidRPr="00CD1EA2">
        <w:rPr>
          <w:i/>
        </w:rPr>
        <w:t xml:space="preserve"> για την </w:t>
      </w:r>
      <w:r w:rsidR="004F576E">
        <w:rPr>
          <w:i/>
        </w:rPr>
        <w:t>Επενδυτική</w:t>
      </w:r>
      <w:r w:rsidR="000B1197" w:rsidRPr="00CD1EA2">
        <w:rPr>
          <w:i/>
        </w:rPr>
        <w:t xml:space="preserve"> </w:t>
      </w:r>
      <w:r w:rsidR="004F576E">
        <w:rPr>
          <w:i/>
        </w:rPr>
        <w:t>Π</w:t>
      </w:r>
      <w:r w:rsidR="000B1197" w:rsidRPr="00CD1EA2">
        <w:rPr>
          <w:i/>
        </w:rPr>
        <w:t>ροτεραιότητα 4</w:t>
      </w:r>
      <w:r w:rsidR="000B1197" w:rsidRPr="00CD1EA2">
        <w:rPr>
          <w:i/>
          <w:lang w:val="en-US"/>
        </w:rPr>
        <w:t>c</w:t>
      </w:r>
      <w:r w:rsidR="000B1197" w:rsidRPr="00CD1EA2">
        <w:rPr>
          <w:i/>
        </w:rPr>
        <w:t xml:space="preserve"> (νέος </w:t>
      </w:r>
      <w:r w:rsidR="000B1197" w:rsidRPr="00CD1EA2">
        <w:rPr>
          <w:i/>
          <w:lang w:val="en-US"/>
        </w:rPr>
        <w:t>KENAK</w:t>
      </w:r>
      <w:r w:rsidR="000B1197" w:rsidRPr="00CD1EA2">
        <w:rPr>
          <w:i/>
        </w:rPr>
        <w:t xml:space="preserve">) και να εκδοθεί ο </w:t>
      </w:r>
      <w:r w:rsidR="00B925F9">
        <w:rPr>
          <w:i/>
        </w:rPr>
        <w:t>Οδηγός</w:t>
      </w:r>
      <w:r w:rsidR="000B1197" w:rsidRPr="00CD1EA2">
        <w:rPr>
          <w:i/>
        </w:rPr>
        <w:t xml:space="preserve"> </w:t>
      </w:r>
      <w:r w:rsidR="004F576E">
        <w:rPr>
          <w:i/>
        </w:rPr>
        <w:t>Εφαρμογής</w:t>
      </w:r>
      <w:r w:rsidR="000B1197" w:rsidRPr="00CD1EA2">
        <w:rPr>
          <w:i/>
        </w:rPr>
        <w:t xml:space="preserve"> της </w:t>
      </w:r>
      <w:r w:rsidR="004F576E">
        <w:rPr>
          <w:i/>
        </w:rPr>
        <w:t>Δ</w:t>
      </w:r>
      <w:r w:rsidR="000B1197" w:rsidRPr="00CD1EA2">
        <w:rPr>
          <w:i/>
        </w:rPr>
        <w:t xml:space="preserve">ράσης. </w:t>
      </w:r>
    </w:p>
    <w:p w14:paraId="3F88FBED" w14:textId="77777777" w:rsidR="000B1197" w:rsidRPr="00CD1EA2" w:rsidRDefault="000B1197" w:rsidP="00D52C47">
      <w:pPr>
        <w:spacing w:line="360" w:lineRule="auto"/>
        <w:rPr>
          <w:i/>
        </w:rPr>
      </w:pPr>
      <w:r w:rsidRPr="00CD1EA2">
        <w:rPr>
          <w:i/>
        </w:rPr>
        <w:t>Στις 12</w:t>
      </w:r>
      <w:r w:rsidR="00E5630E">
        <w:rPr>
          <w:i/>
        </w:rPr>
        <w:t>.05.</w:t>
      </w:r>
      <w:r w:rsidRPr="00CD1EA2">
        <w:rPr>
          <w:i/>
        </w:rPr>
        <w:t xml:space="preserve">2016 η Επιτελική Δομή </w:t>
      </w:r>
      <w:r w:rsidR="004F576E">
        <w:rPr>
          <w:i/>
        </w:rPr>
        <w:t xml:space="preserve">ΕΣΠΑ του Τομέα </w:t>
      </w:r>
      <w:r w:rsidRPr="00CD1EA2">
        <w:rPr>
          <w:i/>
        </w:rPr>
        <w:t xml:space="preserve">Ενέργειας του ΥΠΕΝ θέτει σε συζήτηση με την ΕΥΔ </w:t>
      </w:r>
      <w:r w:rsidR="00B925F9">
        <w:rPr>
          <w:i/>
        </w:rPr>
        <w:t>ΕΠΑνΕΚ</w:t>
      </w:r>
      <w:r w:rsidRPr="00CD1EA2">
        <w:rPr>
          <w:i/>
        </w:rPr>
        <w:t xml:space="preserve"> το πρώτο σχέδιο </w:t>
      </w:r>
      <w:r w:rsidR="00B925F9">
        <w:rPr>
          <w:i/>
        </w:rPr>
        <w:t>Οδηγού</w:t>
      </w:r>
      <w:r w:rsidRPr="00CD1EA2">
        <w:rPr>
          <w:i/>
        </w:rPr>
        <w:t xml:space="preserve"> του </w:t>
      </w:r>
      <w:r w:rsidR="00971D9A">
        <w:rPr>
          <w:i/>
        </w:rPr>
        <w:t>Προγράμματος</w:t>
      </w:r>
      <w:r w:rsidRPr="00CD1EA2">
        <w:rPr>
          <w:i/>
        </w:rPr>
        <w:t xml:space="preserve"> εξοικονομώ για διαβούλευση. Βάση του προτεινόμενου </w:t>
      </w:r>
      <w:r w:rsidR="00B925F9">
        <w:rPr>
          <w:i/>
        </w:rPr>
        <w:t>Οδηγού</w:t>
      </w:r>
      <w:r w:rsidRPr="00CD1EA2">
        <w:rPr>
          <w:i/>
        </w:rPr>
        <w:t xml:space="preserve"> προκύπτει η αναγκαιότητα για </w:t>
      </w:r>
      <w:proofErr w:type="spellStart"/>
      <w:r w:rsidRPr="00CD1EA2">
        <w:rPr>
          <w:i/>
        </w:rPr>
        <w:t>επικαιροποίηση</w:t>
      </w:r>
      <w:proofErr w:type="spellEnd"/>
      <w:r w:rsidRPr="00CD1EA2">
        <w:rPr>
          <w:i/>
        </w:rPr>
        <w:t xml:space="preserve"> της </w:t>
      </w:r>
      <w:proofErr w:type="spellStart"/>
      <w:r w:rsidRPr="00CD1EA2">
        <w:rPr>
          <w:i/>
          <w:lang w:val="en-US"/>
        </w:rPr>
        <w:t>exante</w:t>
      </w:r>
      <w:proofErr w:type="spellEnd"/>
      <w:r w:rsidRPr="00CD1EA2">
        <w:rPr>
          <w:i/>
        </w:rPr>
        <w:t xml:space="preserve"> έτσι ώστε να λάβει υπόψη της τις εξελίξεις στην τραπεζική αγορά (</w:t>
      </w:r>
      <w:r w:rsidRPr="00CD1EA2">
        <w:rPr>
          <w:i/>
          <w:lang w:val="en-US"/>
        </w:rPr>
        <w:t>capital</w:t>
      </w:r>
      <w:r w:rsidRPr="00CD1EA2">
        <w:rPr>
          <w:i/>
        </w:rPr>
        <w:t xml:space="preserve"> </w:t>
      </w:r>
      <w:r w:rsidRPr="00CD1EA2">
        <w:rPr>
          <w:i/>
          <w:lang w:val="en-US"/>
        </w:rPr>
        <w:t>controls</w:t>
      </w:r>
      <w:r w:rsidRPr="00CD1EA2">
        <w:rPr>
          <w:i/>
        </w:rPr>
        <w:t xml:space="preserve">) αλλά και τις προβλέψεις του </w:t>
      </w:r>
      <w:r w:rsidR="00B925F9">
        <w:rPr>
          <w:i/>
        </w:rPr>
        <w:t>Οδηγού</w:t>
      </w:r>
      <w:r w:rsidRPr="00CD1EA2">
        <w:rPr>
          <w:i/>
        </w:rPr>
        <w:t xml:space="preserve"> κυρίως όσον αφορά στο εθελοντικό της λήψης δανείου. </w:t>
      </w:r>
    </w:p>
    <w:p w14:paraId="0535782F" w14:textId="77777777" w:rsidR="000B1197" w:rsidRPr="00CD1EA2" w:rsidRDefault="000B1197" w:rsidP="00D52C47">
      <w:pPr>
        <w:spacing w:line="360" w:lineRule="auto"/>
        <w:rPr>
          <w:i/>
        </w:rPr>
      </w:pPr>
      <w:r w:rsidRPr="00CD1EA2">
        <w:rPr>
          <w:i/>
        </w:rPr>
        <w:t>Η 1</w:t>
      </w:r>
      <w:r w:rsidRPr="00CD1EA2">
        <w:rPr>
          <w:i/>
          <w:vertAlign w:val="superscript"/>
        </w:rPr>
        <w:t>η</w:t>
      </w:r>
      <w:r w:rsidRPr="00CD1EA2">
        <w:rPr>
          <w:i/>
        </w:rPr>
        <w:t xml:space="preserve"> </w:t>
      </w:r>
      <w:proofErr w:type="spellStart"/>
      <w:r w:rsidRPr="00CD1EA2">
        <w:rPr>
          <w:i/>
        </w:rPr>
        <w:t>επικαιροποίηση</w:t>
      </w:r>
      <w:proofErr w:type="spellEnd"/>
      <w:r w:rsidRPr="00CD1EA2">
        <w:rPr>
          <w:i/>
        </w:rPr>
        <w:t xml:space="preserve"> της </w:t>
      </w:r>
      <w:r w:rsidRPr="00CD1EA2">
        <w:rPr>
          <w:i/>
          <w:lang w:val="en-US"/>
        </w:rPr>
        <w:t>ex</w:t>
      </w:r>
      <w:r w:rsidRPr="00CD1EA2">
        <w:rPr>
          <w:i/>
        </w:rPr>
        <w:t xml:space="preserve"> </w:t>
      </w:r>
      <w:r w:rsidRPr="00CD1EA2">
        <w:rPr>
          <w:i/>
          <w:lang w:val="en-US"/>
        </w:rPr>
        <w:t>ante</w:t>
      </w:r>
      <w:r w:rsidRPr="00CD1EA2">
        <w:rPr>
          <w:i/>
        </w:rPr>
        <w:t xml:space="preserve"> </w:t>
      </w:r>
      <w:r w:rsidRPr="00CD1EA2">
        <w:rPr>
          <w:i/>
          <w:lang w:val="en-US"/>
        </w:rPr>
        <w:t>assessment</w:t>
      </w:r>
      <w:r w:rsidRPr="00CD1EA2">
        <w:rPr>
          <w:i/>
        </w:rPr>
        <w:t xml:space="preserve"> πραγματοποιείται </w:t>
      </w:r>
      <w:r w:rsidRPr="00CD1EA2">
        <w:rPr>
          <w:i/>
          <w:lang w:val="en-US"/>
        </w:rPr>
        <w:t>in</w:t>
      </w:r>
      <w:r w:rsidRPr="00CD1EA2">
        <w:rPr>
          <w:i/>
        </w:rPr>
        <w:t>-</w:t>
      </w:r>
      <w:r w:rsidRPr="00CD1EA2">
        <w:rPr>
          <w:i/>
          <w:lang w:val="en-US"/>
        </w:rPr>
        <w:t>house</w:t>
      </w:r>
      <w:r w:rsidRPr="00CD1EA2">
        <w:rPr>
          <w:i/>
        </w:rPr>
        <w:t xml:space="preserve"> </w:t>
      </w:r>
      <w:r w:rsidR="00D22567" w:rsidRPr="00CD1EA2">
        <w:rPr>
          <w:i/>
        </w:rPr>
        <w:t xml:space="preserve">από επιτροπή που αποτελούνταν από στελέχη της ΕΥΔ </w:t>
      </w:r>
      <w:r w:rsidR="00B925F9">
        <w:rPr>
          <w:i/>
        </w:rPr>
        <w:t>ΕΠΑνΕΚ</w:t>
      </w:r>
      <w:r w:rsidR="00D22567" w:rsidRPr="00CD1EA2">
        <w:rPr>
          <w:i/>
        </w:rPr>
        <w:t xml:space="preserve"> και της Επιτελικής δομής του τομέα Ενέργειας του ΥΠΕΝ</w:t>
      </w:r>
      <w:r w:rsidRPr="00CD1EA2">
        <w:rPr>
          <w:i/>
        </w:rPr>
        <w:t xml:space="preserve"> και παρουσιάζεται στην Επιτροπή Παρακολούθησης ως  </w:t>
      </w:r>
      <w:r w:rsidRPr="00CD1EA2">
        <w:rPr>
          <w:i/>
          <w:lang w:val="en-US"/>
        </w:rPr>
        <w:t>on</w:t>
      </w:r>
      <w:r w:rsidRPr="00CD1EA2">
        <w:rPr>
          <w:i/>
        </w:rPr>
        <w:t>-</w:t>
      </w:r>
      <w:r w:rsidRPr="00CD1EA2">
        <w:rPr>
          <w:i/>
          <w:lang w:val="en-US"/>
        </w:rPr>
        <w:t>going</w:t>
      </w:r>
      <w:r w:rsidRPr="00CD1EA2">
        <w:rPr>
          <w:i/>
        </w:rPr>
        <w:t xml:space="preserve"> στις 25</w:t>
      </w:r>
      <w:r w:rsidR="00E5630E">
        <w:rPr>
          <w:i/>
        </w:rPr>
        <w:t>.06.</w:t>
      </w:r>
      <w:r w:rsidRPr="00CD1EA2">
        <w:rPr>
          <w:i/>
        </w:rPr>
        <w:t xml:space="preserve">2016  όπως και το  </w:t>
      </w:r>
      <w:r w:rsidRPr="00CD1EA2">
        <w:rPr>
          <w:i/>
          <w:lang w:val="en-US"/>
        </w:rPr>
        <w:t>summary</w:t>
      </w:r>
      <w:r w:rsidRPr="00CD1EA2">
        <w:rPr>
          <w:i/>
        </w:rPr>
        <w:t xml:space="preserve"> της για δημοσίευση στις 26</w:t>
      </w:r>
      <w:r w:rsidR="00E5630E">
        <w:rPr>
          <w:i/>
        </w:rPr>
        <w:t>.06.</w:t>
      </w:r>
      <w:r w:rsidRPr="00CD1EA2">
        <w:rPr>
          <w:i/>
        </w:rPr>
        <w:t>2016. Στις 14</w:t>
      </w:r>
      <w:r w:rsidR="00E5630E">
        <w:rPr>
          <w:i/>
        </w:rPr>
        <w:t>.07.</w:t>
      </w:r>
      <w:r w:rsidRPr="00CD1EA2">
        <w:rPr>
          <w:i/>
        </w:rPr>
        <w:t xml:space="preserve">2016 αποστέλλεται από την Μονάδα στην Ειδική Γραμματεία ΕΤΠΑ η </w:t>
      </w:r>
      <w:proofErr w:type="spellStart"/>
      <w:r w:rsidRPr="00CD1EA2">
        <w:rPr>
          <w:i/>
        </w:rPr>
        <w:t>επικαιροποιημένη</w:t>
      </w:r>
      <w:proofErr w:type="spellEnd"/>
      <w:r w:rsidRPr="00CD1EA2">
        <w:rPr>
          <w:i/>
        </w:rPr>
        <w:t xml:space="preserve"> </w:t>
      </w:r>
      <w:r w:rsidRPr="00CD1EA2">
        <w:rPr>
          <w:i/>
          <w:lang w:val="en-US"/>
        </w:rPr>
        <w:t>ex</w:t>
      </w:r>
      <w:r w:rsidRPr="00CD1EA2">
        <w:rPr>
          <w:i/>
        </w:rPr>
        <w:t xml:space="preserve"> </w:t>
      </w:r>
      <w:r w:rsidRPr="00CD1EA2">
        <w:rPr>
          <w:i/>
          <w:lang w:val="en-US"/>
        </w:rPr>
        <w:t>ante</w:t>
      </w:r>
      <w:r w:rsidRPr="00CD1EA2">
        <w:rPr>
          <w:i/>
        </w:rPr>
        <w:t xml:space="preserve"> ολοκληρωμένη.</w:t>
      </w:r>
    </w:p>
    <w:p w14:paraId="6F5068AE" w14:textId="77777777" w:rsidR="000B1197" w:rsidRPr="00CD1EA2" w:rsidRDefault="000F75B2" w:rsidP="00D52C47">
      <w:pPr>
        <w:spacing w:line="360" w:lineRule="auto"/>
        <w:rPr>
          <w:i/>
        </w:rPr>
      </w:pPr>
      <w:r w:rsidRPr="00CD1EA2">
        <w:rPr>
          <w:i/>
        </w:rPr>
        <w:t xml:space="preserve">Στις </w:t>
      </w:r>
      <w:r w:rsidR="000B1197" w:rsidRPr="00CD1EA2">
        <w:rPr>
          <w:i/>
        </w:rPr>
        <w:t xml:space="preserve">29.11.2016 υπογράφεται η </w:t>
      </w:r>
      <w:r w:rsidR="000B1197" w:rsidRPr="009607E7">
        <w:rPr>
          <w:i/>
        </w:rPr>
        <w:t xml:space="preserve">ΚΥΑ σύστασης του Ταμείου Εξοικονομώ ΙΙ με ποσό 68 </w:t>
      </w:r>
      <w:r w:rsidR="004F576E" w:rsidRPr="009607E7">
        <w:rPr>
          <w:i/>
        </w:rPr>
        <w:t>εκ.€</w:t>
      </w:r>
      <w:r w:rsidR="000B1197" w:rsidRPr="009607E7">
        <w:rPr>
          <w:i/>
        </w:rPr>
        <w:t xml:space="preserve"> κατανεμημένο σε δύο </w:t>
      </w:r>
      <w:r w:rsidR="004F576E" w:rsidRPr="009607E7">
        <w:rPr>
          <w:i/>
        </w:rPr>
        <w:t>Ά</w:t>
      </w:r>
      <w:r w:rsidR="000B1197" w:rsidRPr="009607E7">
        <w:rPr>
          <w:i/>
        </w:rPr>
        <w:t xml:space="preserve">ξονες </w:t>
      </w:r>
      <w:r w:rsidR="004F576E" w:rsidRPr="009607E7">
        <w:rPr>
          <w:i/>
        </w:rPr>
        <w:t>Π</w:t>
      </w:r>
      <w:r w:rsidR="000B1197" w:rsidRPr="009607E7">
        <w:rPr>
          <w:i/>
        </w:rPr>
        <w:t xml:space="preserve">ροτεραιότητας </w:t>
      </w:r>
      <w:r w:rsidR="004F576E" w:rsidRPr="009607E7">
        <w:rPr>
          <w:i/>
        </w:rPr>
        <w:t>0</w:t>
      </w:r>
      <w:r w:rsidR="000B1197" w:rsidRPr="009607E7">
        <w:rPr>
          <w:i/>
        </w:rPr>
        <w:t xml:space="preserve">3 &amp; </w:t>
      </w:r>
      <w:r w:rsidR="004F576E" w:rsidRPr="009607E7">
        <w:rPr>
          <w:i/>
        </w:rPr>
        <w:t>0</w:t>
      </w:r>
      <w:r w:rsidR="000B1197" w:rsidRPr="009607E7">
        <w:rPr>
          <w:i/>
        </w:rPr>
        <w:t>3Σ (ΦΕΚ Β' 3905/05.12.2016).</w:t>
      </w:r>
      <w:r w:rsidR="000B1197" w:rsidRPr="00CD1EA2">
        <w:rPr>
          <w:i/>
        </w:rPr>
        <w:t xml:space="preserve"> Στην απόφαση ορίζεται η ΕΤΕΑΝ ως </w:t>
      </w:r>
      <w:r w:rsidR="000B1197" w:rsidRPr="00CD1EA2">
        <w:rPr>
          <w:i/>
          <w:lang w:val="en-US"/>
        </w:rPr>
        <w:t>fund</w:t>
      </w:r>
      <w:r w:rsidR="000B1197" w:rsidRPr="00CD1EA2">
        <w:rPr>
          <w:i/>
        </w:rPr>
        <w:t xml:space="preserve"> </w:t>
      </w:r>
      <w:r w:rsidR="000B1197" w:rsidRPr="00CD1EA2">
        <w:rPr>
          <w:i/>
          <w:lang w:val="en-US"/>
        </w:rPr>
        <w:t>manager</w:t>
      </w:r>
      <w:r w:rsidR="000B1197" w:rsidRPr="00CD1EA2">
        <w:rPr>
          <w:i/>
        </w:rPr>
        <w:t xml:space="preserve"> με την συμφωνία χρηματοδότησης με την Διαχειριστική να υπογράφεται στις 30.11.2016. Η ένταξη της πράξης στο </w:t>
      </w:r>
      <w:r w:rsidR="00971D9A">
        <w:rPr>
          <w:i/>
        </w:rPr>
        <w:t>Πρόγραμμα</w:t>
      </w:r>
      <w:r w:rsidR="000B1197" w:rsidRPr="00CD1EA2">
        <w:rPr>
          <w:i/>
        </w:rPr>
        <w:t xml:space="preserve"> </w:t>
      </w:r>
      <w:r w:rsidR="004F576E">
        <w:rPr>
          <w:i/>
        </w:rPr>
        <w:t>πραγματοποιείται</w:t>
      </w:r>
      <w:r w:rsidR="000B1197" w:rsidRPr="00CD1EA2">
        <w:rPr>
          <w:i/>
        </w:rPr>
        <w:t xml:space="preserve"> στις </w:t>
      </w:r>
      <w:r w:rsidR="004F576E">
        <w:rPr>
          <w:i/>
        </w:rPr>
        <w:t>0</w:t>
      </w:r>
      <w:r w:rsidR="000B1197" w:rsidRPr="00CD1EA2">
        <w:rPr>
          <w:i/>
        </w:rPr>
        <w:t>2.12.2016. Ταυτόχρονα γίνεται και η πρώτη εκταμίευση του 25% του Ταμείου (17εκ.</w:t>
      </w:r>
      <w:r w:rsidR="004F576E">
        <w:rPr>
          <w:i/>
        </w:rPr>
        <w:t>€</w:t>
      </w:r>
      <w:r w:rsidR="000B1197" w:rsidRPr="00CD1EA2">
        <w:rPr>
          <w:i/>
        </w:rPr>
        <w:t>) που αποτυπώνεται σε Δελτίο Δήλωσης Δαπάνης.</w:t>
      </w:r>
    </w:p>
    <w:p w14:paraId="7ACCD198" w14:textId="77777777" w:rsidR="000B1197" w:rsidRPr="00CD1EA2" w:rsidRDefault="0062368F" w:rsidP="00D52C47">
      <w:pPr>
        <w:spacing w:line="360" w:lineRule="auto"/>
        <w:rPr>
          <w:i/>
        </w:rPr>
      </w:pPr>
      <w:r w:rsidRPr="00CD1EA2">
        <w:rPr>
          <w:b/>
          <w:i/>
          <w:noProof/>
          <w:u w:val="single"/>
          <w:lang w:eastAsia="el-GR"/>
        </w:rPr>
        <w:lastRenderedPageBreak/>
        <mc:AlternateContent>
          <mc:Choice Requires="wps">
            <w:drawing>
              <wp:anchor distT="0" distB="0" distL="114300" distR="114300" simplePos="0" relativeHeight="251689984" behindDoc="1" locked="0" layoutInCell="1" allowOverlap="1" wp14:anchorId="18A99010" wp14:editId="3C08676A">
                <wp:simplePos x="0" y="0"/>
                <wp:positionH relativeFrom="page">
                  <wp:align>right</wp:align>
                </wp:positionH>
                <wp:positionV relativeFrom="paragraph">
                  <wp:posOffset>9525</wp:posOffset>
                </wp:positionV>
                <wp:extent cx="7534275" cy="1085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7534275" cy="1085850"/>
                        </a:xfrm>
                        <a:prstGeom prst="rect">
                          <a:avLst/>
                        </a:prstGeom>
                        <a:solidFill>
                          <a:srgbClr val="FDDFD3"/>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B38D9" w14:textId="77777777" w:rsidR="00A34E5B" w:rsidRPr="0028442C" w:rsidRDefault="00A34E5B" w:rsidP="0062368F">
                            <w:pPr>
                              <w:spacing w:line="240" w:lineRule="auto"/>
                              <w:jc w:val="center"/>
                              <w:rPr>
                                <w:sz w:val="96"/>
                                <w:szCs w:val="96"/>
                              </w:rPr>
                            </w:pPr>
                            <w:r w:rsidRPr="0028442C">
                              <w:rPr>
                                <w:sz w:val="96"/>
                                <w:szCs w:val="96"/>
                              </w:rPr>
                              <w:t>201</w:t>
                            </w:r>
                            <w:r>
                              <w:rPr>
                                <w:sz w:val="96"/>
                                <w:szCs w:val="9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99010" id="Rectangle 6" o:spid="_x0000_s1029" style="position:absolute;left:0;text-align:left;margin-left:542.05pt;margin-top:.75pt;width:593.25pt;height:85.5pt;z-index:-2516264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" fillcolor="#fddfd3" strokecolor="#ccdaea" strokeweight="2pt">
                <v:textbox>
                  <w:txbxContent>
                    <w:p w14:paraId="649B38D9" w14:textId="77777777" w:rsidR="00A34E5B" w:rsidRPr="0028442C" w:rsidRDefault="00A34E5B" w:rsidP="0062368F">
                      <w:pPr>
                        <w:spacing w:line="240" w:lineRule="auto"/>
                        <w:jc w:val="center"/>
                        <w:rPr>
                          <w:sz w:val="96"/>
                          <w:szCs w:val="96"/>
                        </w:rPr>
                      </w:pPr>
                      <w:r w:rsidRPr="0028442C">
                        <w:rPr>
                          <w:sz w:val="96"/>
                          <w:szCs w:val="96"/>
                        </w:rPr>
                        <w:t>201</w:t>
                      </w:r>
                      <w:r>
                        <w:rPr>
                          <w:sz w:val="96"/>
                          <w:szCs w:val="96"/>
                        </w:rPr>
                        <w:t>6</w:t>
                      </w:r>
                    </w:p>
                  </w:txbxContent>
                </v:textbox>
                <w10:wrap anchorx="page"/>
              </v:rect>
            </w:pict>
          </mc:Fallback>
        </mc:AlternateContent>
      </w:r>
      <w:r w:rsidR="000B1197" w:rsidRPr="00CD1EA2">
        <w:rPr>
          <w:i/>
        </w:rPr>
        <w:t xml:space="preserve">Στις 27.12.2016 συγκροτείται με ΚΥΑ των Υπουργών Περιβάλλοντος και Οικονομίας, η Επενδυτική Επιτροπή του Ταμείου Εξοικονομώ ΙΙ με </w:t>
      </w:r>
      <w:r w:rsidR="00D22567" w:rsidRPr="00CD1EA2">
        <w:rPr>
          <w:i/>
          <w:lang w:val="en-US"/>
        </w:rPr>
        <w:t>ex</w:t>
      </w:r>
      <w:r w:rsidR="00D22567" w:rsidRPr="00CD1EA2">
        <w:rPr>
          <w:i/>
        </w:rPr>
        <w:t xml:space="preserve"> </w:t>
      </w:r>
      <w:r w:rsidR="00D22567" w:rsidRPr="00CD1EA2">
        <w:rPr>
          <w:i/>
          <w:lang w:val="en-US"/>
        </w:rPr>
        <w:t>officio</w:t>
      </w:r>
      <w:r w:rsidR="00D22567" w:rsidRPr="00CD1EA2">
        <w:rPr>
          <w:i/>
        </w:rPr>
        <w:t xml:space="preserve"> </w:t>
      </w:r>
      <w:r w:rsidR="000B1197" w:rsidRPr="00CD1EA2">
        <w:rPr>
          <w:i/>
        </w:rPr>
        <w:t>μέλη: Τον ΓΓ Ενέργειας και Ορυκτών πρώτων υλών, τον ΓΓ ΕΣΠΑ, την ΕΓ ΕΤΠΑ</w:t>
      </w:r>
      <w:r w:rsidR="00D22567" w:rsidRPr="00CD1EA2">
        <w:rPr>
          <w:i/>
        </w:rPr>
        <w:t xml:space="preserve"> </w:t>
      </w:r>
      <w:r w:rsidR="000B1197" w:rsidRPr="00CD1EA2">
        <w:rPr>
          <w:i/>
        </w:rPr>
        <w:t xml:space="preserve">&amp; ΤΑ, την Προϊσταμένη της Επιτελικής Δομής ΕΣΠΑ του ΥΠΕΝ και τον Προϊστάμενο της Μονάδας Β1-διαχείρισης της ΕΥΔ </w:t>
      </w:r>
      <w:r w:rsidR="00B925F9">
        <w:rPr>
          <w:i/>
        </w:rPr>
        <w:t>ΕΠΑΝΕΚ</w:t>
      </w:r>
      <w:r w:rsidR="000B1197" w:rsidRPr="00CD1EA2">
        <w:rPr>
          <w:i/>
        </w:rPr>
        <w:t xml:space="preserve"> με τους αναπληρωτές τους.</w:t>
      </w:r>
    </w:p>
    <w:p w14:paraId="1E91B420" w14:textId="77777777" w:rsidR="000B1197" w:rsidRPr="00CD1EA2" w:rsidRDefault="0062368F" w:rsidP="00D52C47">
      <w:pPr>
        <w:spacing w:line="360" w:lineRule="auto"/>
        <w:rPr>
          <w:i/>
        </w:rPr>
      </w:pPr>
      <w:r w:rsidRPr="00CD1EA2">
        <w:rPr>
          <w:b/>
          <w:i/>
          <w:noProof/>
          <w:u w:val="single"/>
          <w:lang w:eastAsia="el-GR"/>
        </w:rPr>
        <mc:AlternateContent>
          <mc:Choice Requires="wps">
            <w:drawing>
              <wp:anchor distT="0" distB="0" distL="114300" distR="114300" simplePos="0" relativeHeight="251676672" behindDoc="1" locked="0" layoutInCell="1" allowOverlap="1" wp14:anchorId="297430CA" wp14:editId="698082B5">
                <wp:simplePos x="0" y="0"/>
                <wp:positionH relativeFrom="column">
                  <wp:posOffset>-981075</wp:posOffset>
                </wp:positionH>
                <wp:positionV relativeFrom="paragraph">
                  <wp:posOffset>5715</wp:posOffset>
                </wp:positionV>
                <wp:extent cx="7562850" cy="53721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7562850" cy="5372100"/>
                        </a:xfrm>
                        <a:prstGeom prst="rect">
                          <a:avLst/>
                        </a:prstGeom>
                        <a:solidFill>
                          <a:srgbClr val="D8F8ED"/>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32831" w14:textId="77777777" w:rsidR="00A34E5B" w:rsidRPr="0028442C" w:rsidRDefault="00A34E5B" w:rsidP="000B1197">
                            <w:pPr>
                              <w:spacing w:line="240" w:lineRule="auto"/>
                              <w:jc w:val="center"/>
                              <w:rPr>
                                <w:sz w:val="96"/>
                                <w:szCs w:val="96"/>
                              </w:rPr>
                            </w:pPr>
                            <w:r w:rsidRPr="0028442C">
                              <w:rPr>
                                <w:sz w:val="96"/>
                                <w:szCs w:val="96"/>
                              </w:rPr>
                              <w:t>201</w:t>
                            </w:r>
                            <w:r>
                              <w:rPr>
                                <w:sz w:val="96"/>
                                <w:szCs w:val="9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7430CA" id="Rectangle 58" o:spid="_x0000_s1030" style="position:absolute;left:0;text-align:left;margin-left:-77.25pt;margin-top:.45pt;width:595.5pt;height:423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" fillcolor="#d8f8ed" strokecolor="#ccdaea" strokeweight="2pt">
                <v:textbox>
                  <w:txbxContent>
                    <w:p w14:paraId="16032831" w14:textId="77777777" w:rsidR="00A34E5B" w:rsidRPr="0028442C" w:rsidRDefault="00A34E5B" w:rsidP="000B1197">
                      <w:pPr>
                        <w:spacing w:line="240" w:lineRule="auto"/>
                        <w:jc w:val="center"/>
                        <w:rPr>
                          <w:sz w:val="96"/>
                          <w:szCs w:val="96"/>
                        </w:rPr>
                      </w:pPr>
                      <w:r w:rsidRPr="0028442C">
                        <w:rPr>
                          <w:sz w:val="96"/>
                          <w:szCs w:val="96"/>
                        </w:rPr>
                        <w:t>201</w:t>
                      </w:r>
                      <w:r>
                        <w:rPr>
                          <w:sz w:val="96"/>
                          <w:szCs w:val="96"/>
                        </w:rPr>
                        <w:t>7</w:t>
                      </w:r>
                    </w:p>
                  </w:txbxContent>
                </v:textbox>
              </v:rect>
            </w:pict>
          </mc:Fallback>
        </mc:AlternateContent>
      </w:r>
      <w:r w:rsidR="000B1197" w:rsidRPr="00CD1EA2">
        <w:rPr>
          <w:i/>
        </w:rPr>
        <w:t>Στις 16</w:t>
      </w:r>
      <w:r w:rsidR="00E5630E">
        <w:rPr>
          <w:i/>
        </w:rPr>
        <w:t>.06.</w:t>
      </w:r>
      <w:r w:rsidR="000B1197" w:rsidRPr="00CD1EA2">
        <w:rPr>
          <w:i/>
        </w:rPr>
        <w:t xml:space="preserve">2017 η </w:t>
      </w:r>
      <w:r>
        <w:rPr>
          <w:i/>
        </w:rPr>
        <w:t>Ε.Ε.</w:t>
      </w:r>
      <w:r w:rsidR="000B1197" w:rsidRPr="00CD1EA2">
        <w:rPr>
          <w:i/>
        </w:rPr>
        <w:t xml:space="preserve"> εγκρίνει το σχέδιο ΚΥΑ για τον ΚΕΝΑΚ και την εκπλήρωση της </w:t>
      </w:r>
      <w:proofErr w:type="spellStart"/>
      <w:r w:rsidR="000B1197" w:rsidRPr="00CD1EA2">
        <w:rPr>
          <w:i/>
        </w:rPr>
        <w:t>αιρεσιμότητας</w:t>
      </w:r>
      <w:proofErr w:type="spellEnd"/>
      <w:r w:rsidR="000B1197" w:rsidRPr="00CD1EA2">
        <w:rPr>
          <w:i/>
        </w:rPr>
        <w:t xml:space="preserve"> </w:t>
      </w:r>
      <w:r w:rsidR="004F576E">
        <w:rPr>
          <w:i/>
        </w:rPr>
        <w:t>της Επενδυτικής Προτεραιότητας</w:t>
      </w:r>
      <w:r w:rsidR="004F576E" w:rsidRPr="00CD1EA2">
        <w:rPr>
          <w:i/>
        </w:rPr>
        <w:t xml:space="preserve"> </w:t>
      </w:r>
      <w:r w:rsidR="000B1197" w:rsidRPr="00CD1EA2">
        <w:rPr>
          <w:i/>
        </w:rPr>
        <w:t>4</w:t>
      </w:r>
      <w:r w:rsidR="000B1197" w:rsidRPr="00CD1EA2">
        <w:rPr>
          <w:i/>
          <w:lang w:val="en-US"/>
        </w:rPr>
        <w:t>c</w:t>
      </w:r>
      <w:r w:rsidR="000B1197" w:rsidRPr="00CD1EA2">
        <w:rPr>
          <w:i/>
        </w:rPr>
        <w:t xml:space="preserve">. Την ίδια </w:t>
      </w:r>
      <w:r w:rsidR="004F576E">
        <w:rPr>
          <w:i/>
        </w:rPr>
        <w:t>η</w:t>
      </w:r>
      <w:r w:rsidR="000B1197" w:rsidRPr="00CD1EA2">
        <w:rPr>
          <w:i/>
        </w:rPr>
        <w:t xml:space="preserve">μέρα </w:t>
      </w:r>
      <w:r w:rsidR="004F576E">
        <w:rPr>
          <w:i/>
        </w:rPr>
        <w:t>και έπειτα</w:t>
      </w:r>
      <w:r w:rsidR="000B1197" w:rsidRPr="00CD1EA2">
        <w:rPr>
          <w:i/>
        </w:rPr>
        <w:t xml:space="preserve"> από </w:t>
      </w:r>
      <w:r w:rsidR="004F576E">
        <w:rPr>
          <w:i/>
        </w:rPr>
        <w:t xml:space="preserve">μακρά </w:t>
      </w:r>
      <w:r w:rsidR="000B1197" w:rsidRPr="00CD1EA2">
        <w:rPr>
          <w:i/>
        </w:rPr>
        <w:t>διαβούλευση με ΕΤΕΑΝ,</w:t>
      </w:r>
      <w:r w:rsidR="00D22567" w:rsidRPr="00CD1EA2">
        <w:rPr>
          <w:i/>
        </w:rPr>
        <w:t xml:space="preserve"> </w:t>
      </w:r>
      <w:r w:rsidR="000B1197" w:rsidRPr="00CD1EA2">
        <w:rPr>
          <w:i/>
        </w:rPr>
        <w:t>ΕΥΘΥ &amp; ΕΥΚΕ δίνεται σύμφωνη γνώμη στην «Πρόσκληση εκδήλωσης ενδιαφέροντος προς χρηματοπιστωτικούς οργανισμούς (ΕΧΟ) για την δημιουργία Ταμείου δάνειων, και προσχώρηση σε συνεργασία με σκοπό την από κοινού επένδυση κεφαλαίων για την παροχή δανείων, στο πλαίσιο του «Ταμείου Εξοικονομώ ΙΙ»» που εκδίδει η ΕΤΕΑΝ.</w:t>
      </w:r>
    </w:p>
    <w:p w14:paraId="56B7E57F" w14:textId="77777777" w:rsidR="000B1197" w:rsidRPr="00CD1EA2" w:rsidRDefault="000B1197" w:rsidP="00D52C47">
      <w:pPr>
        <w:spacing w:line="360" w:lineRule="auto"/>
        <w:rPr>
          <w:i/>
        </w:rPr>
      </w:pPr>
      <w:r w:rsidRPr="00CD1EA2">
        <w:rPr>
          <w:i/>
        </w:rPr>
        <w:t xml:space="preserve">Στις </w:t>
      </w:r>
      <w:r w:rsidR="004F576E">
        <w:rPr>
          <w:i/>
        </w:rPr>
        <w:t>0</w:t>
      </w:r>
      <w:r w:rsidRPr="00CD1EA2">
        <w:rPr>
          <w:i/>
        </w:rPr>
        <w:t>3</w:t>
      </w:r>
      <w:r w:rsidR="00E5630E">
        <w:rPr>
          <w:i/>
        </w:rPr>
        <w:t>.07.</w:t>
      </w:r>
      <w:r w:rsidRPr="00CD1EA2">
        <w:rPr>
          <w:i/>
        </w:rPr>
        <w:t xml:space="preserve">2017 εκδίδεται η Απόφαση Ένταξης της πράξης των </w:t>
      </w:r>
      <w:r w:rsidRPr="00CD1EA2">
        <w:rPr>
          <w:i/>
          <w:lang w:val="en-US"/>
        </w:rPr>
        <w:t>grants</w:t>
      </w:r>
      <w:r w:rsidRPr="00CD1EA2">
        <w:rPr>
          <w:i/>
        </w:rPr>
        <w:t xml:space="preserve"> με ποσό 180,05 εκ</w:t>
      </w:r>
      <w:r w:rsidR="004F576E">
        <w:rPr>
          <w:i/>
        </w:rPr>
        <w:t>.</w:t>
      </w:r>
      <w:r w:rsidRPr="00CD1EA2">
        <w:rPr>
          <w:i/>
        </w:rPr>
        <w:t>€</w:t>
      </w:r>
      <w:r w:rsidR="004F576E">
        <w:rPr>
          <w:i/>
        </w:rPr>
        <w:t>.</w:t>
      </w:r>
      <w:r w:rsidRPr="00CD1EA2">
        <w:rPr>
          <w:i/>
        </w:rPr>
        <w:t xml:space="preserve"> από το </w:t>
      </w:r>
      <w:r w:rsidR="00B925F9">
        <w:rPr>
          <w:i/>
        </w:rPr>
        <w:t>ΕΠΑΝΕΚ</w:t>
      </w:r>
      <w:r w:rsidR="00D22567" w:rsidRPr="00CD1EA2">
        <w:rPr>
          <w:i/>
        </w:rPr>
        <w:t xml:space="preserve"> και περιλαμβάνε</w:t>
      </w:r>
      <w:r w:rsidRPr="00CD1EA2">
        <w:rPr>
          <w:i/>
        </w:rPr>
        <w:t xml:space="preserve">ι και το κόστος διαχείρισης της ΕΤΕΑΝ ως </w:t>
      </w:r>
      <w:r w:rsidRPr="00CD1EA2">
        <w:rPr>
          <w:i/>
          <w:lang w:val="en-US"/>
        </w:rPr>
        <w:t>fund</w:t>
      </w:r>
      <w:r w:rsidRPr="00CD1EA2">
        <w:rPr>
          <w:i/>
        </w:rPr>
        <w:t xml:space="preserve"> </w:t>
      </w:r>
      <w:r w:rsidRPr="00CD1EA2">
        <w:rPr>
          <w:i/>
          <w:lang w:val="en-US"/>
        </w:rPr>
        <w:t>manager</w:t>
      </w:r>
      <w:r w:rsidRPr="00CD1EA2">
        <w:rPr>
          <w:i/>
        </w:rPr>
        <w:t>. Παράλληλα εκδίδουν αποφάσεις τα ΠΕΠ πλην Ανατολικής, Δυτικής, Κεντρικής Μακεδονίας &amp; ΠΕΠ Θεσσαλίας για ποσά ύψους 44,1 εκ</w:t>
      </w:r>
      <w:r w:rsidR="004F576E">
        <w:rPr>
          <w:i/>
        </w:rPr>
        <w:t>.</w:t>
      </w:r>
      <w:r w:rsidRPr="00CD1EA2">
        <w:rPr>
          <w:i/>
        </w:rPr>
        <w:t>€</w:t>
      </w:r>
      <w:r w:rsidR="004F576E">
        <w:rPr>
          <w:i/>
        </w:rPr>
        <w:t>.</w:t>
      </w:r>
    </w:p>
    <w:p w14:paraId="67EC29FA" w14:textId="77777777" w:rsidR="00EB56A7" w:rsidRPr="00CD1EA2" w:rsidRDefault="00EB56A7" w:rsidP="00D52C47">
      <w:pPr>
        <w:spacing w:line="360" w:lineRule="auto"/>
        <w:rPr>
          <w:i/>
        </w:rPr>
      </w:pPr>
      <w:r w:rsidRPr="00CD1EA2">
        <w:rPr>
          <w:rFonts w:cs="MyriadPro-Regular"/>
          <w:i/>
        </w:rPr>
        <w:t>Στις 30</w:t>
      </w:r>
      <w:r w:rsidR="00E5630E">
        <w:rPr>
          <w:rFonts w:cs="MyriadPro-Regular"/>
          <w:i/>
        </w:rPr>
        <w:t>.08.</w:t>
      </w:r>
      <w:r w:rsidRPr="00CD1EA2">
        <w:rPr>
          <w:rFonts w:cs="MyriadPro-Regular"/>
          <w:i/>
        </w:rPr>
        <w:t xml:space="preserve">2017 δημοσιεύεται η 1η τροποποίηση της κοινής υπουργικής απόφασης με </w:t>
      </w:r>
      <w:proofErr w:type="spellStart"/>
      <w:r w:rsidRPr="00CD1EA2">
        <w:rPr>
          <w:rFonts w:cs="MyriadPro-Regular"/>
          <w:i/>
        </w:rPr>
        <w:t>αριθμ</w:t>
      </w:r>
      <w:proofErr w:type="spellEnd"/>
      <w:r w:rsidRPr="00CD1EA2">
        <w:rPr>
          <w:rFonts w:cs="MyriadPro-Regular"/>
          <w:i/>
        </w:rPr>
        <w:t>. 7313/1818/29.11.2016 «Σύσταση Ταμείου Χαρτοφυλακίου με την επωνυμία "ΤΑΜΕΙΟ ΕΞΟΙΚΟΝΟΜΩ ΙΙ"» και ΑΔΑ 733Λ4653Ο7-ΓΛΗ με αριθμ.4127/938 A1/30</w:t>
      </w:r>
      <w:r w:rsidR="00E5630E">
        <w:rPr>
          <w:rFonts w:cs="MyriadPro-Regular"/>
          <w:i/>
        </w:rPr>
        <w:t>.08.</w:t>
      </w:r>
      <w:r w:rsidRPr="00CD1EA2">
        <w:rPr>
          <w:rFonts w:cs="MyriadPro-Regular"/>
          <w:i/>
        </w:rPr>
        <w:t>2017 σε σχέση με τις αρμοδιότητες της Επενδυτικής Επιτροπής.</w:t>
      </w:r>
    </w:p>
    <w:p w14:paraId="6A134AC9" w14:textId="77777777" w:rsidR="000B1197" w:rsidRPr="00CD1EA2" w:rsidRDefault="004F576E" w:rsidP="00D52C47">
      <w:pPr>
        <w:spacing w:line="360" w:lineRule="auto"/>
        <w:rPr>
          <w:i/>
        </w:rPr>
      </w:pPr>
      <w:r>
        <w:rPr>
          <w:i/>
        </w:rPr>
        <w:t>Στις 0</w:t>
      </w:r>
      <w:r w:rsidR="000B1197" w:rsidRPr="00CD1EA2">
        <w:rPr>
          <w:i/>
        </w:rPr>
        <w:t xml:space="preserve">8.11.2017 γίνεται αποδεκτή η δωρεά της Ένωση Ελληνικών Τραπεζών από το Ελληνικό Δημόσιο (Υπουργείο Περιβάλλοντος και Ενέργειας) «του Ολοκληρωμένου Πληροφοριακού Συστήματος για την υλοποίηση του </w:t>
      </w:r>
      <w:r w:rsidR="00971D9A">
        <w:rPr>
          <w:i/>
        </w:rPr>
        <w:t>Προγράμματος</w:t>
      </w:r>
      <w:r w:rsidR="000B1197" w:rsidRPr="00CD1EA2">
        <w:rPr>
          <w:i/>
        </w:rPr>
        <w:t xml:space="preserve"> «Εξοικονόμηση </w:t>
      </w:r>
      <w:r w:rsidR="00971D9A">
        <w:rPr>
          <w:i/>
        </w:rPr>
        <w:t xml:space="preserve">Κατ’ </w:t>
      </w:r>
      <w:proofErr w:type="spellStart"/>
      <w:r w:rsidR="00971D9A">
        <w:rPr>
          <w:i/>
        </w:rPr>
        <w:t>Οίκον</w:t>
      </w:r>
      <w:proofErr w:type="spellEnd"/>
      <w:r w:rsidR="000B1197" w:rsidRPr="00CD1EA2">
        <w:rPr>
          <w:i/>
        </w:rPr>
        <w:t xml:space="preserve"> II» και της συντήρησης του συστήματος για ένα (1) έτος.</w:t>
      </w:r>
    </w:p>
    <w:p w14:paraId="0129019A" w14:textId="77777777" w:rsidR="000B1197" w:rsidRPr="00CD1EA2" w:rsidRDefault="00B722D9" w:rsidP="00D52C47">
      <w:pPr>
        <w:spacing w:line="360" w:lineRule="auto"/>
        <w:rPr>
          <w:i/>
          <w:color w:val="000000"/>
          <w:lang w:eastAsia="el-GR"/>
        </w:rPr>
      </w:pPr>
      <w:r w:rsidRPr="00CD1EA2">
        <w:rPr>
          <w:b/>
          <w:i/>
          <w:noProof/>
          <w:u w:val="single"/>
          <w:lang w:eastAsia="el-GR"/>
        </w:rPr>
        <mc:AlternateContent>
          <mc:Choice Requires="wps">
            <w:drawing>
              <wp:anchor distT="0" distB="0" distL="114300" distR="114300" simplePos="0" relativeHeight="251677696" behindDoc="1" locked="0" layoutInCell="1" allowOverlap="1" wp14:anchorId="022344FB" wp14:editId="1E1A01E4">
                <wp:simplePos x="0" y="0"/>
                <wp:positionH relativeFrom="page">
                  <wp:align>left</wp:align>
                </wp:positionH>
                <wp:positionV relativeFrom="paragraph">
                  <wp:posOffset>497205</wp:posOffset>
                </wp:positionV>
                <wp:extent cx="7562850" cy="22098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62850" cy="2209800"/>
                        </a:xfrm>
                        <a:prstGeom prst="rect">
                          <a:avLst/>
                        </a:prstGeom>
                        <a:solidFill>
                          <a:schemeClr val="bg2">
                            <a:lumMod val="90000"/>
                          </a:schemeClr>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D02DB" w14:textId="77777777" w:rsidR="00A34E5B" w:rsidRPr="0028442C" w:rsidRDefault="00A34E5B" w:rsidP="000B1197">
                            <w:pPr>
                              <w:spacing w:line="240" w:lineRule="auto"/>
                              <w:jc w:val="center"/>
                              <w:rPr>
                                <w:sz w:val="96"/>
                                <w:szCs w:val="96"/>
                              </w:rPr>
                            </w:pPr>
                            <w:r w:rsidRPr="0028442C">
                              <w:rPr>
                                <w:sz w:val="96"/>
                                <w:szCs w:val="96"/>
                              </w:rPr>
                              <w:t>201</w:t>
                            </w:r>
                            <w:r>
                              <w:rPr>
                                <w:sz w:val="96"/>
                                <w:szCs w:val="9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344FB" id="Rectangle 59" o:spid="_x0000_s1031" style="position:absolute;left:0;text-align:left;margin-left:0;margin-top:39.15pt;width:595.5pt;height:174pt;z-index:-2516387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" fillcolor="#d1c5c0 [2894]" strokecolor="#ccdaea" strokeweight="2pt">
                <v:textbox>
                  <w:txbxContent>
                    <w:p w14:paraId="623D02DB" w14:textId="77777777" w:rsidR="00A34E5B" w:rsidRPr="0028442C" w:rsidRDefault="00A34E5B" w:rsidP="000B1197">
                      <w:pPr>
                        <w:spacing w:line="240" w:lineRule="auto"/>
                        <w:jc w:val="center"/>
                        <w:rPr>
                          <w:sz w:val="96"/>
                          <w:szCs w:val="96"/>
                        </w:rPr>
                      </w:pPr>
                      <w:r w:rsidRPr="0028442C">
                        <w:rPr>
                          <w:sz w:val="96"/>
                          <w:szCs w:val="96"/>
                        </w:rPr>
                        <w:t>201</w:t>
                      </w:r>
                      <w:r>
                        <w:rPr>
                          <w:sz w:val="96"/>
                          <w:szCs w:val="96"/>
                        </w:rPr>
                        <w:t>8</w:t>
                      </w:r>
                    </w:p>
                  </w:txbxContent>
                </v:textbox>
                <w10:wrap anchorx="page"/>
              </v:rect>
            </w:pict>
          </mc:Fallback>
        </mc:AlternateContent>
      </w:r>
      <w:r w:rsidR="000B1197" w:rsidRPr="00CD1EA2">
        <w:rPr>
          <w:i/>
        </w:rPr>
        <w:t xml:space="preserve">Στις </w:t>
      </w:r>
      <w:r w:rsidR="004F576E">
        <w:rPr>
          <w:i/>
        </w:rPr>
        <w:t>0</w:t>
      </w:r>
      <w:r w:rsidR="000B1197" w:rsidRPr="00CD1EA2">
        <w:rPr>
          <w:i/>
        </w:rPr>
        <w:t>6.12.2017 η ΕΥΔ</w:t>
      </w:r>
      <w:r w:rsidR="004F576E">
        <w:rPr>
          <w:i/>
        </w:rPr>
        <w:t xml:space="preserve"> </w:t>
      </w:r>
      <w:r w:rsidR="00B925F9">
        <w:rPr>
          <w:i/>
        </w:rPr>
        <w:t>ΕΠΑνΕΚ</w:t>
      </w:r>
      <w:r w:rsidR="000B1197" w:rsidRPr="00CD1EA2">
        <w:rPr>
          <w:i/>
        </w:rPr>
        <w:t xml:space="preserve"> δίδει τη σ</w:t>
      </w:r>
      <w:r w:rsidR="000B1197" w:rsidRPr="00CD1EA2">
        <w:rPr>
          <w:i/>
          <w:color w:val="000000"/>
          <w:lang w:eastAsia="el-GR"/>
        </w:rPr>
        <w:t>ύμφωνη γνώμη της για τη διαδικασία επιλογής ΕΧΟ που διενεργήθηκε με την Πρόσκληση Εκδήλωσης Ενδιαφέροντος της ΕΤΕΑΝ.</w:t>
      </w:r>
    </w:p>
    <w:p w14:paraId="1D2F18BC" w14:textId="77777777" w:rsidR="000B1197" w:rsidRPr="00CD1EA2" w:rsidRDefault="000B1197" w:rsidP="00D52C47">
      <w:pPr>
        <w:spacing w:line="360" w:lineRule="auto"/>
        <w:rPr>
          <w:i/>
        </w:rPr>
      </w:pPr>
      <w:r w:rsidRPr="00CD1EA2">
        <w:rPr>
          <w:i/>
        </w:rPr>
        <w:t xml:space="preserve">Στις </w:t>
      </w:r>
      <w:r w:rsidR="004F576E">
        <w:rPr>
          <w:i/>
        </w:rPr>
        <w:t>0</w:t>
      </w:r>
      <w:r w:rsidRPr="00CD1EA2">
        <w:rPr>
          <w:i/>
        </w:rPr>
        <w:t>2</w:t>
      </w:r>
      <w:r w:rsidR="00E5630E">
        <w:rPr>
          <w:i/>
        </w:rPr>
        <w:t>.03.</w:t>
      </w:r>
      <w:r w:rsidRPr="00CD1EA2">
        <w:rPr>
          <w:i/>
        </w:rPr>
        <w:t xml:space="preserve">2018 εκδόθηκε σε ΦΕΚ ο </w:t>
      </w:r>
      <w:r w:rsidR="00B925F9">
        <w:rPr>
          <w:i/>
        </w:rPr>
        <w:t>Οδηγός</w:t>
      </w:r>
      <w:r w:rsidRPr="00CD1EA2">
        <w:rPr>
          <w:i/>
        </w:rPr>
        <w:t xml:space="preserve"> του </w:t>
      </w:r>
      <w:r w:rsidR="00971D9A">
        <w:rPr>
          <w:i/>
        </w:rPr>
        <w:t>Προγράμματος</w:t>
      </w:r>
      <w:r w:rsidRPr="00CD1EA2">
        <w:rPr>
          <w:i/>
        </w:rPr>
        <w:t xml:space="preserve"> </w:t>
      </w:r>
      <w:r w:rsidR="0011436C" w:rsidRPr="00CD1EA2">
        <w:rPr>
          <w:i/>
        </w:rPr>
        <w:t>(ΦΕΚ</w:t>
      </w:r>
      <w:r w:rsidR="003F0D45" w:rsidRPr="00CD1EA2">
        <w:rPr>
          <w:i/>
        </w:rPr>
        <w:t xml:space="preserve"> </w:t>
      </w:r>
      <w:r w:rsidR="00BC10F8" w:rsidRPr="00CD1EA2">
        <w:rPr>
          <w:i/>
        </w:rPr>
        <w:t>Β’</w:t>
      </w:r>
      <w:r w:rsidR="003F0D45" w:rsidRPr="00CD1EA2">
        <w:rPr>
          <w:i/>
        </w:rPr>
        <w:t xml:space="preserve"> 756</w:t>
      </w:r>
      <w:r w:rsidR="0011436C" w:rsidRPr="00CD1EA2">
        <w:rPr>
          <w:i/>
        </w:rPr>
        <w:t>/</w:t>
      </w:r>
      <w:r w:rsidR="004F576E">
        <w:rPr>
          <w:i/>
        </w:rPr>
        <w:t>0</w:t>
      </w:r>
      <w:r w:rsidR="0011436C" w:rsidRPr="00CD1EA2">
        <w:rPr>
          <w:i/>
        </w:rPr>
        <w:t>2</w:t>
      </w:r>
      <w:r w:rsidR="00E5630E">
        <w:rPr>
          <w:i/>
        </w:rPr>
        <w:t>.03.</w:t>
      </w:r>
      <w:r w:rsidR="0011436C" w:rsidRPr="00CD1EA2">
        <w:rPr>
          <w:i/>
        </w:rPr>
        <w:t xml:space="preserve">2018) </w:t>
      </w:r>
      <w:r w:rsidRPr="00CD1EA2">
        <w:rPr>
          <w:i/>
        </w:rPr>
        <w:t xml:space="preserve">με έναρξη υποβολής αιτήσεων την </w:t>
      </w:r>
      <w:r w:rsidR="004F576E">
        <w:rPr>
          <w:i/>
        </w:rPr>
        <w:t>0</w:t>
      </w:r>
      <w:r w:rsidRPr="00CD1EA2">
        <w:rPr>
          <w:i/>
        </w:rPr>
        <w:t>8</w:t>
      </w:r>
      <w:r w:rsidR="00E5630E">
        <w:rPr>
          <w:i/>
        </w:rPr>
        <w:t>.03.</w:t>
      </w:r>
      <w:r w:rsidRPr="00CD1EA2">
        <w:rPr>
          <w:i/>
        </w:rPr>
        <w:t xml:space="preserve">2018. Λόγω προβλημάτων του πληροφοριακού συστήματος και του όγκου των αιτήσεων, </w:t>
      </w:r>
      <w:r w:rsidR="00D22567" w:rsidRPr="00CD1EA2">
        <w:rPr>
          <w:i/>
        </w:rPr>
        <w:t xml:space="preserve">με ανακοινώσεις του ΥΠΕΝ </w:t>
      </w:r>
      <w:r w:rsidRPr="00CD1EA2">
        <w:rPr>
          <w:i/>
        </w:rPr>
        <w:t xml:space="preserve">αυτές υποβλήθηκαν τμηματικά ανά </w:t>
      </w:r>
      <w:r w:rsidR="00E5630E">
        <w:rPr>
          <w:i/>
        </w:rPr>
        <w:t>Περιφέρ</w:t>
      </w:r>
      <w:r w:rsidRPr="00CD1EA2">
        <w:rPr>
          <w:i/>
        </w:rPr>
        <w:t>εια έως και την 2</w:t>
      </w:r>
      <w:r w:rsidR="00E5630E">
        <w:rPr>
          <w:i/>
        </w:rPr>
        <w:t>.04.</w:t>
      </w:r>
      <w:r w:rsidRPr="00CD1EA2">
        <w:rPr>
          <w:i/>
        </w:rPr>
        <w:t xml:space="preserve">2018 μετά από τροποποίηση του </w:t>
      </w:r>
      <w:r w:rsidR="00B925F9">
        <w:rPr>
          <w:i/>
        </w:rPr>
        <w:t>Οδηγού</w:t>
      </w:r>
      <w:r w:rsidRPr="00CD1EA2">
        <w:rPr>
          <w:i/>
        </w:rPr>
        <w:t>. Συνολικά 43.740 αιτήσεις έλαβαν αριθμό πρωτοκόλλου και άλλες 12.440 έμεινα ανολοκλήρωτες. Η συνολική απαίτηση από τις 56.180 αιτήσεις έφτασε στα 530 εκ</w:t>
      </w:r>
      <w:r w:rsidR="004F576E">
        <w:rPr>
          <w:i/>
        </w:rPr>
        <w:t>.</w:t>
      </w:r>
      <w:r w:rsidRPr="00CD1EA2">
        <w:rPr>
          <w:i/>
        </w:rPr>
        <w:t>€</w:t>
      </w:r>
      <w:r w:rsidR="004F576E">
        <w:rPr>
          <w:i/>
        </w:rPr>
        <w:t>.</w:t>
      </w:r>
    </w:p>
    <w:p w14:paraId="32D4A915" w14:textId="77777777" w:rsidR="000B1197" w:rsidRDefault="000B1197" w:rsidP="00D52C47">
      <w:pPr>
        <w:spacing w:line="360" w:lineRule="auto"/>
        <w:rPr>
          <w:i/>
        </w:rPr>
      </w:pPr>
      <w:r w:rsidRPr="00CD1EA2">
        <w:rPr>
          <w:i/>
        </w:rPr>
        <w:t>Στις 24</w:t>
      </w:r>
      <w:r w:rsidR="00E5630E">
        <w:rPr>
          <w:i/>
        </w:rPr>
        <w:t>.04.</w:t>
      </w:r>
      <w:r w:rsidRPr="00CD1EA2">
        <w:rPr>
          <w:i/>
        </w:rPr>
        <w:t>2018 γίνεται αίτημα του ΥΠΕΝ για αύξηση του Προϋπολογισμού της δράσης στα 530</w:t>
      </w:r>
      <w:r w:rsidR="004F576E">
        <w:rPr>
          <w:i/>
        </w:rPr>
        <w:t>εκ.€</w:t>
      </w:r>
      <w:r w:rsidRPr="00CD1EA2">
        <w:rPr>
          <w:i/>
        </w:rPr>
        <w:t>, Το αίτημα συνδυάζεται με τη 2</w:t>
      </w:r>
      <w:r w:rsidRPr="00CD1EA2">
        <w:rPr>
          <w:i/>
          <w:vertAlign w:val="superscript"/>
        </w:rPr>
        <w:t>η</w:t>
      </w:r>
      <w:r w:rsidRPr="00CD1EA2">
        <w:rPr>
          <w:i/>
        </w:rPr>
        <w:t xml:space="preserve"> τροποποίηση του </w:t>
      </w:r>
      <w:r w:rsidR="00B925F9">
        <w:rPr>
          <w:i/>
        </w:rPr>
        <w:t>Οδηγού</w:t>
      </w:r>
      <w:r w:rsidR="00EB56A7" w:rsidRPr="00CD1EA2">
        <w:rPr>
          <w:i/>
        </w:rPr>
        <w:t xml:space="preserve"> ΦΕΚ Β</w:t>
      </w:r>
      <w:r w:rsidR="00BC10F8" w:rsidRPr="00CD1EA2">
        <w:rPr>
          <w:i/>
        </w:rPr>
        <w:t>’</w:t>
      </w:r>
      <w:r w:rsidR="003F0D45" w:rsidRPr="00CD1EA2">
        <w:rPr>
          <w:i/>
        </w:rPr>
        <w:t xml:space="preserve"> 2123</w:t>
      </w:r>
      <w:r w:rsidR="00EB56A7" w:rsidRPr="00CD1EA2">
        <w:rPr>
          <w:i/>
        </w:rPr>
        <w:t>/</w:t>
      </w:r>
      <w:r w:rsidR="004F576E">
        <w:rPr>
          <w:i/>
        </w:rPr>
        <w:t>0</w:t>
      </w:r>
      <w:r w:rsidR="00EB56A7" w:rsidRPr="00CD1EA2">
        <w:rPr>
          <w:i/>
        </w:rPr>
        <w:t>8</w:t>
      </w:r>
      <w:r w:rsidR="00E5630E">
        <w:rPr>
          <w:i/>
        </w:rPr>
        <w:t>.06.</w:t>
      </w:r>
      <w:r w:rsidR="00EB56A7" w:rsidRPr="00CD1EA2">
        <w:rPr>
          <w:i/>
        </w:rPr>
        <w:t xml:space="preserve">2018 </w:t>
      </w:r>
      <w:r w:rsidRPr="00CD1EA2">
        <w:rPr>
          <w:i/>
        </w:rPr>
        <w:t xml:space="preserve"> (η πρώτη </w:t>
      </w:r>
      <w:r w:rsidR="00EB56A7" w:rsidRPr="00CD1EA2">
        <w:rPr>
          <w:i/>
        </w:rPr>
        <w:t xml:space="preserve">- </w:t>
      </w:r>
      <w:r w:rsidR="0011436C" w:rsidRPr="00CD1EA2">
        <w:rPr>
          <w:i/>
        </w:rPr>
        <w:t xml:space="preserve">ΦΕΚ </w:t>
      </w:r>
      <w:r w:rsidR="00B722D9" w:rsidRPr="00CD1EA2">
        <w:rPr>
          <w:b/>
          <w:i/>
          <w:noProof/>
          <w:u w:val="single"/>
          <w:lang w:eastAsia="el-GR"/>
        </w:rPr>
        <w:lastRenderedPageBreak/>
        <mc:AlternateContent>
          <mc:Choice Requires="wps">
            <w:drawing>
              <wp:anchor distT="0" distB="0" distL="114300" distR="114300" simplePos="0" relativeHeight="251687936" behindDoc="1" locked="0" layoutInCell="1" allowOverlap="1" wp14:anchorId="66C73DDA" wp14:editId="049CC39E">
                <wp:simplePos x="0" y="0"/>
                <wp:positionH relativeFrom="page">
                  <wp:align>left</wp:align>
                </wp:positionH>
                <wp:positionV relativeFrom="paragraph">
                  <wp:posOffset>-1</wp:posOffset>
                </wp:positionV>
                <wp:extent cx="8553450" cy="50196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8553450" cy="5019675"/>
                        </a:xfrm>
                        <a:prstGeom prst="rect">
                          <a:avLst/>
                        </a:prstGeom>
                        <a:solidFill>
                          <a:schemeClr val="bg2">
                            <a:lumMod val="90000"/>
                          </a:schemeClr>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79C22" w14:textId="77777777" w:rsidR="00A34E5B" w:rsidRPr="0028442C" w:rsidRDefault="00A34E5B" w:rsidP="004F576E">
                            <w:pPr>
                              <w:spacing w:line="240" w:lineRule="auto"/>
                              <w:jc w:val="center"/>
                              <w:rPr>
                                <w:sz w:val="96"/>
                                <w:szCs w:val="96"/>
                              </w:rPr>
                            </w:pPr>
                            <w:r w:rsidRPr="0028442C">
                              <w:rPr>
                                <w:sz w:val="96"/>
                                <w:szCs w:val="96"/>
                              </w:rPr>
                              <w:t>201</w:t>
                            </w:r>
                            <w:r>
                              <w:rPr>
                                <w:sz w:val="96"/>
                                <w:szCs w:val="9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3DDA" id="Rectangle 3" o:spid="_x0000_s1032" style="position:absolute;left:0;text-align:left;margin-left:0;margin-top:0;width:673.5pt;height:395.25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" fillcolor="#d1c5c0 [2894]" strokecolor="#ccdaea" strokeweight="2pt">
                <v:textbox>
                  <w:txbxContent>
                    <w:p w14:paraId="70979C22" w14:textId="77777777" w:rsidR="00A34E5B" w:rsidRPr="0028442C" w:rsidRDefault="00A34E5B" w:rsidP="004F576E">
                      <w:pPr>
                        <w:spacing w:line="240" w:lineRule="auto"/>
                        <w:jc w:val="center"/>
                        <w:rPr>
                          <w:sz w:val="96"/>
                          <w:szCs w:val="96"/>
                        </w:rPr>
                      </w:pPr>
                      <w:r w:rsidRPr="0028442C">
                        <w:rPr>
                          <w:sz w:val="96"/>
                          <w:szCs w:val="96"/>
                        </w:rPr>
                        <w:t>201</w:t>
                      </w:r>
                      <w:r>
                        <w:rPr>
                          <w:sz w:val="96"/>
                          <w:szCs w:val="96"/>
                        </w:rPr>
                        <w:t>8</w:t>
                      </w:r>
                    </w:p>
                  </w:txbxContent>
                </v:textbox>
                <w10:wrap anchorx="page"/>
              </v:rect>
            </w:pict>
          </mc:Fallback>
        </mc:AlternateContent>
      </w:r>
      <w:r w:rsidR="0011436C" w:rsidRPr="00CD1EA2">
        <w:rPr>
          <w:i/>
        </w:rPr>
        <w:t>952</w:t>
      </w:r>
      <w:r w:rsidR="0011436C" w:rsidRPr="00CD1EA2">
        <w:rPr>
          <w:i/>
          <w:vertAlign w:val="superscript"/>
        </w:rPr>
        <w:t>Β</w:t>
      </w:r>
      <w:r w:rsidR="0011436C" w:rsidRPr="00CD1EA2">
        <w:rPr>
          <w:i/>
        </w:rPr>
        <w:t>/16</w:t>
      </w:r>
      <w:r w:rsidR="00E5630E">
        <w:rPr>
          <w:i/>
        </w:rPr>
        <w:t>.03.</w:t>
      </w:r>
      <w:r w:rsidR="0011436C" w:rsidRPr="00CD1EA2">
        <w:rPr>
          <w:i/>
        </w:rPr>
        <w:t>2018</w:t>
      </w:r>
      <w:r w:rsidR="00EB56A7" w:rsidRPr="00CD1EA2">
        <w:rPr>
          <w:i/>
        </w:rPr>
        <w:t xml:space="preserve"> -</w:t>
      </w:r>
      <w:r w:rsidR="0011436C" w:rsidRPr="00CD1EA2">
        <w:rPr>
          <w:i/>
        </w:rPr>
        <w:t xml:space="preserve"> </w:t>
      </w:r>
      <w:r w:rsidRPr="00CD1EA2">
        <w:rPr>
          <w:i/>
        </w:rPr>
        <w:t xml:space="preserve">αφορούσε στις ημερομηνίες που θα ήταν ανοικτό το πληροφοριακό σύστημα για συμμετοχή) για την οποία δίνεται σύμφωνη γνώμη </w:t>
      </w:r>
      <w:r w:rsidR="00D22567" w:rsidRPr="00CD1EA2">
        <w:rPr>
          <w:i/>
        </w:rPr>
        <w:t xml:space="preserve">από την ΕΥΔ </w:t>
      </w:r>
      <w:r w:rsidR="00B925F9">
        <w:rPr>
          <w:i/>
        </w:rPr>
        <w:t>ΕΠΑνΕΚ</w:t>
      </w:r>
      <w:r w:rsidR="00D22567" w:rsidRPr="00CD1EA2">
        <w:rPr>
          <w:i/>
        </w:rPr>
        <w:t xml:space="preserve"> </w:t>
      </w:r>
      <w:r w:rsidRPr="00CD1EA2">
        <w:rPr>
          <w:i/>
        </w:rPr>
        <w:t>στις 18</w:t>
      </w:r>
      <w:r w:rsidR="00E5630E">
        <w:rPr>
          <w:i/>
        </w:rPr>
        <w:t>.05.</w:t>
      </w:r>
      <w:r w:rsidRPr="00CD1EA2">
        <w:rPr>
          <w:i/>
        </w:rPr>
        <w:t>2018 με παρατηρήσεις που ενσωματώνονται. Η σχετική απόφαση ένταξης (1</w:t>
      </w:r>
      <w:r w:rsidRPr="00CD1EA2">
        <w:rPr>
          <w:i/>
          <w:vertAlign w:val="superscript"/>
        </w:rPr>
        <w:t>η</w:t>
      </w:r>
      <w:r w:rsidRPr="00CD1EA2">
        <w:rPr>
          <w:i/>
        </w:rPr>
        <w:t xml:space="preserve"> τροποποίηση) εκδίδεται στις 23</w:t>
      </w:r>
      <w:r w:rsidR="00E5630E">
        <w:rPr>
          <w:i/>
        </w:rPr>
        <w:t>.07.</w:t>
      </w:r>
      <w:r w:rsidRPr="00CD1EA2">
        <w:rPr>
          <w:i/>
        </w:rPr>
        <w:t xml:space="preserve">2018 με προσαυξημένο τον προϋπολογισμό του ΤΔΠ του </w:t>
      </w:r>
      <w:r w:rsidR="00B925F9">
        <w:rPr>
          <w:i/>
        </w:rPr>
        <w:t>ΕΠΑΝΕΚ</w:t>
      </w:r>
      <w:r w:rsidRPr="00CD1EA2">
        <w:rPr>
          <w:i/>
        </w:rPr>
        <w:t xml:space="preserve"> από 180,05 σε 487,7 </w:t>
      </w:r>
      <w:r w:rsidR="004F576E">
        <w:rPr>
          <w:i/>
        </w:rPr>
        <w:t>εκ.€</w:t>
      </w:r>
      <w:r w:rsidRPr="00CD1EA2">
        <w:rPr>
          <w:i/>
        </w:rPr>
        <w:t>.</w:t>
      </w:r>
    </w:p>
    <w:p w14:paraId="2367663B" w14:textId="77777777" w:rsidR="00BC10F8" w:rsidRPr="00CD1EA2" w:rsidRDefault="000B1197" w:rsidP="00D52C47">
      <w:pPr>
        <w:spacing w:line="360" w:lineRule="auto"/>
        <w:rPr>
          <w:i/>
        </w:rPr>
      </w:pPr>
      <w:r w:rsidRPr="00CD1EA2">
        <w:rPr>
          <w:i/>
        </w:rPr>
        <w:t>Στις 21</w:t>
      </w:r>
      <w:r w:rsidR="00E5630E">
        <w:rPr>
          <w:i/>
        </w:rPr>
        <w:t>.09.</w:t>
      </w:r>
      <w:r w:rsidRPr="00CD1EA2">
        <w:rPr>
          <w:i/>
        </w:rPr>
        <w:t>2018 έγινε 3</w:t>
      </w:r>
      <w:r w:rsidRPr="00CD1EA2">
        <w:rPr>
          <w:i/>
          <w:vertAlign w:val="superscript"/>
        </w:rPr>
        <w:t>η</w:t>
      </w:r>
      <w:r w:rsidRPr="00CD1EA2">
        <w:rPr>
          <w:i/>
        </w:rPr>
        <w:t xml:space="preserve"> τροποποίηση του </w:t>
      </w:r>
      <w:r w:rsidR="00B925F9">
        <w:rPr>
          <w:i/>
        </w:rPr>
        <w:t>Οδηγού</w:t>
      </w:r>
      <w:r w:rsidRPr="00CD1EA2">
        <w:rPr>
          <w:i/>
        </w:rPr>
        <w:t xml:space="preserve"> </w:t>
      </w:r>
      <w:r w:rsidR="00EB56A7" w:rsidRPr="00CD1EA2">
        <w:rPr>
          <w:i/>
        </w:rPr>
        <w:t>(ΦΕΚ</w:t>
      </w:r>
      <w:r w:rsidR="00BC10F8" w:rsidRPr="00CD1EA2">
        <w:rPr>
          <w:i/>
          <w:vertAlign w:val="superscript"/>
        </w:rPr>
        <w:t xml:space="preserve"> </w:t>
      </w:r>
      <w:r w:rsidR="00BC10F8" w:rsidRPr="00CD1EA2">
        <w:rPr>
          <w:i/>
        </w:rPr>
        <w:t>Β’</w:t>
      </w:r>
      <w:r w:rsidR="003F0D45" w:rsidRPr="00CD1EA2">
        <w:rPr>
          <w:i/>
        </w:rPr>
        <w:t xml:space="preserve"> 4147</w:t>
      </w:r>
      <w:r w:rsidR="00EB56A7" w:rsidRPr="00CD1EA2">
        <w:rPr>
          <w:i/>
        </w:rPr>
        <w:t>/21</w:t>
      </w:r>
      <w:r w:rsidR="00E5630E">
        <w:rPr>
          <w:i/>
        </w:rPr>
        <w:t>.09.</w:t>
      </w:r>
      <w:r w:rsidR="00EB56A7" w:rsidRPr="00CD1EA2">
        <w:rPr>
          <w:i/>
        </w:rPr>
        <w:t xml:space="preserve">2018) </w:t>
      </w:r>
      <w:r w:rsidRPr="00CD1EA2">
        <w:rPr>
          <w:i/>
        </w:rPr>
        <w:t xml:space="preserve">όπου δίνονταν διευκολύνσεις και παρατάσεις στις προθεσμίες που τίθενται για διάφορες ενέργειες των πολιτών και των τραπεζών. </w:t>
      </w:r>
    </w:p>
    <w:p w14:paraId="50C9AE3A" w14:textId="77777777" w:rsidR="00BC10F8" w:rsidRPr="00CD1EA2" w:rsidRDefault="00BC10F8" w:rsidP="00D52C47">
      <w:pPr>
        <w:spacing w:line="360" w:lineRule="auto"/>
        <w:rPr>
          <w:rFonts w:cs="MyriadPro-Regular"/>
          <w:i/>
        </w:rPr>
      </w:pPr>
      <w:r w:rsidRPr="00CD1EA2">
        <w:rPr>
          <w:rFonts w:cs="MyriadPro-Regular"/>
          <w:i/>
        </w:rPr>
        <w:t>2η Τροποποίηση της 7313/1818/29.11.2016 κοινής υπουργικής απόφασης (ΦΕΚ  Β’</w:t>
      </w:r>
      <w:r w:rsidR="003F0D45" w:rsidRPr="00CD1EA2">
        <w:rPr>
          <w:rFonts w:cs="MyriadPro-Regular"/>
          <w:i/>
        </w:rPr>
        <w:t xml:space="preserve"> 4300</w:t>
      </w:r>
      <w:r w:rsidRPr="00CD1EA2">
        <w:rPr>
          <w:rFonts w:cs="MyriadPro-Regular"/>
          <w:i/>
        </w:rPr>
        <w:t xml:space="preserve">/27.09.2018 περί σύστασης «Ταμείου Χαρτοφυλακίου με την επωνυμία "ΤΑΜΕΙΟ ΕΞΟΙΚΟΝΟΜΩ ΙΙ"» (Β΄ 3905) για ανακατανομή των πόρων ανάμεσα στις </w:t>
      </w:r>
      <w:r w:rsidR="00E5630E">
        <w:rPr>
          <w:rFonts w:cs="MyriadPro-Regular"/>
          <w:i/>
        </w:rPr>
        <w:t>Περιφέρ</w:t>
      </w:r>
      <w:r w:rsidRPr="00CD1EA2">
        <w:rPr>
          <w:rFonts w:cs="MyriadPro-Regular"/>
          <w:i/>
        </w:rPr>
        <w:t>ειες.</w:t>
      </w:r>
    </w:p>
    <w:p w14:paraId="642DBF85" w14:textId="77777777" w:rsidR="000B1197" w:rsidRPr="00CD1EA2" w:rsidRDefault="000B1197" w:rsidP="00D52C47">
      <w:pPr>
        <w:spacing w:line="360" w:lineRule="auto"/>
        <w:rPr>
          <w:i/>
        </w:rPr>
      </w:pPr>
      <w:r w:rsidRPr="00CD1EA2">
        <w:rPr>
          <w:i/>
        </w:rPr>
        <w:t xml:space="preserve">Στις 13.12.2018 </w:t>
      </w:r>
      <w:proofErr w:type="spellStart"/>
      <w:r w:rsidRPr="00CD1EA2">
        <w:rPr>
          <w:i/>
        </w:rPr>
        <w:t>κατεβλήθη</w:t>
      </w:r>
      <w:proofErr w:type="spellEnd"/>
      <w:r w:rsidRPr="00CD1EA2">
        <w:rPr>
          <w:i/>
        </w:rPr>
        <w:t xml:space="preserve"> η 2</w:t>
      </w:r>
      <w:r w:rsidRPr="00CD1EA2">
        <w:rPr>
          <w:i/>
          <w:vertAlign w:val="superscript"/>
        </w:rPr>
        <w:t>η</w:t>
      </w:r>
      <w:r w:rsidRPr="00CD1EA2">
        <w:rPr>
          <w:i/>
        </w:rPr>
        <w:t xml:space="preserve"> δόση του Ταμείου 17 </w:t>
      </w:r>
      <w:r w:rsidR="004F576E">
        <w:rPr>
          <w:i/>
        </w:rPr>
        <w:t>εκ.€</w:t>
      </w:r>
      <w:r w:rsidR="00F37AE1" w:rsidRPr="00CD1EA2">
        <w:rPr>
          <w:i/>
        </w:rPr>
        <w:t>.</w:t>
      </w:r>
      <w:r w:rsidRPr="00CD1EA2">
        <w:rPr>
          <w:i/>
        </w:rPr>
        <w:t xml:space="preserve"> </w:t>
      </w:r>
    </w:p>
    <w:p w14:paraId="4A194EBF" w14:textId="77777777" w:rsidR="00BC10F8" w:rsidRPr="00CD1EA2" w:rsidRDefault="00BC10F8" w:rsidP="00D52C47">
      <w:pPr>
        <w:tabs>
          <w:tab w:val="left" w:pos="2985"/>
        </w:tabs>
        <w:spacing w:line="360" w:lineRule="auto"/>
        <w:rPr>
          <w:i/>
        </w:rPr>
      </w:pPr>
      <w:r w:rsidRPr="00CD1EA2">
        <w:rPr>
          <w:i/>
        </w:rPr>
        <w:t>Όμοιου χαρακτήρα με την 3</w:t>
      </w:r>
      <w:r w:rsidRPr="00CD1EA2">
        <w:rPr>
          <w:i/>
          <w:vertAlign w:val="superscript"/>
        </w:rPr>
        <w:t>η</w:t>
      </w:r>
      <w:r w:rsidRPr="00CD1EA2">
        <w:rPr>
          <w:i/>
        </w:rPr>
        <w:t xml:space="preserve"> είναι και η 4</w:t>
      </w:r>
      <w:r w:rsidRPr="00CD1EA2">
        <w:rPr>
          <w:i/>
          <w:vertAlign w:val="superscript"/>
        </w:rPr>
        <w:t>η</w:t>
      </w:r>
      <w:r w:rsidRPr="00CD1EA2">
        <w:rPr>
          <w:i/>
        </w:rPr>
        <w:t xml:space="preserve"> τροποποίηση (ΦΕΚ Β’</w:t>
      </w:r>
      <w:r w:rsidR="003F0D45" w:rsidRPr="00CD1EA2">
        <w:rPr>
          <w:i/>
        </w:rPr>
        <w:t xml:space="preserve"> 1113/</w:t>
      </w:r>
      <w:r w:rsidR="004F576E">
        <w:rPr>
          <w:i/>
        </w:rPr>
        <w:t>0</w:t>
      </w:r>
      <w:r w:rsidR="003F0D45" w:rsidRPr="00CD1EA2">
        <w:rPr>
          <w:i/>
        </w:rPr>
        <w:t>3</w:t>
      </w:r>
      <w:r w:rsidR="00E5630E">
        <w:rPr>
          <w:i/>
        </w:rPr>
        <w:t>.04.</w:t>
      </w:r>
      <w:r w:rsidR="003F0D45" w:rsidRPr="00CD1EA2">
        <w:rPr>
          <w:i/>
        </w:rPr>
        <w:t xml:space="preserve">2019) </w:t>
      </w:r>
      <w:r w:rsidRPr="00CD1EA2">
        <w:rPr>
          <w:i/>
        </w:rPr>
        <w:t xml:space="preserve">που έγινε στις </w:t>
      </w:r>
      <w:r w:rsidR="004F576E">
        <w:rPr>
          <w:i/>
        </w:rPr>
        <w:t>0</w:t>
      </w:r>
      <w:r w:rsidRPr="00CD1EA2">
        <w:rPr>
          <w:i/>
        </w:rPr>
        <w:t>3</w:t>
      </w:r>
      <w:r w:rsidR="00E5630E">
        <w:rPr>
          <w:i/>
        </w:rPr>
        <w:t>.04.</w:t>
      </w:r>
      <w:r w:rsidRPr="00CD1EA2">
        <w:rPr>
          <w:i/>
        </w:rPr>
        <w:t>2019.</w:t>
      </w:r>
    </w:p>
    <w:p w14:paraId="47EED1C6" w14:textId="77777777" w:rsidR="003F0D45" w:rsidRPr="00CD1EA2" w:rsidRDefault="003F0D45" w:rsidP="00D52C47">
      <w:pPr>
        <w:tabs>
          <w:tab w:val="left" w:pos="2985"/>
        </w:tabs>
        <w:spacing w:line="360" w:lineRule="auto"/>
        <w:rPr>
          <w:i/>
        </w:rPr>
      </w:pPr>
      <w:r w:rsidRPr="00CD1EA2">
        <w:rPr>
          <w:i/>
        </w:rPr>
        <w:t>Με την ΥΑ 67/2018 (ΦΕΚ Β’ 1149/</w:t>
      </w:r>
      <w:r w:rsidR="004F576E">
        <w:rPr>
          <w:i/>
        </w:rPr>
        <w:t>0</w:t>
      </w:r>
      <w:r w:rsidRPr="00CD1EA2">
        <w:rPr>
          <w:i/>
        </w:rPr>
        <w:t>5</w:t>
      </w:r>
      <w:r w:rsidR="00E5630E">
        <w:rPr>
          <w:i/>
        </w:rPr>
        <w:t>.04.</w:t>
      </w:r>
      <w:r w:rsidRPr="00CD1EA2">
        <w:rPr>
          <w:i/>
        </w:rPr>
        <w:t xml:space="preserve">2019) διατίθεται ποσοστό 12,9 % των εσόδων από πλειστηριασμούς δικαιωμάτων εκπομπών αερίων θερμοκηπίου για το έτος 2018, για την άμεση ενίσχυση παρεμβάσεων για βελτίωση ενεργειακής απόδοσης υφιστάμενων οικιών. Οι ανωτέρω πόροι συνδυάζονται με πόρους του </w:t>
      </w:r>
      <w:r w:rsidR="00971D9A">
        <w:rPr>
          <w:i/>
        </w:rPr>
        <w:t>Προγράμματος</w:t>
      </w:r>
      <w:r w:rsidRPr="00CD1EA2">
        <w:rPr>
          <w:i/>
        </w:rPr>
        <w:t xml:space="preserve"> «Εξοικονόμηση </w:t>
      </w:r>
      <w:r w:rsidR="00971D9A">
        <w:rPr>
          <w:i/>
        </w:rPr>
        <w:t xml:space="preserve">κατ’ </w:t>
      </w:r>
      <w:proofErr w:type="spellStart"/>
      <w:r w:rsidR="00971D9A">
        <w:rPr>
          <w:i/>
        </w:rPr>
        <w:t>Οίκον</w:t>
      </w:r>
      <w:proofErr w:type="spellEnd"/>
      <w:r w:rsidRPr="00CD1EA2">
        <w:rPr>
          <w:i/>
        </w:rPr>
        <w:t xml:space="preserve"> II» για την υλοποίηση παρεμβάσεων εξοικονόμησης ενέργειας σε υφιστάμενες οικίες,</w:t>
      </w:r>
    </w:p>
    <w:p w14:paraId="2FF27159" w14:textId="77777777" w:rsidR="000B1197" w:rsidRPr="00CD1EA2" w:rsidRDefault="00B722D9" w:rsidP="00D52C47">
      <w:pPr>
        <w:tabs>
          <w:tab w:val="left" w:pos="2985"/>
        </w:tabs>
        <w:spacing w:line="360" w:lineRule="auto"/>
        <w:rPr>
          <w:i/>
        </w:rPr>
      </w:pPr>
      <w:r w:rsidRPr="00CD1EA2">
        <w:rPr>
          <w:b/>
          <w:i/>
          <w:noProof/>
          <w:u w:val="single"/>
          <w:lang w:eastAsia="el-GR"/>
        </w:rPr>
        <mc:AlternateContent>
          <mc:Choice Requires="wps">
            <w:drawing>
              <wp:anchor distT="0" distB="0" distL="114300" distR="114300" simplePos="0" relativeHeight="251692032" behindDoc="1" locked="0" layoutInCell="1" allowOverlap="1" wp14:anchorId="0D093BB3" wp14:editId="3643F774">
                <wp:simplePos x="0" y="0"/>
                <wp:positionH relativeFrom="page">
                  <wp:align>left</wp:align>
                </wp:positionH>
                <wp:positionV relativeFrom="paragraph">
                  <wp:posOffset>5715</wp:posOffset>
                </wp:positionV>
                <wp:extent cx="7562850" cy="3590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7562850" cy="3590925"/>
                        </a:xfrm>
                        <a:prstGeom prst="rect">
                          <a:avLst/>
                        </a:prstGeom>
                        <a:solidFill>
                          <a:schemeClr val="accent5">
                            <a:lumMod val="40000"/>
                            <a:lumOff val="60000"/>
                          </a:schemeClr>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B3149" w14:textId="77777777" w:rsidR="00A34E5B" w:rsidRPr="0028442C" w:rsidRDefault="00A34E5B" w:rsidP="00B722D9">
                            <w:pPr>
                              <w:spacing w:line="240" w:lineRule="auto"/>
                              <w:jc w:val="center"/>
                              <w:rPr>
                                <w:sz w:val="96"/>
                                <w:szCs w:val="96"/>
                              </w:rPr>
                            </w:pPr>
                            <w:r w:rsidRPr="0028442C">
                              <w:rPr>
                                <w:sz w:val="96"/>
                                <w:szCs w:val="96"/>
                              </w:rPr>
                              <w:t>201</w:t>
                            </w:r>
                            <w:r>
                              <w:rPr>
                                <w:sz w:val="96"/>
                                <w:szCs w:val="9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93BB3" id="Rectangle 9" o:spid="_x0000_s1033" style="position:absolute;left:0;text-align:left;margin-left:0;margin-top:.45pt;width:595.5pt;height:282.75pt;z-index:-2516244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" fillcolor="#f5b5a7 [1304]" strokecolor="#ccdaea" strokeweight="2pt">
                <v:textbox>
                  <w:txbxContent>
                    <w:p w14:paraId="565B3149" w14:textId="77777777" w:rsidR="00A34E5B" w:rsidRPr="0028442C" w:rsidRDefault="00A34E5B" w:rsidP="00B722D9">
                      <w:pPr>
                        <w:spacing w:line="240" w:lineRule="auto"/>
                        <w:jc w:val="center"/>
                        <w:rPr>
                          <w:sz w:val="96"/>
                          <w:szCs w:val="96"/>
                        </w:rPr>
                      </w:pPr>
                      <w:r w:rsidRPr="0028442C">
                        <w:rPr>
                          <w:sz w:val="96"/>
                          <w:szCs w:val="96"/>
                        </w:rPr>
                        <w:t>201</w:t>
                      </w:r>
                      <w:r>
                        <w:rPr>
                          <w:sz w:val="96"/>
                          <w:szCs w:val="96"/>
                        </w:rPr>
                        <w:t>9</w:t>
                      </w:r>
                    </w:p>
                  </w:txbxContent>
                </v:textbox>
                <w10:wrap anchorx="page"/>
              </v:rect>
            </w:pict>
          </mc:Fallback>
        </mc:AlternateContent>
      </w:r>
      <w:r w:rsidR="000B1197" w:rsidRPr="00CD1EA2">
        <w:rPr>
          <w:i/>
        </w:rPr>
        <w:t xml:space="preserve">Στις </w:t>
      </w:r>
      <w:r w:rsidR="00B925F9">
        <w:rPr>
          <w:i/>
        </w:rPr>
        <w:t>0</w:t>
      </w:r>
      <w:r w:rsidR="00F37AE1" w:rsidRPr="00CD1EA2">
        <w:rPr>
          <w:i/>
        </w:rPr>
        <w:t>3</w:t>
      </w:r>
      <w:r w:rsidR="00E5630E">
        <w:rPr>
          <w:i/>
        </w:rPr>
        <w:t>.07.</w:t>
      </w:r>
      <w:r w:rsidR="000B1197" w:rsidRPr="00CD1EA2">
        <w:rPr>
          <w:i/>
        </w:rPr>
        <w:t>2019 γίνεται η 5</w:t>
      </w:r>
      <w:r w:rsidR="000B1197" w:rsidRPr="00CD1EA2">
        <w:rPr>
          <w:i/>
          <w:vertAlign w:val="superscript"/>
        </w:rPr>
        <w:t>η</w:t>
      </w:r>
      <w:r w:rsidR="000B1197" w:rsidRPr="00CD1EA2">
        <w:rPr>
          <w:i/>
        </w:rPr>
        <w:t xml:space="preserve"> τροποποίηση του </w:t>
      </w:r>
      <w:r w:rsidR="00B925F9">
        <w:rPr>
          <w:i/>
        </w:rPr>
        <w:t>Οδηγού</w:t>
      </w:r>
      <w:r w:rsidR="000B1197" w:rsidRPr="00CD1EA2">
        <w:rPr>
          <w:i/>
        </w:rPr>
        <w:t xml:space="preserve"> ενόψει του </w:t>
      </w:r>
      <w:r w:rsidR="00B925F9">
        <w:rPr>
          <w:i/>
        </w:rPr>
        <w:t>Β’ Κύκλο</w:t>
      </w:r>
      <w:r w:rsidR="000B1197" w:rsidRPr="00CD1EA2">
        <w:rPr>
          <w:i/>
        </w:rPr>
        <w:t xml:space="preserve">υ, </w:t>
      </w:r>
      <w:r w:rsidR="00E732F0" w:rsidRPr="00CD1EA2">
        <w:rPr>
          <w:i/>
        </w:rPr>
        <w:t xml:space="preserve">μετά από </w:t>
      </w:r>
      <w:r w:rsidR="000B1197" w:rsidRPr="00CD1EA2">
        <w:rPr>
          <w:i/>
        </w:rPr>
        <w:t>«</w:t>
      </w:r>
      <w:proofErr w:type="spellStart"/>
      <w:r w:rsidR="000B1197" w:rsidRPr="00CD1EA2">
        <w:rPr>
          <w:i/>
        </w:rPr>
        <w:t>εξορθολογισμό</w:t>
      </w:r>
      <w:proofErr w:type="spellEnd"/>
      <w:r w:rsidR="000B1197" w:rsidRPr="00CD1EA2">
        <w:rPr>
          <w:i/>
        </w:rPr>
        <w:t>» των διατιθέμενων πόρων</w:t>
      </w:r>
      <w:r w:rsidR="00E732F0" w:rsidRPr="00CD1EA2">
        <w:rPr>
          <w:i/>
        </w:rPr>
        <w:t>,</w:t>
      </w:r>
      <w:r w:rsidR="000B1197" w:rsidRPr="00CD1EA2">
        <w:rPr>
          <w:i/>
        </w:rPr>
        <w:t xml:space="preserve"> έτσι ώστε το </w:t>
      </w:r>
      <w:r w:rsidR="00B925F9">
        <w:rPr>
          <w:i/>
        </w:rPr>
        <w:t>ΕΠΑΝΕΚ</w:t>
      </w:r>
      <w:r w:rsidR="000B1197" w:rsidRPr="00CD1EA2">
        <w:rPr>
          <w:i/>
        </w:rPr>
        <w:t xml:space="preserve"> να μετέχει τελικά με 397,6 </w:t>
      </w:r>
      <w:r w:rsidR="004F576E">
        <w:rPr>
          <w:i/>
        </w:rPr>
        <w:t>εκ.€</w:t>
      </w:r>
      <w:r w:rsidR="000B1197" w:rsidRPr="00CD1EA2">
        <w:rPr>
          <w:i/>
        </w:rPr>
        <w:t xml:space="preserve"> (από 487,7 </w:t>
      </w:r>
      <w:r w:rsidR="004F576E">
        <w:rPr>
          <w:i/>
        </w:rPr>
        <w:t>εκ.€</w:t>
      </w:r>
      <w:r w:rsidR="000B1197" w:rsidRPr="00CD1EA2">
        <w:rPr>
          <w:i/>
        </w:rPr>
        <w:t xml:space="preserve">) </w:t>
      </w:r>
      <w:r w:rsidR="00B925F9">
        <w:rPr>
          <w:i/>
        </w:rPr>
        <w:t>στις άμεσες επιχορηγήσεις (</w:t>
      </w:r>
      <w:r w:rsidR="00B925F9" w:rsidRPr="00CD1EA2">
        <w:rPr>
          <w:i/>
          <w:lang w:val="en-US"/>
        </w:rPr>
        <w:t>grants</w:t>
      </w:r>
      <w:r w:rsidR="00B925F9">
        <w:rPr>
          <w:i/>
        </w:rPr>
        <w:t>)</w:t>
      </w:r>
      <w:r w:rsidR="00B925F9" w:rsidRPr="00CD1EA2">
        <w:rPr>
          <w:i/>
        </w:rPr>
        <w:t xml:space="preserve"> </w:t>
      </w:r>
      <w:r w:rsidR="000B1197" w:rsidRPr="00CD1EA2">
        <w:rPr>
          <w:i/>
        </w:rPr>
        <w:t xml:space="preserve">και τα ΠΕΠ με 37,3 </w:t>
      </w:r>
      <w:r w:rsidR="004F576E">
        <w:rPr>
          <w:i/>
        </w:rPr>
        <w:t>εκ.€</w:t>
      </w:r>
      <w:r w:rsidR="000B1197" w:rsidRPr="00CD1EA2">
        <w:rPr>
          <w:i/>
        </w:rPr>
        <w:t xml:space="preserve"> (από 44,1 </w:t>
      </w:r>
      <w:r w:rsidR="004F576E">
        <w:rPr>
          <w:i/>
        </w:rPr>
        <w:t>εκ.€</w:t>
      </w:r>
      <w:r w:rsidR="000B1197" w:rsidRPr="00CD1EA2">
        <w:rPr>
          <w:i/>
        </w:rPr>
        <w:t xml:space="preserve">) για τον </w:t>
      </w:r>
      <w:r w:rsidR="00B925F9">
        <w:rPr>
          <w:i/>
        </w:rPr>
        <w:t>Α’ Κύκλο</w:t>
      </w:r>
      <w:r w:rsidR="000B1197" w:rsidRPr="00CD1EA2">
        <w:rPr>
          <w:i/>
        </w:rPr>
        <w:t xml:space="preserve">. </w:t>
      </w:r>
    </w:p>
    <w:p w14:paraId="02F323B3" w14:textId="77777777" w:rsidR="000B1197" w:rsidRPr="00CD1EA2" w:rsidRDefault="000B1197" w:rsidP="00D52C47">
      <w:pPr>
        <w:spacing w:line="360" w:lineRule="auto"/>
        <w:rPr>
          <w:i/>
        </w:rPr>
      </w:pPr>
      <w:r w:rsidRPr="00CD1EA2">
        <w:rPr>
          <w:i/>
        </w:rPr>
        <w:t xml:space="preserve">Στις </w:t>
      </w:r>
      <w:r w:rsidR="00CB05AE" w:rsidRPr="00CD1EA2">
        <w:rPr>
          <w:i/>
        </w:rPr>
        <w:t>27</w:t>
      </w:r>
      <w:r w:rsidR="00E5630E">
        <w:rPr>
          <w:i/>
        </w:rPr>
        <w:t>.06.</w:t>
      </w:r>
      <w:r w:rsidRPr="00CD1EA2">
        <w:rPr>
          <w:i/>
        </w:rPr>
        <w:t xml:space="preserve">2019 ανακοινώθηκε ο </w:t>
      </w:r>
      <w:r w:rsidR="00B925F9">
        <w:rPr>
          <w:i/>
        </w:rPr>
        <w:t>Β’ Κύκλο</w:t>
      </w:r>
      <w:r w:rsidRPr="00CD1EA2">
        <w:rPr>
          <w:i/>
        </w:rPr>
        <w:t xml:space="preserve">ς του </w:t>
      </w:r>
      <w:r w:rsidR="00971D9A">
        <w:rPr>
          <w:i/>
        </w:rPr>
        <w:t>Προγράμματος</w:t>
      </w:r>
      <w:r w:rsidRPr="00CD1EA2">
        <w:rPr>
          <w:i/>
        </w:rPr>
        <w:t xml:space="preserve"> «Εξοικονόμηση </w:t>
      </w:r>
      <w:r w:rsidR="00971D9A">
        <w:rPr>
          <w:i/>
        </w:rPr>
        <w:t xml:space="preserve">κατ’ </w:t>
      </w:r>
      <w:proofErr w:type="spellStart"/>
      <w:r w:rsidR="00971D9A">
        <w:rPr>
          <w:i/>
        </w:rPr>
        <w:t>Οίκον</w:t>
      </w:r>
      <w:proofErr w:type="spellEnd"/>
      <w:r w:rsidRPr="00CD1EA2">
        <w:rPr>
          <w:i/>
        </w:rPr>
        <w:t xml:space="preserve"> ΙΙ» </w:t>
      </w:r>
      <w:r w:rsidR="00680F61" w:rsidRPr="00CD1EA2">
        <w:rPr>
          <w:i/>
        </w:rPr>
        <w:t>(ΦΕΚ Β’ 2583/27</w:t>
      </w:r>
      <w:r w:rsidR="00E5630E">
        <w:rPr>
          <w:i/>
        </w:rPr>
        <w:t>.06.</w:t>
      </w:r>
      <w:r w:rsidR="00680F61" w:rsidRPr="00CD1EA2">
        <w:rPr>
          <w:i/>
        </w:rPr>
        <w:t xml:space="preserve">2018) </w:t>
      </w:r>
      <w:r w:rsidRPr="00CD1EA2">
        <w:rPr>
          <w:i/>
        </w:rPr>
        <w:t xml:space="preserve">και αναρτήθηκαν στην ιστοσελίδα του </w:t>
      </w:r>
      <w:r w:rsidR="00B925F9">
        <w:rPr>
          <w:i/>
        </w:rPr>
        <w:t>Β’ Κύκλο</w:t>
      </w:r>
      <w:r w:rsidRPr="00CD1EA2">
        <w:rPr>
          <w:i/>
        </w:rPr>
        <w:t xml:space="preserve">υ τα Τεχνικά Εγχειρίδια Εισαγωγής Στοιχείων στο Πληροφοριακό Σύστημα &amp; οι οδηγίες για την υποβολή αίτησης. Ο </w:t>
      </w:r>
      <w:r w:rsidR="00B925F9">
        <w:rPr>
          <w:i/>
        </w:rPr>
        <w:t>Β’ Κύκλο</w:t>
      </w:r>
      <w:r w:rsidRPr="00CD1EA2">
        <w:rPr>
          <w:i/>
        </w:rPr>
        <w:t>ς προϋπέθετε την ενίσχυση του Ταμείου με επιπλέον ποσό 34</w:t>
      </w:r>
      <w:r w:rsidR="004F576E">
        <w:rPr>
          <w:i/>
        </w:rPr>
        <w:t>εκ.€</w:t>
      </w:r>
      <w:r w:rsidRPr="00CD1EA2">
        <w:rPr>
          <w:i/>
        </w:rPr>
        <w:t xml:space="preserve"> από Εθνικούς Πόρους και για τα </w:t>
      </w:r>
      <w:r w:rsidRPr="00CD1EA2">
        <w:rPr>
          <w:i/>
          <w:lang w:val="en-US"/>
        </w:rPr>
        <w:t>grants</w:t>
      </w:r>
      <w:r w:rsidRPr="00CD1EA2">
        <w:rPr>
          <w:i/>
        </w:rPr>
        <w:t xml:space="preserve"> Πόρους από το </w:t>
      </w:r>
      <w:r w:rsidR="00B925F9">
        <w:rPr>
          <w:i/>
        </w:rPr>
        <w:t>ΕΠΑνΕΚ</w:t>
      </w:r>
      <w:r w:rsidRPr="00CD1EA2">
        <w:rPr>
          <w:i/>
        </w:rPr>
        <w:t xml:space="preserve"> (136,7</w:t>
      </w:r>
      <w:r w:rsidR="004F576E">
        <w:rPr>
          <w:i/>
        </w:rPr>
        <w:t>εκ.€</w:t>
      </w:r>
      <w:r w:rsidRPr="00CD1EA2">
        <w:rPr>
          <w:i/>
        </w:rPr>
        <w:t xml:space="preserve">) , τα ΠΕΠ (23,6 </w:t>
      </w:r>
      <w:r w:rsidR="004F576E">
        <w:rPr>
          <w:i/>
        </w:rPr>
        <w:t>εκ.€</w:t>
      </w:r>
      <w:r w:rsidRPr="00CD1EA2">
        <w:rPr>
          <w:i/>
        </w:rPr>
        <w:t xml:space="preserve">) και Εθνικούς πόρους από τη διαχείριση του Ταμείου Ρύπων (80,7 </w:t>
      </w:r>
      <w:r w:rsidR="004F576E">
        <w:rPr>
          <w:i/>
        </w:rPr>
        <w:t>εκ.€</w:t>
      </w:r>
      <w:r w:rsidRPr="00CD1EA2">
        <w:rPr>
          <w:i/>
        </w:rPr>
        <w:t xml:space="preserve">). Το άθροισμα των πόρων του </w:t>
      </w:r>
      <w:r w:rsidR="00B925F9">
        <w:rPr>
          <w:i/>
        </w:rPr>
        <w:t>ΕΠΑνΕΚ</w:t>
      </w:r>
      <w:r w:rsidRPr="00CD1EA2">
        <w:rPr>
          <w:i/>
        </w:rPr>
        <w:t xml:space="preserve"> που φαίνεται πως διατίθενται για Α και Β κύκλο είναι 68 εκ στο Ταμείο, 397,6 </w:t>
      </w:r>
      <w:r w:rsidR="004F576E">
        <w:rPr>
          <w:i/>
        </w:rPr>
        <w:t>εκ.€</w:t>
      </w:r>
      <w:r w:rsidRPr="00CD1EA2">
        <w:rPr>
          <w:i/>
        </w:rPr>
        <w:t xml:space="preserve"> σε </w:t>
      </w:r>
      <w:r w:rsidRPr="00CD1EA2">
        <w:rPr>
          <w:i/>
          <w:lang w:val="en-US"/>
        </w:rPr>
        <w:t>grants</w:t>
      </w:r>
      <w:r w:rsidRPr="00CD1EA2">
        <w:rPr>
          <w:i/>
        </w:rPr>
        <w:t xml:space="preserve"> του Α Κύκλου και 136,7 </w:t>
      </w:r>
      <w:r w:rsidR="004F576E">
        <w:rPr>
          <w:i/>
        </w:rPr>
        <w:t>εκ.€</w:t>
      </w:r>
      <w:r w:rsidRPr="00CD1EA2">
        <w:rPr>
          <w:i/>
        </w:rPr>
        <w:t xml:space="preserve"> σε </w:t>
      </w:r>
      <w:r w:rsidRPr="00CD1EA2">
        <w:rPr>
          <w:i/>
          <w:lang w:val="en-US"/>
        </w:rPr>
        <w:t>grants</w:t>
      </w:r>
      <w:r w:rsidRPr="00CD1EA2">
        <w:rPr>
          <w:i/>
        </w:rPr>
        <w:t xml:space="preserve"> του </w:t>
      </w:r>
      <w:r w:rsidR="00B925F9">
        <w:rPr>
          <w:i/>
        </w:rPr>
        <w:t>Β’ Κύκλο</w:t>
      </w:r>
      <w:r w:rsidRPr="00CD1EA2">
        <w:rPr>
          <w:i/>
        </w:rPr>
        <w:t xml:space="preserve">υ ήτοι συνολικά 602,3 </w:t>
      </w:r>
      <w:r w:rsidR="004F576E">
        <w:rPr>
          <w:i/>
        </w:rPr>
        <w:t>εκ.€</w:t>
      </w:r>
      <w:r w:rsidRPr="00CD1EA2">
        <w:rPr>
          <w:i/>
        </w:rPr>
        <w:t xml:space="preserve"> ποσό ίσο με αυτό που έχει εξειδικευθεί στο </w:t>
      </w:r>
      <w:r w:rsidR="00B925F9">
        <w:rPr>
          <w:i/>
        </w:rPr>
        <w:t>ΕΠΑνΕΚ</w:t>
      </w:r>
      <w:r w:rsidRPr="00CD1EA2">
        <w:rPr>
          <w:i/>
        </w:rPr>
        <w:t xml:space="preserve"> για τη </w:t>
      </w:r>
      <w:r w:rsidR="00B925F9">
        <w:rPr>
          <w:i/>
        </w:rPr>
        <w:t>συγκεκριμένη Δ</w:t>
      </w:r>
      <w:r w:rsidRPr="00CD1EA2">
        <w:rPr>
          <w:i/>
        </w:rPr>
        <w:t>ράση.</w:t>
      </w:r>
      <w:r w:rsidR="00CB05AE" w:rsidRPr="00CD1EA2">
        <w:rPr>
          <w:i/>
        </w:rPr>
        <w:t xml:space="preserve"> </w:t>
      </w:r>
    </w:p>
    <w:p w14:paraId="44AD3EA1" w14:textId="77777777" w:rsidR="00680F61" w:rsidRPr="00CD1EA2" w:rsidRDefault="00B722D9" w:rsidP="00D52C47">
      <w:pPr>
        <w:spacing w:line="360" w:lineRule="auto"/>
        <w:rPr>
          <w:i/>
        </w:rPr>
      </w:pPr>
      <w:r w:rsidRPr="00CD1EA2">
        <w:rPr>
          <w:b/>
          <w:i/>
          <w:noProof/>
          <w:u w:val="single"/>
          <w:lang w:eastAsia="el-GR"/>
        </w:rPr>
        <w:lastRenderedPageBreak/>
        <mc:AlternateContent>
          <mc:Choice Requires="wps">
            <w:drawing>
              <wp:anchor distT="0" distB="0" distL="114300" distR="114300" simplePos="0" relativeHeight="251683840" behindDoc="1" locked="0" layoutInCell="1" allowOverlap="1" wp14:anchorId="6878E42C" wp14:editId="00D64D52">
                <wp:simplePos x="0" y="0"/>
                <wp:positionH relativeFrom="page">
                  <wp:align>left</wp:align>
                </wp:positionH>
                <wp:positionV relativeFrom="paragraph">
                  <wp:posOffset>9524</wp:posOffset>
                </wp:positionV>
                <wp:extent cx="7562850" cy="4695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562850" cy="4695825"/>
                        </a:xfrm>
                        <a:prstGeom prst="rect">
                          <a:avLst/>
                        </a:prstGeom>
                        <a:solidFill>
                          <a:schemeClr val="accent5">
                            <a:lumMod val="40000"/>
                            <a:lumOff val="60000"/>
                          </a:schemeClr>
                        </a:solidFill>
                        <a:ln>
                          <a:solidFill>
                            <a:srgbClr val="CCDA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26AE6" w14:textId="77777777" w:rsidR="00A34E5B" w:rsidRPr="0028442C" w:rsidRDefault="00A34E5B" w:rsidP="00377C9B">
                            <w:pPr>
                              <w:spacing w:line="240" w:lineRule="auto"/>
                              <w:jc w:val="center"/>
                              <w:rPr>
                                <w:sz w:val="96"/>
                                <w:szCs w:val="96"/>
                              </w:rPr>
                            </w:pPr>
                            <w:r w:rsidRPr="0028442C">
                              <w:rPr>
                                <w:sz w:val="96"/>
                                <w:szCs w:val="96"/>
                              </w:rPr>
                              <w:t>201</w:t>
                            </w:r>
                            <w:r>
                              <w:rPr>
                                <w:sz w:val="96"/>
                                <w:szCs w:val="9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8E42C" id="Rectangle 2" o:spid="_x0000_s1034" style="position:absolute;left:0;text-align:left;margin-left:0;margin-top:.75pt;width:595.5pt;height:369.75pt;z-index:-2516326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" fillcolor="#f5b5a7 [1304]" strokecolor="#ccdaea" strokeweight="2pt">
                <v:textbox>
                  <w:txbxContent>
                    <w:p w14:paraId="2AB26AE6" w14:textId="77777777" w:rsidR="00A34E5B" w:rsidRPr="0028442C" w:rsidRDefault="00A34E5B" w:rsidP="00377C9B">
                      <w:pPr>
                        <w:spacing w:line="240" w:lineRule="auto"/>
                        <w:jc w:val="center"/>
                        <w:rPr>
                          <w:sz w:val="96"/>
                          <w:szCs w:val="96"/>
                        </w:rPr>
                      </w:pPr>
                      <w:r w:rsidRPr="0028442C">
                        <w:rPr>
                          <w:sz w:val="96"/>
                          <w:szCs w:val="96"/>
                        </w:rPr>
                        <w:t>201</w:t>
                      </w:r>
                      <w:r>
                        <w:rPr>
                          <w:sz w:val="96"/>
                          <w:szCs w:val="96"/>
                        </w:rPr>
                        <w:t>9</w:t>
                      </w:r>
                    </w:p>
                  </w:txbxContent>
                </v:textbox>
                <w10:wrap anchorx="page"/>
              </v:rect>
            </w:pict>
          </mc:Fallback>
        </mc:AlternateContent>
      </w:r>
      <w:r w:rsidR="00680F61" w:rsidRPr="00CD1EA2">
        <w:rPr>
          <w:i/>
        </w:rPr>
        <w:t>Στις 28</w:t>
      </w:r>
      <w:r w:rsidR="00E5630E">
        <w:rPr>
          <w:i/>
        </w:rPr>
        <w:t>.06.</w:t>
      </w:r>
      <w:r w:rsidR="00680F61" w:rsidRPr="00CD1EA2">
        <w:rPr>
          <w:i/>
        </w:rPr>
        <w:t xml:space="preserve">2019 (ΦΕΚ Β’ 2763/03.07.2019) γίνεται </w:t>
      </w:r>
      <w:r w:rsidR="00377C9B" w:rsidRPr="00CD1EA2">
        <w:rPr>
          <w:i/>
        </w:rPr>
        <w:t>η 1</w:t>
      </w:r>
      <w:r w:rsidR="00377C9B" w:rsidRPr="00CD1EA2">
        <w:rPr>
          <w:i/>
          <w:vertAlign w:val="superscript"/>
        </w:rPr>
        <w:t>η</w:t>
      </w:r>
      <w:r w:rsidR="00377C9B" w:rsidRPr="00CD1EA2">
        <w:rPr>
          <w:i/>
        </w:rPr>
        <w:t xml:space="preserve"> </w:t>
      </w:r>
      <w:r w:rsidR="00680F61" w:rsidRPr="00CD1EA2">
        <w:rPr>
          <w:i/>
        </w:rPr>
        <w:t xml:space="preserve">τροποποίηση του </w:t>
      </w:r>
      <w:r w:rsidR="00B925F9">
        <w:rPr>
          <w:i/>
        </w:rPr>
        <w:t>Οδηγού</w:t>
      </w:r>
      <w:r w:rsidR="00680F61" w:rsidRPr="00CD1EA2">
        <w:rPr>
          <w:i/>
        </w:rPr>
        <w:t xml:space="preserve"> του Β΄ Κύκλου που αφορούσε στην μεταβολή της ΕΤΕΑΝ σε Ελληνική Αναπτυξιακή Τράπεζα Α.Ε., την παράταση της προθεσμίας υλοποίησης των έργων σε 13 μήνες</w:t>
      </w:r>
      <w:r w:rsidR="00377C9B" w:rsidRPr="00CD1EA2">
        <w:rPr>
          <w:i/>
        </w:rPr>
        <w:t>,</w:t>
      </w:r>
      <w:r w:rsidR="00680F61" w:rsidRPr="00CD1EA2">
        <w:rPr>
          <w:i/>
        </w:rPr>
        <w:t xml:space="preserve"> στην αντικατάσταση του πίνακα ενδεικτικής κατανομής  </w:t>
      </w:r>
      <w:r w:rsidR="00377C9B" w:rsidRPr="00CD1EA2">
        <w:rPr>
          <w:i/>
        </w:rPr>
        <w:t xml:space="preserve">και τέλος σε </w:t>
      </w:r>
      <w:proofErr w:type="spellStart"/>
      <w:r w:rsidR="00377C9B" w:rsidRPr="00CD1EA2">
        <w:rPr>
          <w:i/>
        </w:rPr>
        <w:t>μικρο</w:t>
      </w:r>
      <w:proofErr w:type="spellEnd"/>
      <w:r w:rsidR="00377C9B" w:rsidRPr="00CD1EA2">
        <w:rPr>
          <w:i/>
        </w:rPr>
        <w:t>-ρυθμίσεις προθεσμιών και ειδικών κατηγοριών.</w:t>
      </w:r>
    </w:p>
    <w:p w14:paraId="45486D99" w14:textId="77777777" w:rsidR="00680F61" w:rsidRPr="00CD1EA2" w:rsidRDefault="00680F61" w:rsidP="00D52C47">
      <w:pPr>
        <w:spacing w:line="360" w:lineRule="auto"/>
        <w:rPr>
          <w:i/>
        </w:rPr>
      </w:pPr>
      <w:r w:rsidRPr="00CD1EA2">
        <w:rPr>
          <w:i/>
        </w:rPr>
        <w:t>Στις 31</w:t>
      </w:r>
      <w:r w:rsidR="00E5630E">
        <w:rPr>
          <w:i/>
        </w:rPr>
        <w:t>.07.</w:t>
      </w:r>
      <w:r w:rsidRPr="00CD1EA2">
        <w:rPr>
          <w:i/>
        </w:rPr>
        <w:t xml:space="preserve">2019 έγινε η </w:t>
      </w:r>
      <w:r w:rsidR="00377C9B" w:rsidRPr="00CD1EA2">
        <w:rPr>
          <w:i/>
        </w:rPr>
        <w:t>2</w:t>
      </w:r>
      <w:r w:rsidRPr="00CD1EA2">
        <w:rPr>
          <w:i/>
          <w:vertAlign w:val="superscript"/>
        </w:rPr>
        <w:t>η</w:t>
      </w:r>
      <w:r w:rsidRPr="00CD1EA2">
        <w:rPr>
          <w:i/>
        </w:rPr>
        <w:t xml:space="preserve"> τροποποίηση του </w:t>
      </w:r>
      <w:r w:rsidR="00B925F9">
        <w:rPr>
          <w:i/>
        </w:rPr>
        <w:t>Οδηγού</w:t>
      </w:r>
      <w:r w:rsidRPr="00CD1EA2">
        <w:rPr>
          <w:i/>
        </w:rPr>
        <w:t xml:space="preserve"> του Β΄ Κύκλου </w:t>
      </w:r>
      <w:r w:rsidR="00377C9B" w:rsidRPr="00CD1EA2">
        <w:rPr>
          <w:i/>
        </w:rPr>
        <w:t>(ΦΕΚ Β’ 3081/31.07.2019)</w:t>
      </w:r>
      <w:r w:rsidRPr="00CD1EA2">
        <w:rPr>
          <w:i/>
        </w:rPr>
        <w:t xml:space="preserve"> που αφορούσε </w:t>
      </w:r>
      <w:r w:rsidR="00B925F9">
        <w:rPr>
          <w:i/>
        </w:rPr>
        <w:t>σ</w:t>
      </w:r>
      <w:r w:rsidRPr="00CD1EA2">
        <w:rPr>
          <w:i/>
        </w:rPr>
        <w:t>την μεταβολή της ημερομηνίας έναρξης υποβολής αιτήσεων.</w:t>
      </w:r>
    </w:p>
    <w:p w14:paraId="06A15F87" w14:textId="77777777" w:rsidR="000B1197" w:rsidRPr="00CD1EA2" w:rsidRDefault="000B1197" w:rsidP="00D52C47">
      <w:pPr>
        <w:spacing w:line="360" w:lineRule="auto"/>
        <w:rPr>
          <w:i/>
        </w:rPr>
      </w:pPr>
      <w:r w:rsidRPr="00CD1EA2">
        <w:rPr>
          <w:i/>
        </w:rPr>
        <w:t xml:space="preserve">Ο </w:t>
      </w:r>
      <w:r w:rsidR="00B925F9">
        <w:rPr>
          <w:i/>
        </w:rPr>
        <w:t>Β’ Κύκλο</w:t>
      </w:r>
      <w:r w:rsidRPr="00CD1EA2">
        <w:rPr>
          <w:i/>
        </w:rPr>
        <w:t xml:space="preserve">ς άνοιξε στα μέσα Σεπτεμβρίου (από 16.09.2019 και σταδιακά ανά ΠΕΠ) και τα προϋπολογισθείσα κεφάλαια για τα </w:t>
      </w:r>
      <w:r w:rsidRPr="00CD1EA2">
        <w:rPr>
          <w:i/>
          <w:lang w:val="en-US"/>
        </w:rPr>
        <w:t>grants</w:t>
      </w:r>
      <w:r w:rsidRPr="00CD1EA2">
        <w:rPr>
          <w:i/>
        </w:rPr>
        <w:t xml:space="preserve"> εξαντλήθηκαν από 22.945 προτάσεις, εκ των οποίων οι 14.570 αιτούνται και δάνειο ποσού 110,7 </w:t>
      </w:r>
      <w:r w:rsidR="004F576E">
        <w:rPr>
          <w:i/>
        </w:rPr>
        <w:t>εκ.€</w:t>
      </w:r>
      <w:r w:rsidRPr="00CD1EA2">
        <w:rPr>
          <w:i/>
        </w:rPr>
        <w:t xml:space="preserve"> ή διαθέσιμους πόρους Ταμείου 36,9</w:t>
      </w:r>
      <w:r w:rsidR="004F576E">
        <w:rPr>
          <w:i/>
        </w:rPr>
        <w:t>εκ.€</w:t>
      </w:r>
      <w:r w:rsidRPr="00CD1EA2">
        <w:rPr>
          <w:i/>
        </w:rPr>
        <w:t xml:space="preserve"> μη υπολογισμένων των τόκων και της επιδότησής τους. Κατατέθηκαν επίσης άλλες - υπερβάλλουσες των εγκεκριμένων ποσών - 17.327 αιτήσεις που απαιτούν 182 </w:t>
      </w:r>
      <w:r w:rsidR="004F576E">
        <w:rPr>
          <w:i/>
        </w:rPr>
        <w:t>εκ.€</w:t>
      </w:r>
      <w:r w:rsidRPr="00CD1EA2">
        <w:rPr>
          <w:i/>
        </w:rPr>
        <w:t xml:space="preserve"> σε </w:t>
      </w:r>
      <w:r w:rsidRPr="00CD1EA2">
        <w:rPr>
          <w:i/>
          <w:lang w:val="en-US"/>
        </w:rPr>
        <w:t>grants</w:t>
      </w:r>
      <w:r w:rsidRPr="00CD1EA2">
        <w:rPr>
          <w:i/>
        </w:rPr>
        <w:t xml:space="preserve"> και ανάλογο ποσό Δανείων. Συνολικά δηλαδή στο σύστημα προσπάθησαν να καταχωρήσουν αίτηση 40.272 πολίτες όπου η απαίτηση </w:t>
      </w:r>
      <w:r w:rsidRPr="00CD1EA2">
        <w:rPr>
          <w:rFonts w:eastAsia="Times New Roman" w:cs="Times New Roman"/>
          <w:i/>
          <w:color w:val="000000"/>
          <w:lang w:val="en-US" w:eastAsia="el-GR"/>
        </w:rPr>
        <w:t>grants</w:t>
      </w:r>
      <w:r w:rsidRPr="00CD1EA2">
        <w:rPr>
          <w:rFonts w:eastAsia="Times New Roman" w:cs="Times New Roman"/>
          <w:i/>
          <w:color w:val="000000"/>
          <w:lang w:eastAsia="el-GR"/>
        </w:rPr>
        <w:t xml:space="preserve"> ανήλθε στα 423,5 </w:t>
      </w:r>
      <w:r w:rsidR="004F576E">
        <w:rPr>
          <w:rFonts w:eastAsia="Times New Roman" w:cs="Times New Roman"/>
          <w:i/>
          <w:color w:val="000000"/>
          <w:lang w:eastAsia="el-GR"/>
        </w:rPr>
        <w:t>εκ.€</w:t>
      </w:r>
      <w:r w:rsidRPr="00CD1EA2">
        <w:rPr>
          <w:rFonts w:eastAsia="Times New Roman" w:cs="Times New Roman"/>
          <w:i/>
          <w:color w:val="000000"/>
          <w:lang w:eastAsia="el-GR"/>
        </w:rPr>
        <w:t>.</w:t>
      </w:r>
      <w:r w:rsidRPr="00CD1EA2">
        <w:rPr>
          <w:i/>
        </w:rPr>
        <w:t xml:space="preserve"> </w:t>
      </w:r>
    </w:p>
    <w:p w14:paraId="77DA6274" w14:textId="77777777" w:rsidR="000B1197" w:rsidRPr="00CD1EA2" w:rsidRDefault="000B1197" w:rsidP="00D52C47">
      <w:pPr>
        <w:spacing w:line="360" w:lineRule="auto"/>
        <w:rPr>
          <w:i/>
        </w:rPr>
      </w:pPr>
      <w:r w:rsidRPr="00CD1EA2">
        <w:rPr>
          <w:i/>
        </w:rPr>
        <w:t xml:space="preserve">Με </w:t>
      </w:r>
      <w:r w:rsidR="0062368F" w:rsidRPr="00CD1EA2">
        <w:rPr>
          <w:i/>
        </w:rPr>
        <w:t>νεότερη</w:t>
      </w:r>
      <w:r w:rsidRPr="00CD1EA2">
        <w:rPr>
          <w:i/>
        </w:rPr>
        <w:t xml:space="preserve"> αλληλογραφία και αίτημα του ΥΠΕΝ προς τα ΠΕΠ για συνεισφορά πόρων, αυτά δεσμεύθηκαν για επιπλέον πόρους ύψους 138,4 </w:t>
      </w:r>
      <w:r w:rsidR="004F576E">
        <w:rPr>
          <w:i/>
        </w:rPr>
        <w:t>εκ.€</w:t>
      </w:r>
      <w:r w:rsidRPr="00CD1EA2">
        <w:rPr>
          <w:i/>
        </w:rPr>
        <w:t>..</w:t>
      </w:r>
    </w:p>
    <w:p w14:paraId="100006FC" w14:textId="77777777" w:rsidR="00377C9B" w:rsidRPr="00CD1EA2" w:rsidRDefault="00377C9B" w:rsidP="00D52C47">
      <w:pPr>
        <w:spacing w:line="360" w:lineRule="auto"/>
        <w:rPr>
          <w:i/>
        </w:rPr>
      </w:pPr>
      <w:r w:rsidRPr="00CD1EA2">
        <w:rPr>
          <w:rFonts w:cs="MyriadPro-Regular"/>
          <w:i/>
        </w:rPr>
        <w:t>Στις 11.09.2019 (ΦΕΚ Β’ 3443/11.09.2019) ανασυγκροτήθηκε η Επενδυτική Επιτροπή του Ταμείου.</w:t>
      </w:r>
    </w:p>
    <w:p w14:paraId="6C18BB59" w14:textId="77777777" w:rsidR="006C70F0" w:rsidRPr="00CD1EA2" w:rsidRDefault="006C70F0" w:rsidP="00D52C47">
      <w:pPr>
        <w:spacing w:line="360" w:lineRule="auto"/>
        <w:rPr>
          <w:i/>
        </w:rPr>
      </w:pPr>
      <w:r w:rsidRPr="00CD1EA2">
        <w:rPr>
          <w:i/>
        </w:rPr>
        <w:t xml:space="preserve">Στις 22.11.2019 </w:t>
      </w:r>
      <w:proofErr w:type="spellStart"/>
      <w:r w:rsidRPr="00CD1EA2">
        <w:rPr>
          <w:i/>
        </w:rPr>
        <w:t>κατεβλήθη</w:t>
      </w:r>
      <w:proofErr w:type="spellEnd"/>
      <w:r w:rsidRPr="00CD1EA2">
        <w:rPr>
          <w:i/>
        </w:rPr>
        <w:t xml:space="preserve"> η 3</w:t>
      </w:r>
      <w:r w:rsidRPr="00CD1EA2">
        <w:rPr>
          <w:i/>
          <w:vertAlign w:val="superscript"/>
        </w:rPr>
        <w:t>η</w:t>
      </w:r>
      <w:r w:rsidRPr="00CD1EA2">
        <w:rPr>
          <w:i/>
        </w:rPr>
        <w:t xml:space="preserve"> δόση του Ταμείου 17 </w:t>
      </w:r>
      <w:r w:rsidR="004F576E">
        <w:rPr>
          <w:i/>
        </w:rPr>
        <w:t>εκ.€</w:t>
      </w:r>
      <w:r w:rsidRPr="00CD1EA2">
        <w:rPr>
          <w:i/>
        </w:rPr>
        <w:t xml:space="preserve"> </w:t>
      </w:r>
    </w:p>
    <w:p w14:paraId="0BD84251" w14:textId="77777777" w:rsidR="006C70F0" w:rsidRPr="00AC4D86" w:rsidRDefault="006C70F0" w:rsidP="000B1197">
      <w:pPr>
        <w:spacing w:line="360" w:lineRule="auto"/>
      </w:pPr>
    </w:p>
    <w:p w14:paraId="0274D002" w14:textId="77777777" w:rsidR="000B1197" w:rsidRPr="00C81756" w:rsidRDefault="000B1197" w:rsidP="00D26E1F">
      <w:pPr>
        <w:pStyle w:val="2"/>
      </w:pPr>
      <w:bookmarkStart w:id="3" w:name="_Toc36639183"/>
      <w:r w:rsidRPr="00C81756">
        <w:t>Συνεδριάσεις της Επενδυτικής Επιτροπής</w:t>
      </w:r>
      <w:r w:rsidR="004A36AC">
        <w:t xml:space="preserve"> του Ταμείου ΕΞΟΙΚΟΝΟΜΩ ΙΙ</w:t>
      </w:r>
      <w:bookmarkEnd w:id="3"/>
    </w:p>
    <w:p w14:paraId="565C8124" w14:textId="77777777" w:rsidR="000B1197" w:rsidRDefault="000B1197" w:rsidP="000B1197">
      <w:pPr>
        <w:spacing w:line="360" w:lineRule="auto"/>
      </w:pPr>
      <w:r w:rsidRPr="008E2737">
        <w:rPr>
          <w:b/>
        </w:rPr>
        <w:t>1</w:t>
      </w:r>
      <w:r w:rsidRPr="008E2737">
        <w:rPr>
          <w:b/>
          <w:vertAlign w:val="superscript"/>
        </w:rPr>
        <w:t>η</w:t>
      </w:r>
      <w:r>
        <w:t xml:space="preserve"> Συνεδρίαση της Επενδυτικής Επιτροπής</w:t>
      </w:r>
      <w:r w:rsidRPr="00C03E97">
        <w:t xml:space="preserve"> </w:t>
      </w:r>
      <w:r>
        <w:t>στις 22</w:t>
      </w:r>
      <w:r w:rsidR="00E5630E">
        <w:t>.06.</w:t>
      </w:r>
      <w:r>
        <w:t xml:space="preserve">2017: Εγκρίνεται ο Κανονισμός Λειτουργίας της  Επενδυτικής Επιτροπής.  Έγκριση της πρόσκλησης της ΕΤΕΑΝ για τους ΕΧΟ όπως και του σχεδίου συμφωνίας. </w:t>
      </w:r>
    </w:p>
    <w:p w14:paraId="35D3268F" w14:textId="77777777" w:rsidR="000B1197" w:rsidRDefault="000B1197" w:rsidP="000B1197">
      <w:pPr>
        <w:spacing w:line="360" w:lineRule="auto"/>
      </w:pPr>
      <w:r w:rsidRPr="008E2737">
        <w:rPr>
          <w:b/>
        </w:rPr>
        <w:t>2</w:t>
      </w:r>
      <w:r w:rsidRPr="008E2737">
        <w:rPr>
          <w:b/>
          <w:vertAlign w:val="superscript"/>
        </w:rPr>
        <w:t>η</w:t>
      </w:r>
      <w:r>
        <w:t xml:space="preserve"> Συνεδρίαση της Επενδυτικής Επιτροπής στις 3</w:t>
      </w:r>
      <w:r w:rsidR="00E5630E">
        <w:t>.08.</w:t>
      </w:r>
      <w:r>
        <w:t>2017: Ενημερωτικά θέματα προόδου.</w:t>
      </w:r>
    </w:p>
    <w:p w14:paraId="007B1CB0" w14:textId="77777777" w:rsidR="000B1197" w:rsidRDefault="000B1197" w:rsidP="000B1197">
      <w:pPr>
        <w:spacing w:line="360" w:lineRule="auto"/>
      </w:pPr>
      <w:r w:rsidRPr="008E2737">
        <w:rPr>
          <w:b/>
        </w:rPr>
        <w:t>3</w:t>
      </w:r>
      <w:r w:rsidRPr="008E2737">
        <w:rPr>
          <w:b/>
          <w:vertAlign w:val="superscript"/>
        </w:rPr>
        <w:t>η</w:t>
      </w:r>
      <w:r w:rsidRPr="008E2737">
        <w:rPr>
          <w:b/>
        </w:rPr>
        <w:t xml:space="preserve"> &amp; 4</w:t>
      </w:r>
      <w:r w:rsidRPr="008E2737">
        <w:rPr>
          <w:b/>
          <w:vertAlign w:val="superscript"/>
        </w:rPr>
        <w:t>η</w:t>
      </w:r>
      <w:r>
        <w:t xml:space="preserve"> Συνεδρίαση στις 21.11.2017 / 29.11.2017: Αποτελέσματα της πρόσκλησης της ΕΤΕΑΝ για τους ΕΧΟ.</w:t>
      </w:r>
    </w:p>
    <w:p w14:paraId="0E082C29" w14:textId="77777777" w:rsidR="000B1197" w:rsidRDefault="000B1197" w:rsidP="000B1197">
      <w:pPr>
        <w:spacing w:line="360" w:lineRule="auto"/>
      </w:pPr>
      <w:r w:rsidRPr="008E2737">
        <w:rPr>
          <w:b/>
        </w:rPr>
        <w:t>5</w:t>
      </w:r>
      <w:r w:rsidRPr="008E2737">
        <w:rPr>
          <w:b/>
          <w:vertAlign w:val="superscript"/>
        </w:rPr>
        <w:t>η</w:t>
      </w:r>
      <w:r>
        <w:t xml:space="preserve"> Συνεδρίαση στις </w:t>
      </w:r>
      <w:r w:rsidR="0062368F">
        <w:t>0</w:t>
      </w:r>
      <w:r>
        <w:t>4</w:t>
      </w:r>
      <w:r w:rsidR="00E5630E">
        <w:t>.01.</w:t>
      </w:r>
      <w:r>
        <w:t>2018: Σχέδιο επιχειρησιακής συμφωνίας της ΕΤΕΑΝ με τους ΕΧΟ.</w:t>
      </w:r>
    </w:p>
    <w:p w14:paraId="6A92D86A" w14:textId="77777777" w:rsidR="000B1197" w:rsidRDefault="000B1197" w:rsidP="000B1197">
      <w:pPr>
        <w:spacing w:line="360" w:lineRule="auto"/>
      </w:pPr>
      <w:r w:rsidRPr="008E2737">
        <w:rPr>
          <w:b/>
        </w:rPr>
        <w:t>6</w:t>
      </w:r>
      <w:r w:rsidRPr="008E2737">
        <w:rPr>
          <w:b/>
          <w:vertAlign w:val="superscript"/>
        </w:rPr>
        <w:t>η</w:t>
      </w:r>
      <w:r>
        <w:t xml:space="preserve"> Συνεδρίαση στις 11</w:t>
      </w:r>
      <w:r w:rsidR="00E5630E">
        <w:t>.07.</w:t>
      </w:r>
      <w:r>
        <w:t>2018, υπαγωγή 13.502 προτάσεων.</w:t>
      </w:r>
    </w:p>
    <w:p w14:paraId="1E8556B4" w14:textId="77777777" w:rsidR="000B1197" w:rsidRDefault="000B1197" w:rsidP="000B1197">
      <w:pPr>
        <w:spacing w:line="360" w:lineRule="auto"/>
      </w:pPr>
      <w:r w:rsidRPr="008E2737">
        <w:rPr>
          <w:b/>
        </w:rPr>
        <w:t>7</w:t>
      </w:r>
      <w:r w:rsidRPr="008E2737">
        <w:rPr>
          <w:b/>
          <w:vertAlign w:val="superscript"/>
        </w:rPr>
        <w:t>η</w:t>
      </w:r>
      <w:r>
        <w:t xml:space="preserve"> Συνεδρίαση στις 30</w:t>
      </w:r>
      <w:r w:rsidR="00E5630E">
        <w:t>.07.</w:t>
      </w:r>
      <w:r>
        <w:t>2018, υπαγωγή 14.709 προτάσεων.</w:t>
      </w:r>
    </w:p>
    <w:p w14:paraId="7C5C00AB" w14:textId="77777777" w:rsidR="000B1197" w:rsidRDefault="000B1197" w:rsidP="000B1197">
      <w:pPr>
        <w:spacing w:line="360" w:lineRule="auto"/>
      </w:pPr>
      <w:r w:rsidRPr="008E2737">
        <w:rPr>
          <w:b/>
        </w:rPr>
        <w:t>8</w:t>
      </w:r>
      <w:r w:rsidRPr="008E2737">
        <w:rPr>
          <w:b/>
          <w:vertAlign w:val="superscript"/>
        </w:rPr>
        <w:t>η</w:t>
      </w:r>
      <w:r>
        <w:t xml:space="preserve"> Συνεδρίαση στις </w:t>
      </w:r>
      <w:r w:rsidR="0062368F">
        <w:t>0</w:t>
      </w:r>
      <w:r>
        <w:t>1.10.2018, υπαγωγή 9.455 προτάσεων.</w:t>
      </w:r>
    </w:p>
    <w:p w14:paraId="709292AF" w14:textId="77777777" w:rsidR="000B1197" w:rsidRDefault="000B1197" w:rsidP="000B1197">
      <w:pPr>
        <w:spacing w:line="360" w:lineRule="auto"/>
      </w:pPr>
      <w:r w:rsidRPr="008E2737">
        <w:rPr>
          <w:b/>
        </w:rPr>
        <w:t>9</w:t>
      </w:r>
      <w:r w:rsidRPr="008E2737">
        <w:rPr>
          <w:b/>
          <w:vertAlign w:val="superscript"/>
        </w:rPr>
        <w:t>η</w:t>
      </w:r>
      <w:r>
        <w:t xml:space="preserve"> Συνεδρίαση στις 21.11.2018, υπαγωγή 2.127 προτάσεων.</w:t>
      </w:r>
    </w:p>
    <w:p w14:paraId="42123970" w14:textId="77777777" w:rsidR="000B1197" w:rsidRDefault="000B1197" w:rsidP="000B1197">
      <w:pPr>
        <w:spacing w:line="360" w:lineRule="auto"/>
      </w:pPr>
      <w:r w:rsidRPr="008E2737">
        <w:rPr>
          <w:b/>
        </w:rPr>
        <w:lastRenderedPageBreak/>
        <w:t>10</w:t>
      </w:r>
      <w:r w:rsidRPr="008E2737">
        <w:rPr>
          <w:b/>
          <w:vertAlign w:val="superscript"/>
        </w:rPr>
        <w:t>η</w:t>
      </w:r>
      <w:r>
        <w:t xml:space="preserve"> Συνεδρίαση στις 26.02.2019, υπαγωγή 1.098 προτάσεων.</w:t>
      </w:r>
    </w:p>
    <w:p w14:paraId="50324CE3" w14:textId="77777777" w:rsidR="000B1197" w:rsidRDefault="000B1197" w:rsidP="000B1197">
      <w:pPr>
        <w:spacing w:line="360" w:lineRule="auto"/>
      </w:pPr>
      <w:r w:rsidRPr="008E2737">
        <w:rPr>
          <w:b/>
        </w:rPr>
        <w:t>11</w:t>
      </w:r>
      <w:r w:rsidRPr="008E2737">
        <w:rPr>
          <w:b/>
          <w:vertAlign w:val="superscript"/>
        </w:rPr>
        <w:t>η</w:t>
      </w:r>
      <w:r>
        <w:t xml:space="preserve"> Συνεδρίαση στις 20.05.2019 όπου παίρνεται απόφαση για υπαγωγή 1.337 προτάσεων. Οι συνεδριάσεις ενδιαμέσως ασχολήθηκαν και με τις ενστάσεις. Όμοια και αυτή που </w:t>
      </w:r>
      <w:r w:rsidR="00E5630E">
        <w:t>Προγραμματ</w:t>
      </w:r>
      <w:r>
        <w:t>ίστηκε αλλά αναβλήθηκε.</w:t>
      </w:r>
    </w:p>
    <w:p w14:paraId="34BC7A15" w14:textId="77777777" w:rsidR="000B1197" w:rsidRDefault="000B1197" w:rsidP="000B1197">
      <w:pPr>
        <w:spacing w:line="360" w:lineRule="auto"/>
      </w:pPr>
      <w:r w:rsidRPr="008E2737">
        <w:rPr>
          <w:b/>
        </w:rPr>
        <w:t>12</w:t>
      </w:r>
      <w:r w:rsidRPr="008E2737">
        <w:rPr>
          <w:b/>
          <w:vertAlign w:val="superscript"/>
        </w:rPr>
        <w:t>η</w:t>
      </w:r>
      <w:r>
        <w:t xml:space="preserve"> Συνεδρίαση της Επενδυτικής Επιτροπής στις 13.09.2019. Υπάγονται από τον </w:t>
      </w:r>
      <w:r w:rsidR="00B925F9">
        <w:t>Α’ Κύκλο</w:t>
      </w:r>
      <w:r>
        <w:t xml:space="preserve"> 419 προτάσεις και </w:t>
      </w:r>
      <w:proofErr w:type="spellStart"/>
      <w:r>
        <w:t>απεντάσσονται</w:t>
      </w:r>
      <w:proofErr w:type="spellEnd"/>
      <w:r>
        <w:t xml:space="preserve"> 1.805 υπερήμεροι, 366 που διέγραψαν- απόσυραν την αίτησή τους εγγράφως ή μέσω του Πληρ</w:t>
      </w:r>
      <w:r w:rsidR="0062368F">
        <w:t xml:space="preserve">οφοριακού </w:t>
      </w:r>
      <w:r>
        <w:t>Συστήματος, 25 αποβιώσαντες και 13 από μη τακτοποίηση του προστίμου αυθαιρέτων στην αξιολόγηση.</w:t>
      </w:r>
    </w:p>
    <w:p w14:paraId="3DA43465" w14:textId="77777777" w:rsidR="006C328A" w:rsidRDefault="006C328A" w:rsidP="00DC12D0">
      <w:pPr>
        <w:pStyle w:val="4"/>
      </w:pPr>
      <w:r>
        <w:t xml:space="preserve">Συνοπτικά από τον </w:t>
      </w:r>
      <w:proofErr w:type="spellStart"/>
      <w:r>
        <w:t>Α’Κύκλο</w:t>
      </w:r>
      <w:proofErr w:type="spellEnd"/>
    </w:p>
    <w:p w14:paraId="5F7AEC71" w14:textId="77777777" w:rsidR="006C328A" w:rsidRDefault="006C328A" w:rsidP="00D26E1F">
      <w:pPr>
        <w:spacing w:line="360" w:lineRule="auto"/>
        <w:ind w:firstLine="567"/>
      </w:pPr>
      <w:r>
        <w:t xml:space="preserve">Πραγματοποιήθηκαν για το </w:t>
      </w:r>
      <w:r w:rsidR="00B925F9">
        <w:t>ΕΠΑνΕΚ</w:t>
      </w:r>
      <w:r>
        <w:t xml:space="preserve"> 38.483 υπαγωγές που δέσμευσαν 363,6 </w:t>
      </w:r>
      <w:r w:rsidR="004F576E">
        <w:t>εκ.€</w:t>
      </w:r>
      <w:r>
        <w:t xml:space="preserve"> σε ποσά άμεσης ενίσχυσης και 18.851 σε δάνεια που δέσμευσαν 57 </w:t>
      </w:r>
      <w:r w:rsidR="004F576E">
        <w:t>εκ.€</w:t>
      </w:r>
      <w:r>
        <w:t xml:space="preserve"> από το Ταμείο ΕΞΟΙΚΟΝΟΜΩ ΙΙ.</w:t>
      </w:r>
    </w:p>
    <w:p w14:paraId="09CD9E85" w14:textId="77777777" w:rsidR="006C328A" w:rsidRDefault="006C328A" w:rsidP="00D26E1F">
      <w:pPr>
        <w:spacing w:line="360" w:lineRule="auto"/>
        <w:ind w:firstLine="567"/>
      </w:pPr>
      <w:r>
        <w:t xml:space="preserve">Αντίστοιχα για τα ΠΕΠ πραγματοποιήθηκαν για την άμεση ενίσχυση 4.163 υπαγωγές που δέσμευσαν 38,9 </w:t>
      </w:r>
      <w:r w:rsidR="004F576E">
        <w:t>εκ.€</w:t>
      </w:r>
      <w:r>
        <w:t>. Συνολικά οι δεσμεύσεις</w:t>
      </w:r>
      <w:r w:rsidR="00C82E99">
        <w:t xml:space="preserve"> στις άμεσες επιχορηγήσεις ανήλθαν στα 402,5 </w:t>
      </w:r>
      <w:r w:rsidR="004F576E">
        <w:t>εκ.€</w:t>
      </w:r>
      <w:r w:rsidR="00C82E99">
        <w:t xml:space="preserve"> και αφορούσαν σε 42.646 αναβαθμιζόμενες κατοικίες.</w:t>
      </w:r>
    </w:p>
    <w:p w14:paraId="30470446" w14:textId="77777777" w:rsidR="00C82E99" w:rsidRDefault="00C82E99" w:rsidP="00D26E1F">
      <w:pPr>
        <w:spacing w:line="360" w:lineRule="auto"/>
        <w:ind w:firstLine="567"/>
      </w:pPr>
      <w:r>
        <w:t xml:space="preserve">Με τα πλέον πρόσφατα στοιχεία (Φεβρουαρίου 2020), οι </w:t>
      </w:r>
      <w:proofErr w:type="spellStart"/>
      <w:r>
        <w:t>απεντάξεις</w:t>
      </w:r>
      <w:proofErr w:type="spellEnd"/>
      <w:r>
        <w:t xml:space="preserve"> από το </w:t>
      </w:r>
      <w:r w:rsidR="00971D9A">
        <w:t>Πρόγραμμα</w:t>
      </w:r>
      <w:r>
        <w:t xml:space="preserve"> αναμένεται να αφορούν σε 3.726 πολίτες που είχαν δεσμεύσει 32,8 </w:t>
      </w:r>
      <w:r w:rsidR="004F576E">
        <w:t>εκ.€</w:t>
      </w:r>
      <w:r>
        <w:t xml:space="preserve"> στην άμεση ενίσχυση και 745 αιτήσεις δανείων που ακυρώνονται και αφορούν σε 2,5 </w:t>
      </w:r>
      <w:r w:rsidR="004F576E">
        <w:t>εκ.€</w:t>
      </w:r>
      <w:r>
        <w:t xml:space="preserve"> ελάφρυνση του ταμείου ΕΞΟΙΚΟΝΟΜΩ ΙΙ.</w:t>
      </w:r>
    </w:p>
    <w:p w14:paraId="2F7BAE7F" w14:textId="77777777" w:rsidR="00C82E99" w:rsidRDefault="00C82E99" w:rsidP="00D26E1F">
      <w:pPr>
        <w:spacing w:line="360" w:lineRule="auto"/>
        <w:ind w:firstLine="567"/>
      </w:pPr>
      <w:r>
        <w:t>Με τον τρόπο αυτό οι ενεργές υπαγωγές σήμερα είναι 38.920 που δεσμεύουν 369,8</w:t>
      </w:r>
      <w:r w:rsidR="004F576E">
        <w:t>εκ.€</w:t>
      </w:r>
      <w:r>
        <w:t xml:space="preserve"> και 18.106 πολίτες με αίτηση δανείου που δεσμεύουν 54,5</w:t>
      </w:r>
      <w:r w:rsidR="004F576E">
        <w:t>εκ.€</w:t>
      </w:r>
      <w:r>
        <w:t xml:space="preserve"> από το Ταμείο. </w:t>
      </w:r>
      <w:r w:rsidR="00B842C0">
        <w:t>Σ</w:t>
      </w:r>
      <w:r>
        <w:t xml:space="preserve">ημειώνεται πως ο μέσος προϋπολογισμός άμεσης ενίσχυσης ανέρχεται σε 9.500€/αναβαθμιζόμενη κατοικία </w:t>
      </w:r>
    </w:p>
    <w:p w14:paraId="36E21966" w14:textId="77777777" w:rsidR="00C82E99" w:rsidRDefault="00C82E99" w:rsidP="00D26E1F">
      <w:pPr>
        <w:spacing w:line="360" w:lineRule="auto"/>
        <w:ind w:firstLine="567"/>
      </w:pPr>
      <w:r>
        <w:t xml:space="preserve">Όσον αφορά στην υλοποίηση, έχουν αποπληρωθεί 35.449 πολίτες από την άμεση ενίσχυση, έχοντας απορροφήσει 294,8 </w:t>
      </w:r>
      <w:r w:rsidR="004F576E">
        <w:t>εκ.€</w:t>
      </w:r>
      <w:r>
        <w:t xml:space="preserve">. Η μέση αναβάθμιση επομένως όσον αφορά στα </w:t>
      </w:r>
      <w:r>
        <w:rPr>
          <w:lang w:val="en-US"/>
        </w:rPr>
        <w:t>grants</w:t>
      </w:r>
      <w:r w:rsidRPr="00B842C0">
        <w:t xml:space="preserve"> </w:t>
      </w:r>
      <w:r w:rsidR="00B842C0">
        <w:t xml:space="preserve">κοστίζει τελικά σε Δημόσια Δαπάνη 8.320€/κατοικία, καθώς φαίνεται πως το ποσοστό υλοποίησης σε σχέση με τον προϋπολογισμό ανέρχεται σε 87,5% σε όσους ολοκλήρωσαν τις εργασίες αναβάθμισης των οικιών τους. </w:t>
      </w:r>
    </w:p>
    <w:p w14:paraId="1AF5410A" w14:textId="77777777" w:rsidR="00B842C0" w:rsidRDefault="00B842C0">
      <w:pPr>
        <w:autoSpaceDE/>
        <w:autoSpaceDN/>
        <w:adjustRightInd/>
        <w:spacing w:before="0" w:after="200" w:line="276" w:lineRule="auto"/>
        <w:jc w:val="left"/>
      </w:pPr>
      <w:r>
        <w:br w:type="page"/>
      </w:r>
    </w:p>
    <w:p w14:paraId="4DCCCE16" w14:textId="77777777" w:rsidR="00EE5392" w:rsidRDefault="00EE5392" w:rsidP="00D26E1F">
      <w:pPr>
        <w:pStyle w:val="2"/>
      </w:pPr>
      <w:bookmarkStart w:id="4" w:name="_Toc36639184"/>
      <w:r>
        <w:lastRenderedPageBreak/>
        <w:t xml:space="preserve">Βασικές αρχές, παράμετροι εκπόνησης και </w:t>
      </w:r>
      <w:r w:rsidRPr="00166350">
        <w:t>περιεχόμενο της «εκ των προτέρων αξιολόγησης»</w:t>
      </w:r>
      <w:bookmarkEnd w:id="4"/>
    </w:p>
    <w:p w14:paraId="450AF756" w14:textId="77777777" w:rsidR="000F23A2" w:rsidRPr="00D366F6" w:rsidRDefault="000F23A2" w:rsidP="00D26E1F">
      <w:pPr>
        <w:pStyle w:val="CM1"/>
        <w:spacing w:line="360" w:lineRule="auto"/>
        <w:ind w:firstLine="567"/>
        <w:rPr>
          <w:rFonts w:asciiTheme="minorHAnsi" w:hAnsiTheme="minorHAnsi"/>
          <w:i/>
          <w:sz w:val="22"/>
          <w:szCs w:val="22"/>
        </w:rPr>
      </w:pPr>
      <w:r w:rsidRPr="00166350">
        <w:rPr>
          <w:rFonts w:asciiTheme="minorHAnsi" w:hAnsiTheme="minorHAnsi"/>
          <w:sz w:val="22"/>
          <w:szCs w:val="22"/>
        </w:rPr>
        <w:t>Σύμφωνα με το άρθρο 37 παράγραφος 2 του Γενικού Κανονισμού</w:t>
      </w:r>
      <w:r w:rsidR="00EE5392">
        <w:rPr>
          <w:rFonts w:asciiTheme="minorHAnsi" w:hAnsiTheme="minorHAnsi"/>
          <w:sz w:val="22"/>
          <w:szCs w:val="22"/>
        </w:rPr>
        <w:t xml:space="preserve"> </w:t>
      </w:r>
      <w:r w:rsidR="0062368F">
        <w:rPr>
          <w:rFonts w:asciiTheme="minorHAnsi" w:hAnsiTheme="minorHAnsi"/>
          <w:sz w:val="22"/>
          <w:szCs w:val="22"/>
        </w:rPr>
        <w:t>Ε.Ε.</w:t>
      </w:r>
      <w:r w:rsidR="00EE5392">
        <w:rPr>
          <w:rFonts w:asciiTheme="minorHAnsi" w:hAnsiTheme="minorHAnsi"/>
          <w:sz w:val="22"/>
          <w:szCs w:val="22"/>
        </w:rPr>
        <w:t xml:space="preserve"> 1303/2014</w:t>
      </w:r>
      <w:r w:rsidRPr="00166350">
        <w:rPr>
          <w:rFonts w:asciiTheme="minorHAnsi" w:hAnsiTheme="minorHAnsi"/>
          <w:sz w:val="22"/>
          <w:szCs w:val="22"/>
        </w:rPr>
        <w:t xml:space="preserve">, </w:t>
      </w:r>
      <w:r w:rsidRPr="00166350">
        <w:rPr>
          <w:rFonts w:asciiTheme="minorHAnsi" w:hAnsiTheme="minorHAnsi"/>
          <w:color w:val="000000"/>
          <w:sz w:val="22"/>
          <w:szCs w:val="22"/>
        </w:rPr>
        <w:t>«</w:t>
      </w:r>
      <w:r w:rsidRPr="00D366F6">
        <w:rPr>
          <w:rFonts w:asciiTheme="minorHAnsi" w:hAnsiTheme="minorHAnsi"/>
          <w:i/>
          <w:sz w:val="22"/>
          <w:szCs w:val="22"/>
        </w:rPr>
        <w:t>Η στήριξη των μέσων χρηματοοικονομικής τεχνικής βασίζεται σε μια εκ των προτέρων αξιολόγηση η οποία έχει καταδείξει, βάσει στοιχείων, αποτυχία της αγοράς ή καταστάσεις ανεπάρκειας επενδύσεων, το εκτιμώμενο επίπεδο και το πεδίο των δημόσιων επενδυτικών αναγκών, συμπεριλαμβανομένων των τύπων των μέσων χρηματοοικονομικής τεχνικής που πρόκειται να χρηματοδοτηθούν</w:t>
      </w:r>
      <w:r w:rsidR="002C22C8">
        <w:rPr>
          <w:rFonts w:asciiTheme="minorHAnsi" w:hAnsiTheme="minorHAnsi"/>
          <w:i/>
          <w:sz w:val="22"/>
          <w:szCs w:val="22"/>
        </w:rPr>
        <w:t>»</w:t>
      </w:r>
      <w:r w:rsidRPr="00D366F6">
        <w:rPr>
          <w:rFonts w:asciiTheme="minorHAnsi" w:hAnsiTheme="minorHAnsi"/>
          <w:i/>
          <w:sz w:val="22"/>
          <w:szCs w:val="22"/>
        </w:rPr>
        <w:t xml:space="preserve">. </w:t>
      </w:r>
      <w:r w:rsidR="002C22C8">
        <w:rPr>
          <w:rFonts w:asciiTheme="minorHAnsi" w:hAnsiTheme="minorHAnsi"/>
          <w:sz w:val="22"/>
          <w:szCs w:val="22"/>
        </w:rPr>
        <w:t>Ο</w:t>
      </w:r>
      <w:r w:rsidR="002C22C8" w:rsidRPr="00166350">
        <w:rPr>
          <w:rFonts w:asciiTheme="minorHAnsi" w:hAnsiTheme="minorHAnsi"/>
          <w:sz w:val="22"/>
          <w:szCs w:val="22"/>
        </w:rPr>
        <w:t xml:space="preserve">ι βασικές παράμετροι που καθορίζουν τη διαδικασία εκπόνησης, τη δομή και </w:t>
      </w:r>
      <w:r w:rsidR="002C22C8">
        <w:rPr>
          <w:rFonts w:asciiTheme="minorHAnsi" w:hAnsiTheme="minorHAnsi"/>
          <w:sz w:val="22"/>
          <w:szCs w:val="22"/>
        </w:rPr>
        <w:t xml:space="preserve">το περιεχόμενο της «εκ των προτέρων αξιολόγησης» </w:t>
      </w:r>
      <w:r w:rsidR="002C22C8" w:rsidRPr="00D366F6">
        <w:rPr>
          <w:rFonts w:asciiTheme="minorHAnsi" w:hAnsiTheme="minorHAnsi"/>
          <w:sz w:val="22"/>
          <w:szCs w:val="22"/>
        </w:rPr>
        <w:t>καθώς και το εκτιμώμενο επίπεδο και εύρος των αναγκών δημόσιων επενδύσεων</w:t>
      </w:r>
      <w:r w:rsidR="002C22C8">
        <w:rPr>
          <w:rFonts w:asciiTheme="minorHAnsi" w:hAnsiTheme="minorHAnsi"/>
          <w:sz w:val="22"/>
          <w:szCs w:val="22"/>
        </w:rPr>
        <w:t xml:space="preserve"> αναλύονται στο άρθρο ρητά.</w:t>
      </w:r>
    </w:p>
    <w:p w14:paraId="50BF73CF" w14:textId="77777777" w:rsidR="002C22C8" w:rsidRPr="00D366F6" w:rsidRDefault="002C22C8" w:rsidP="00524440">
      <w:pPr>
        <w:pStyle w:val="CM1"/>
        <w:spacing w:line="360" w:lineRule="auto"/>
        <w:ind w:left="720"/>
        <w:rPr>
          <w:rFonts w:asciiTheme="minorHAnsi" w:hAnsiTheme="minorHAnsi"/>
          <w:i/>
          <w:sz w:val="22"/>
          <w:szCs w:val="22"/>
        </w:rPr>
      </w:pPr>
      <w:r w:rsidRPr="00D366F6">
        <w:rPr>
          <w:rFonts w:asciiTheme="minorHAnsi" w:hAnsiTheme="minorHAnsi"/>
          <w:i/>
          <w:sz w:val="22"/>
          <w:szCs w:val="22"/>
        </w:rPr>
        <w:t>Η εν λόγω εκ των προτέρων αξιολόγηση περιλαμβάνει:</w:t>
      </w:r>
    </w:p>
    <w:p w14:paraId="5BCAB6AC" w14:textId="77777777" w:rsidR="000F23A2" w:rsidRPr="00D366F6" w:rsidRDefault="000F23A2" w:rsidP="00524440">
      <w:pPr>
        <w:pStyle w:val="CM4"/>
        <w:spacing w:line="360" w:lineRule="auto"/>
        <w:ind w:left="720" w:right="566"/>
        <w:rPr>
          <w:rFonts w:asciiTheme="minorHAnsi" w:hAnsiTheme="minorHAnsi"/>
          <w:i/>
          <w:sz w:val="22"/>
          <w:szCs w:val="22"/>
        </w:rPr>
      </w:pPr>
      <w:r w:rsidRPr="00D366F6">
        <w:rPr>
          <w:rFonts w:asciiTheme="minorHAnsi" w:hAnsiTheme="minorHAnsi"/>
          <w:i/>
          <w:sz w:val="22"/>
          <w:szCs w:val="22"/>
        </w:rPr>
        <w:t xml:space="preserve">α) ανάλυση της αποτυχίας της αγοράς, των καταστάσεων ανεπάρκειας επενδύσεων και των επενδυτικών αναγκών για τομείς πολιτικής και θεματικούς στόχους ή επενδυτικές προτεραιότητες που πρόκειται να αντιμετωπιστούν προκειμένου να συμβάλουν στην επίτευξη των ειδικών στόχων που καθορίζονται στο πλαίσιο μιας προτεραιότητας και οι οποίες πρόκειται να στηριχθούν από μέσα χρηματοοικονομικής τεχνικής. Η ανάλυση αυτή βασίζεται στη μεθοδολογία διαθέσιμων ορθών πρακτικών· </w:t>
      </w:r>
    </w:p>
    <w:p w14:paraId="0ACEC299" w14:textId="77777777" w:rsidR="000F23A2" w:rsidRPr="00D366F6" w:rsidRDefault="000F23A2" w:rsidP="00524440">
      <w:pPr>
        <w:spacing w:line="360" w:lineRule="auto"/>
        <w:ind w:left="720" w:right="566"/>
        <w:rPr>
          <w:i/>
        </w:rPr>
      </w:pPr>
      <w:r w:rsidRPr="00D366F6">
        <w:rPr>
          <w:i/>
        </w:rPr>
        <w:t>β) εκτίμηση της προστιθέμενης αξίας των μέσων χρηματοοικονομικής τεχνικής που εξετάζονται για να λάβουν στήριξη από τα ΕΔΕΤ, της συνέπειας με άλλες μορφές δημόσιας παρέμβασης που απευθύνονται στην ίδια αγορά, των ενδεχόμενων επιπτώσεων των κρατικών ενισχύσεων, της αναλογικότητα της προβλεπόμενης παρέμβασης και των μέτρων για ελαχιστοποίηση της στρέβλωσης της αγοράς.</w:t>
      </w:r>
    </w:p>
    <w:p w14:paraId="390C2074" w14:textId="77777777" w:rsidR="000F23A2" w:rsidRPr="00D366F6" w:rsidRDefault="000F23A2" w:rsidP="00524440">
      <w:pPr>
        <w:pStyle w:val="CM4"/>
        <w:spacing w:line="360" w:lineRule="auto"/>
        <w:ind w:left="720" w:right="566"/>
        <w:rPr>
          <w:rFonts w:asciiTheme="minorHAnsi" w:hAnsiTheme="minorHAnsi"/>
          <w:i/>
          <w:sz w:val="22"/>
          <w:szCs w:val="22"/>
        </w:rPr>
      </w:pPr>
      <w:r w:rsidRPr="00D366F6">
        <w:rPr>
          <w:rFonts w:asciiTheme="minorHAnsi" w:hAnsiTheme="minorHAnsi"/>
          <w:i/>
          <w:sz w:val="22"/>
          <w:szCs w:val="22"/>
        </w:rPr>
        <w:t xml:space="preserve">γ) εκτίμηση σχετικά με τους πρόσθετους δημόσιους και ιδιωτικούς πόρους που ενδέχεται να συγκεντρωθούν από το μέσο χρηματοοικονομικής τεχνικής στο επίπεδο του τελικού αποδέκτη (αναμενόμενο αποτέλεσμα </w:t>
      </w:r>
      <w:proofErr w:type="spellStart"/>
      <w:r w:rsidRPr="00D366F6">
        <w:rPr>
          <w:rFonts w:asciiTheme="minorHAnsi" w:hAnsiTheme="minorHAnsi"/>
          <w:i/>
          <w:sz w:val="22"/>
          <w:szCs w:val="22"/>
        </w:rPr>
        <w:t>μόχλευσης</w:t>
      </w:r>
      <w:proofErr w:type="spellEnd"/>
      <w:r w:rsidRPr="00D366F6">
        <w:rPr>
          <w:rFonts w:asciiTheme="minorHAnsi" w:hAnsiTheme="minorHAnsi"/>
          <w:i/>
          <w:sz w:val="22"/>
          <w:szCs w:val="22"/>
        </w:rPr>
        <w:t xml:space="preserve">), συμπεριλαμβανομένης, κατά περίπτωση, μιας αξιολόγησης σχετικά με την ανάγκη και το επίπεδο προνομιακής αμοιβής για την προσέλκυση πόρων από ιδιώτες επενδυτές ή/και μιας περιγραφής των μηχανισμών που θα χρησιμοποιηθούν για να καθοριστεί η ανάγκη και η έκταση της εν λόγω προνομιακής αμοιβής, όπως μια ανταγωνιστική ή κατάλληλα ανεξάρτητη διαδικασία αξιολόγησης· </w:t>
      </w:r>
    </w:p>
    <w:p w14:paraId="2145D6D0" w14:textId="77777777" w:rsidR="000F23A2" w:rsidRPr="00D366F6" w:rsidRDefault="000F23A2" w:rsidP="00524440">
      <w:pPr>
        <w:pStyle w:val="CM4"/>
        <w:spacing w:line="360" w:lineRule="auto"/>
        <w:ind w:left="720" w:right="566"/>
        <w:rPr>
          <w:rFonts w:asciiTheme="minorHAnsi" w:hAnsiTheme="minorHAnsi"/>
          <w:i/>
          <w:sz w:val="22"/>
          <w:szCs w:val="22"/>
        </w:rPr>
      </w:pPr>
      <w:r w:rsidRPr="00D366F6">
        <w:rPr>
          <w:rFonts w:asciiTheme="minorHAnsi" w:hAnsiTheme="minorHAnsi"/>
          <w:i/>
          <w:sz w:val="22"/>
          <w:szCs w:val="22"/>
        </w:rPr>
        <w:t xml:space="preserve">δ) μια αξιολόγηση των διδαγμάτων που έχουν αντληθεί από την εφαρμογή παρόμοιων μέσων χρηματοοικονομικής τεχνικής και των εκ των προτέρων </w:t>
      </w:r>
      <w:r w:rsidRPr="00D366F6">
        <w:rPr>
          <w:rFonts w:asciiTheme="minorHAnsi" w:hAnsiTheme="minorHAnsi"/>
          <w:i/>
          <w:sz w:val="22"/>
          <w:szCs w:val="22"/>
        </w:rPr>
        <w:lastRenderedPageBreak/>
        <w:t xml:space="preserve">αξιολογήσεων οι οποίες διενεργήθηκαν από το κράτος μέλος στο παρελθόν και πώς τα εν λόγω διδάγματα πρόκειται να χρησιμοποιηθούν στο μέλλον· </w:t>
      </w:r>
    </w:p>
    <w:p w14:paraId="0F4EA6C8" w14:textId="77777777" w:rsidR="000F23A2" w:rsidRPr="00D366F6" w:rsidRDefault="000F23A2" w:rsidP="00524440">
      <w:pPr>
        <w:pStyle w:val="CM4"/>
        <w:spacing w:line="360" w:lineRule="auto"/>
        <w:ind w:left="720" w:right="566"/>
        <w:rPr>
          <w:rFonts w:asciiTheme="minorHAnsi" w:hAnsiTheme="minorHAnsi"/>
          <w:i/>
          <w:sz w:val="22"/>
          <w:szCs w:val="22"/>
        </w:rPr>
      </w:pPr>
      <w:r w:rsidRPr="00D366F6">
        <w:rPr>
          <w:rFonts w:asciiTheme="minorHAnsi" w:hAnsiTheme="minorHAnsi"/>
          <w:i/>
          <w:sz w:val="22"/>
          <w:szCs w:val="22"/>
        </w:rPr>
        <w:t xml:space="preserve">ε) την προτεινόμενη επενδυτική στρατηγική, συμπεριλαμβανομένης της εξέτασης επιλογών για τις ρυθμίσεις </w:t>
      </w:r>
      <w:r w:rsidR="004F576E">
        <w:rPr>
          <w:rFonts w:asciiTheme="minorHAnsi" w:hAnsiTheme="minorHAnsi"/>
          <w:i/>
          <w:sz w:val="22"/>
          <w:szCs w:val="22"/>
        </w:rPr>
        <w:t>Εφαρμογής</w:t>
      </w:r>
      <w:r w:rsidRPr="00D366F6">
        <w:rPr>
          <w:rFonts w:asciiTheme="minorHAnsi" w:hAnsiTheme="minorHAnsi"/>
          <w:i/>
          <w:sz w:val="22"/>
          <w:szCs w:val="22"/>
        </w:rPr>
        <w:t xml:space="preserve"> κατά την έννοια του άρθρου 38, των χρηματοδοτικών προϊόντων που πρόκειται να προσφερθούν, των τελικών αποδεκτών στους οποίους αυτά στοχεύουν, του προβλεπόμενου συνδυασμού με επιχορηγήσεις, κατά περίπτωση· </w:t>
      </w:r>
    </w:p>
    <w:p w14:paraId="5761097E" w14:textId="77777777" w:rsidR="000F23A2" w:rsidRPr="00D366F6" w:rsidRDefault="000F23A2" w:rsidP="00524440">
      <w:pPr>
        <w:pStyle w:val="CM4"/>
        <w:spacing w:line="360" w:lineRule="auto"/>
        <w:ind w:left="720" w:right="566"/>
        <w:rPr>
          <w:rFonts w:asciiTheme="minorHAnsi" w:hAnsiTheme="minorHAnsi"/>
          <w:i/>
          <w:sz w:val="22"/>
          <w:szCs w:val="22"/>
        </w:rPr>
      </w:pPr>
      <w:proofErr w:type="spellStart"/>
      <w:r w:rsidRPr="00D366F6">
        <w:rPr>
          <w:rFonts w:asciiTheme="minorHAnsi" w:hAnsiTheme="minorHAnsi"/>
          <w:i/>
          <w:sz w:val="22"/>
          <w:szCs w:val="22"/>
        </w:rPr>
        <w:t>στ</w:t>
      </w:r>
      <w:proofErr w:type="spellEnd"/>
      <w:r w:rsidRPr="00D366F6">
        <w:rPr>
          <w:rFonts w:asciiTheme="minorHAnsi" w:hAnsiTheme="minorHAnsi"/>
          <w:i/>
          <w:sz w:val="22"/>
          <w:szCs w:val="22"/>
        </w:rPr>
        <w:t xml:space="preserve">) μια διευκρίνιση των αναμενόμενων αποτελεσμάτων και του τρόπου με τον οποίο το σχετικό μέσο χρηματοοικονομικής τεχνικής αναμένεται να συμβάλει στην επίτευξη των ειδικών στόχων που καθορίζονται στη συγκεκριμένη προτεραιότητα, συμπεριλαμβανομένων των δεικτών για τη συμβολή του αυτή· </w:t>
      </w:r>
    </w:p>
    <w:p w14:paraId="40B60183" w14:textId="77777777" w:rsidR="000F23A2" w:rsidRPr="00166350" w:rsidRDefault="000F23A2" w:rsidP="00524440">
      <w:pPr>
        <w:spacing w:line="360" w:lineRule="auto"/>
        <w:ind w:left="720" w:right="566"/>
      </w:pPr>
      <w:r w:rsidRPr="00D366F6">
        <w:rPr>
          <w:i/>
        </w:rPr>
        <w:t xml:space="preserve">ζ) διατάξεις για την αναθεώρηση και </w:t>
      </w:r>
      <w:proofErr w:type="spellStart"/>
      <w:r w:rsidRPr="00D366F6">
        <w:rPr>
          <w:i/>
        </w:rPr>
        <w:t>επικαιροποίηση</w:t>
      </w:r>
      <w:proofErr w:type="spellEnd"/>
      <w:r w:rsidRPr="00D366F6">
        <w:rPr>
          <w:i/>
        </w:rPr>
        <w:t xml:space="preserve"> της εκ των προτέρων αξιολόγησης όπως απαιτείται κατά τη διάρκεια </w:t>
      </w:r>
      <w:r w:rsidR="004F576E">
        <w:rPr>
          <w:i/>
        </w:rPr>
        <w:t>Εφαρμογής</w:t>
      </w:r>
      <w:r w:rsidRPr="00D366F6">
        <w:rPr>
          <w:i/>
        </w:rPr>
        <w:t xml:space="preserve"> οποιουδήποτε μέσου χρηματοοικονομικής τεχνικής που έχει υλοποιηθεί βάσει της εν λόγω αξιολόγησης, εφόσον κατά την εφαρμογή του, η διαχειριστική αρχή κρίνει ότι η εκ των προτέρων αξιολόγηση δεν μπορεί πλέον να αποτυπώσει με ακρίβεια τις συνθήκες της αγοράς που επικρατούν κατά το χρόνο της </w:t>
      </w:r>
      <w:r w:rsidR="004F576E">
        <w:rPr>
          <w:i/>
        </w:rPr>
        <w:t>Εφαρμογής</w:t>
      </w:r>
      <w:r w:rsidRPr="00166350">
        <w:t>.</w:t>
      </w:r>
      <w:r w:rsidR="00D366F6">
        <w:t>»</w:t>
      </w:r>
    </w:p>
    <w:p w14:paraId="2164D728" w14:textId="77777777" w:rsidR="00DE14D2" w:rsidRDefault="003C6F6C" w:rsidP="00D26E1F">
      <w:pPr>
        <w:spacing w:line="360" w:lineRule="auto"/>
        <w:ind w:firstLine="567"/>
      </w:pPr>
      <w:r w:rsidRPr="00DE14D2">
        <w:t xml:space="preserve">Με βάση τις </w:t>
      </w:r>
      <w:r w:rsidR="002C22C8" w:rsidRPr="00DE14D2">
        <w:t xml:space="preserve">ως άνω </w:t>
      </w:r>
      <w:r w:rsidRPr="00DE14D2">
        <w:t xml:space="preserve">απαιτήσεις του </w:t>
      </w:r>
      <w:r w:rsidR="00840397" w:rsidRPr="00DE14D2">
        <w:t>κανονισμού</w:t>
      </w:r>
      <w:r w:rsidRPr="00DE14D2">
        <w:t xml:space="preserve"> </w:t>
      </w:r>
      <w:r w:rsidR="00DE14D2" w:rsidRPr="00DE14D2">
        <w:t xml:space="preserve">προκύπτει πως </w:t>
      </w:r>
      <w:r w:rsidR="002C22C8" w:rsidRPr="00DE14D2">
        <w:t xml:space="preserve">η τεκμηρίωση της αστοχίας της αγοράς ή </w:t>
      </w:r>
      <w:r w:rsidR="00DE14D2">
        <w:t>το όποιο μη ικανοποιητικό επενδυτικό περιβάλλον και κενό χρηματοδότησης καθώς και η προστιθέμενη αξία των υφιστάμενων χρηματοδοτικών προϊόντων του Ταμείου</w:t>
      </w:r>
      <w:r w:rsidR="002C22C8" w:rsidRPr="00DE14D2">
        <w:t>, οφείλ</w:t>
      </w:r>
      <w:r w:rsidR="00DE14D2">
        <w:t>ει</w:t>
      </w:r>
      <w:r w:rsidR="002C22C8" w:rsidRPr="00DE14D2">
        <w:t xml:space="preserve"> να επαληθε</w:t>
      </w:r>
      <w:r w:rsidR="00DE14D2">
        <w:t>υθεί</w:t>
      </w:r>
      <w:r w:rsidR="002C22C8" w:rsidRPr="00DE14D2">
        <w:t xml:space="preserve"> και κατά την τροποποίησή της </w:t>
      </w:r>
      <w:r w:rsidR="00DE14D2">
        <w:t xml:space="preserve">«εκ των προτέρων αξιολόγησης» στην περίπτωση που η Διαχειριστική Αρχή επιθυμεί την συμπλήρωση της αρχικής χρηματοδότησης που δόθηκε στο </w:t>
      </w:r>
      <w:r w:rsidR="005E65CC">
        <w:t>Χρηματοοικονομικό Εργαλείο (FI)</w:t>
      </w:r>
      <w:r w:rsidR="00DE14D2">
        <w:t xml:space="preserve">. </w:t>
      </w:r>
    </w:p>
    <w:p w14:paraId="349EE7D5" w14:textId="77777777" w:rsidR="003C6F6C" w:rsidRPr="00DE14D2" w:rsidRDefault="00DE14D2" w:rsidP="00D26E1F">
      <w:pPr>
        <w:spacing w:line="360" w:lineRule="auto"/>
        <w:ind w:firstLine="567"/>
      </w:pPr>
      <w:r>
        <w:t>Τέλος,</w:t>
      </w:r>
      <w:r w:rsidR="000553C4" w:rsidRPr="00DE14D2">
        <w:t xml:space="preserve"> λαμβάνοντας υπόψη τα</w:t>
      </w:r>
      <w:r w:rsidR="002C22C8" w:rsidRPr="00DE14D2">
        <w:t xml:space="preserve"> συμπληρωματικά, βοηθητικά </w:t>
      </w:r>
      <w:r w:rsidR="000553C4" w:rsidRPr="00DE14D2">
        <w:t xml:space="preserve">κείμενα </w:t>
      </w:r>
      <w:r w:rsidR="002C22C8" w:rsidRPr="00DE14D2">
        <w:t xml:space="preserve">και οδηγίες </w:t>
      </w:r>
      <w:r w:rsidR="000553C4" w:rsidRPr="00DE14D2">
        <w:t xml:space="preserve">που στο ενδιάμεσο διάστημα </w:t>
      </w:r>
      <w:r w:rsidR="002C22C8" w:rsidRPr="00DE14D2">
        <w:t xml:space="preserve">έχει </w:t>
      </w:r>
      <w:r w:rsidR="000553C4" w:rsidRPr="00DE14D2">
        <w:t xml:space="preserve">εκδώσει η </w:t>
      </w:r>
      <w:r w:rsidR="0062368F">
        <w:t>Ε.Ε.</w:t>
      </w:r>
      <w:r w:rsidR="000553C4" w:rsidRPr="00DE14D2">
        <w:t xml:space="preserve"> για τα χρηματοδοτικά μέσα</w:t>
      </w:r>
      <w:r w:rsidR="0062368F">
        <w:t>,</w:t>
      </w:r>
      <w:r w:rsidR="000553C4" w:rsidRPr="00DE14D2">
        <w:rPr>
          <w:rStyle w:val="ac"/>
        </w:rPr>
        <w:footnoteReference w:id="1"/>
      </w:r>
      <w:r w:rsidR="000553C4" w:rsidRPr="00DE14D2">
        <w:t xml:space="preserve"> </w:t>
      </w:r>
      <w:r w:rsidR="003C6F6C" w:rsidRPr="00DE14D2">
        <w:t xml:space="preserve">η εργασία </w:t>
      </w:r>
      <w:r w:rsidR="002C22C8" w:rsidRPr="00DE14D2">
        <w:t xml:space="preserve">της </w:t>
      </w:r>
      <w:proofErr w:type="spellStart"/>
      <w:r w:rsidR="002C22C8" w:rsidRPr="00DE14D2">
        <w:t>επικαιροποίησης</w:t>
      </w:r>
      <w:proofErr w:type="spellEnd"/>
      <w:r w:rsidR="002C22C8" w:rsidRPr="00DE14D2">
        <w:t xml:space="preserve"> </w:t>
      </w:r>
      <w:r w:rsidR="003C6F6C" w:rsidRPr="00DE14D2">
        <w:t xml:space="preserve">επιμερίσθηκε σε τρία </w:t>
      </w:r>
      <w:r w:rsidR="00E206F2" w:rsidRPr="00DE14D2">
        <w:t>μ</w:t>
      </w:r>
      <w:r w:rsidR="003C6F6C" w:rsidRPr="00DE14D2">
        <w:t>έρη:</w:t>
      </w:r>
    </w:p>
    <w:p w14:paraId="4F30A919" w14:textId="77777777" w:rsidR="00E206F2" w:rsidRPr="00473BB5" w:rsidRDefault="00E206F2" w:rsidP="00473BB5">
      <w:pPr>
        <w:pStyle w:val="4"/>
        <w:rPr>
          <w:rStyle w:val="af3"/>
          <w:b/>
        </w:rPr>
      </w:pPr>
      <w:r w:rsidRPr="00473BB5">
        <w:rPr>
          <w:rStyle w:val="af3"/>
          <w:b/>
        </w:rPr>
        <w:t>Μέρος Α</w:t>
      </w:r>
      <w:r w:rsidR="00473BB5" w:rsidRPr="00473BB5">
        <w:rPr>
          <w:rStyle w:val="af3"/>
          <w:b/>
        </w:rPr>
        <w:t xml:space="preserve">: </w:t>
      </w:r>
      <w:r w:rsidR="00473BB5" w:rsidRPr="00473BB5">
        <w:t xml:space="preserve">Αξιολόγηση Αγοράς &amp; </w:t>
      </w:r>
      <w:proofErr w:type="spellStart"/>
      <w:r w:rsidR="00473BB5" w:rsidRPr="00473BB5">
        <w:t>Αποκομισθείσας</w:t>
      </w:r>
      <w:proofErr w:type="spellEnd"/>
      <w:r w:rsidR="00473BB5" w:rsidRPr="00473BB5">
        <w:t xml:space="preserve"> Εμπειρίας</w:t>
      </w:r>
    </w:p>
    <w:p w14:paraId="18D4124E" w14:textId="77777777" w:rsidR="00840397" w:rsidRPr="00166350" w:rsidRDefault="00D366F6" w:rsidP="00524440">
      <w:pPr>
        <w:pStyle w:val="a3"/>
        <w:numPr>
          <w:ilvl w:val="0"/>
          <w:numId w:val="1"/>
        </w:numPr>
        <w:spacing w:line="360" w:lineRule="auto"/>
      </w:pPr>
      <w:r>
        <w:t>Τροποποιήσεις στο θ</w:t>
      </w:r>
      <w:r w:rsidR="00840397" w:rsidRPr="00166350">
        <w:t>εσμικό περιβάλλον υλοποίησης του έργου</w:t>
      </w:r>
    </w:p>
    <w:p w14:paraId="1ACEF53B" w14:textId="77777777" w:rsidR="00E206F2" w:rsidRPr="00166350" w:rsidRDefault="00E206F2" w:rsidP="00524440">
      <w:pPr>
        <w:pStyle w:val="a3"/>
        <w:numPr>
          <w:ilvl w:val="0"/>
          <w:numId w:val="1"/>
        </w:numPr>
        <w:spacing w:line="360" w:lineRule="auto"/>
      </w:pPr>
      <w:r w:rsidRPr="00166350">
        <w:t xml:space="preserve">Αξιολόγηση αγοράς προκειμένου να αιτιολογηθεί η δημόσια παρέμβαση και να υποστηριχθούν επενδύσεις χρηματοδοτικά βιώσιμες που ωστόσο δεν μπορούν να </w:t>
      </w:r>
      <w:r w:rsidRPr="00166350">
        <w:lastRenderedPageBreak/>
        <w:t>προσελκύσουν χρηματοδότηση από την αγορά λόγω υψηλού επενδυτικού κινδύνου ή χαμηλών προσδοκιών κερδοφορίας ή υψηλού κόστους χρηματοδότησης.</w:t>
      </w:r>
    </w:p>
    <w:p w14:paraId="10A2A96F" w14:textId="77777777" w:rsidR="00E206F2" w:rsidRPr="00166350" w:rsidRDefault="00E206F2" w:rsidP="00524440">
      <w:pPr>
        <w:pStyle w:val="a3"/>
        <w:numPr>
          <w:ilvl w:val="0"/>
          <w:numId w:val="1"/>
        </w:numPr>
        <w:spacing w:line="360" w:lineRule="auto"/>
      </w:pPr>
      <w:r w:rsidRPr="00166350">
        <w:t xml:space="preserve">Αξιολόγηση </w:t>
      </w:r>
      <w:proofErr w:type="spellStart"/>
      <w:r w:rsidRPr="00166350">
        <w:t>αποκομισθείσας</w:t>
      </w:r>
      <w:proofErr w:type="spellEnd"/>
      <w:r w:rsidRPr="00166350">
        <w:t xml:space="preserve"> εμπειρίας από προηγούμενη εφαρμογή </w:t>
      </w:r>
      <w:r w:rsidR="006018AF">
        <w:t>Χρηματοδοτικών Μέσων</w:t>
      </w:r>
    </w:p>
    <w:p w14:paraId="4B4AC85D" w14:textId="77777777" w:rsidR="00E206F2" w:rsidRPr="00473BB5" w:rsidRDefault="00E206F2" w:rsidP="00473BB5">
      <w:pPr>
        <w:pStyle w:val="4"/>
        <w:rPr>
          <w:rStyle w:val="af3"/>
          <w:b/>
          <w:i/>
          <w:iCs/>
        </w:rPr>
      </w:pPr>
      <w:r w:rsidRPr="00473BB5">
        <w:rPr>
          <w:rStyle w:val="af3"/>
          <w:b/>
          <w:i/>
          <w:iCs/>
        </w:rPr>
        <w:t>Μέρος Β</w:t>
      </w:r>
      <w:r w:rsidR="00473BB5" w:rsidRPr="00473BB5">
        <w:rPr>
          <w:rStyle w:val="af3"/>
          <w:b/>
          <w:i/>
          <w:iCs/>
        </w:rPr>
        <w:t xml:space="preserve">: </w:t>
      </w:r>
      <w:r w:rsidR="00473BB5" w:rsidRPr="00473BB5">
        <w:t xml:space="preserve">Αξιολόγηση της πιθανής προστιθέμενης αξίας και της </w:t>
      </w:r>
      <w:proofErr w:type="spellStart"/>
      <w:r w:rsidR="00473BB5" w:rsidRPr="00473BB5">
        <w:t>μόχλευσης</w:t>
      </w:r>
      <w:proofErr w:type="spellEnd"/>
    </w:p>
    <w:p w14:paraId="0EF564BD" w14:textId="77777777" w:rsidR="00E206F2" w:rsidRPr="001A5251" w:rsidRDefault="00E206F2" w:rsidP="00524440">
      <w:pPr>
        <w:pStyle w:val="a3"/>
        <w:numPr>
          <w:ilvl w:val="0"/>
          <w:numId w:val="2"/>
        </w:numPr>
        <w:spacing w:line="360" w:lineRule="auto"/>
      </w:pPr>
      <w:r w:rsidRPr="001A5251">
        <w:t>Αξιολόγηση της προστιθέμενης αξίας του</w:t>
      </w:r>
      <w:r w:rsidR="00D366F6">
        <w:t xml:space="preserve"> υπάρχοντος</w:t>
      </w:r>
      <w:r w:rsidRPr="001A5251">
        <w:t xml:space="preserve"> </w:t>
      </w:r>
      <w:r w:rsidR="005E65CC">
        <w:t>Χρηματοοικονομικού Εργαλείου (FI)</w:t>
      </w:r>
      <w:r w:rsidRPr="001A5251">
        <w:t>.</w:t>
      </w:r>
    </w:p>
    <w:p w14:paraId="77266F0A" w14:textId="77777777" w:rsidR="00E206F2" w:rsidRPr="001A5251" w:rsidRDefault="00E206F2" w:rsidP="00524440">
      <w:pPr>
        <w:pStyle w:val="a3"/>
        <w:numPr>
          <w:ilvl w:val="0"/>
          <w:numId w:val="2"/>
        </w:numPr>
        <w:spacing w:line="360" w:lineRule="auto"/>
      </w:pPr>
      <w:r w:rsidRPr="001A5251">
        <w:t xml:space="preserve">Αξιολόγηση της δυνατότητας του </w:t>
      </w:r>
      <w:r w:rsidR="005E65CC">
        <w:t>Χρηματοοικονομικού Εργαλείου (FI)</w:t>
      </w:r>
      <w:r w:rsidR="006018AF">
        <w:t xml:space="preserve"> </w:t>
      </w:r>
      <w:r w:rsidRPr="001A5251">
        <w:t>να προσελκύσ</w:t>
      </w:r>
      <w:r w:rsidR="00D366F6">
        <w:t>ει</w:t>
      </w:r>
      <w:r w:rsidRPr="001A5251">
        <w:t xml:space="preserve"> </w:t>
      </w:r>
      <w:r w:rsidR="00D366F6">
        <w:t xml:space="preserve">νέους </w:t>
      </w:r>
      <w:r w:rsidRPr="001A5251">
        <w:t>πρόσθετους δημόσιους ή και ιδιωτικούς πόρους.</w:t>
      </w:r>
    </w:p>
    <w:p w14:paraId="187EBE4F" w14:textId="77777777" w:rsidR="00E206F2" w:rsidRPr="005E65CC" w:rsidRDefault="00E206F2" w:rsidP="00473BB5">
      <w:pPr>
        <w:pStyle w:val="4"/>
        <w:rPr>
          <w:rStyle w:val="af3"/>
          <w:b/>
          <w:i/>
          <w:iCs/>
        </w:rPr>
      </w:pPr>
      <w:r w:rsidRPr="00473BB5">
        <w:rPr>
          <w:rStyle w:val="af3"/>
          <w:b/>
          <w:i/>
          <w:iCs/>
        </w:rPr>
        <w:t>Μέρος Γ</w:t>
      </w:r>
      <w:r w:rsidR="00473BB5" w:rsidRPr="00473BB5">
        <w:rPr>
          <w:rStyle w:val="af3"/>
          <w:b/>
          <w:i/>
          <w:iCs/>
        </w:rPr>
        <w:t xml:space="preserve">: Αξιολόγηση Επενδυτικής Στρατηγικής και εξέταση επανακαθορισμού της, εξειδίκευση αποτελεσμάτων &amp; Δείκτες, </w:t>
      </w:r>
      <w:proofErr w:type="spellStart"/>
      <w:r w:rsidR="00473BB5" w:rsidRPr="00473BB5">
        <w:rPr>
          <w:rStyle w:val="af3"/>
          <w:b/>
          <w:i/>
          <w:iCs/>
        </w:rPr>
        <w:t>Επικαιροποίηση</w:t>
      </w:r>
      <w:proofErr w:type="spellEnd"/>
      <w:r w:rsidR="00473BB5" w:rsidRPr="00473BB5">
        <w:rPr>
          <w:rStyle w:val="af3"/>
          <w:b/>
          <w:i/>
          <w:iCs/>
        </w:rPr>
        <w:t xml:space="preserve"> </w:t>
      </w:r>
      <w:r w:rsidR="005E65CC">
        <w:rPr>
          <w:rStyle w:val="af3"/>
          <w:b/>
          <w:i/>
          <w:iCs/>
        </w:rPr>
        <w:t xml:space="preserve">Χρηματοοικονομικού Εργαλείου </w:t>
      </w:r>
      <w:r w:rsidR="005E65CC" w:rsidRPr="005E65CC">
        <w:rPr>
          <w:rStyle w:val="af3"/>
          <w:b/>
          <w:i/>
          <w:iCs/>
        </w:rPr>
        <w:t>(</w:t>
      </w:r>
      <w:r w:rsidR="005E65CC">
        <w:rPr>
          <w:rStyle w:val="af3"/>
          <w:b/>
          <w:i/>
          <w:iCs/>
          <w:lang w:val="en-US"/>
        </w:rPr>
        <w:t>FI</w:t>
      </w:r>
      <w:r w:rsidR="005E65CC" w:rsidRPr="005E65CC">
        <w:rPr>
          <w:rStyle w:val="af3"/>
          <w:b/>
          <w:i/>
          <w:iCs/>
        </w:rPr>
        <w:t>)</w:t>
      </w:r>
    </w:p>
    <w:p w14:paraId="515790EC" w14:textId="77777777" w:rsidR="00E206F2" w:rsidRPr="001A5251" w:rsidRDefault="005C6D1D" w:rsidP="00524440">
      <w:pPr>
        <w:pStyle w:val="a3"/>
        <w:numPr>
          <w:ilvl w:val="0"/>
          <w:numId w:val="3"/>
        </w:numPr>
        <w:spacing w:line="360" w:lineRule="auto"/>
      </w:pPr>
      <w:r>
        <w:t xml:space="preserve">Αξιολόγηση της </w:t>
      </w:r>
      <w:r w:rsidR="00E206F2" w:rsidRPr="001A5251">
        <w:t>Επενδυτική</w:t>
      </w:r>
      <w:r>
        <w:t>ς</w:t>
      </w:r>
      <w:r w:rsidR="00E206F2" w:rsidRPr="001A5251">
        <w:t xml:space="preserve"> Στρατηγική</w:t>
      </w:r>
      <w:r>
        <w:t>ς</w:t>
      </w:r>
      <w:r w:rsidR="00473BB5">
        <w:t xml:space="preserve"> που εφαρμόστηκε</w:t>
      </w:r>
      <w:r w:rsidR="00E206F2" w:rsidRPr="001A5251">
        <w:t>.</w:t>
      </w:r>
    </w:p>
    <w:p w14:paraId="275F9EBA" w14:textId="77777777" w:rsidR="00E206F2" w:rsidRPr="001A5251" w:rsidRDefault="00E206F2" w:rsidP="00524440">
      <w:pPr>
        <w:pStyle w:val="a3"/>
        <w:numPr>
          <w:ilvl w:val="0"/>
          <w:numId w:val="3"/>
        </w:numPr>
        <w:spacing w:line="360" w:lineRule="auto"/>
      </w:pPr>
      <w:r w:rsidRPr="001A5251">
        <w:t xml:space="preserve">Εξειδίκευση των αναμενόμενων αποτελεσμάτων και των αντίστοιχων δεικτών μέτρησης και πρόταση σύστασης μηχανισμού παρακολούθησης ώστε να επιβεβαιώνεται η συνεισφορά του </w:t>
      </w:r>
      <w:r w:rsidR="005E65CC">
        <w:t>Χρηματοοικονομικού Εργαλείου (FI)</w:t>
      </w:r>
      <w:r w:rsidRPr="001A5251">
        <w:t xml:space="preserve"> στις αντίστοιχες επενδυτικές προτεραιότητες, στις προτεραιότητες των Ευρωπαϊκών Διαρθρωτικών- Επενδυτικών Ταμείων και στους στόχους των Επιχειρησιακών Προγραμμάτων.</w:t>
      </w:r>
    </w:p>
    <w:p w14:paraId="1A591C1D" w14:textId="77777777" w:rsidR="00E206F2" w:rsidRPr="001A5251" w:rsidRDefault="00E206F2" w:rsidP="00524440">
      <w:pPr>
        <w:pStyle w:val="a3"/>
        <w:numPr>
          <w:ilvl w:val="0"/>
          <w:numId w:val="3"/>
        </w:numPr>
        <w:spacing w:line="360" w:lineRule="auto"/>
      </w:pPr>
      <w:r w:rsidRPr="001A5251">
        <w:t xml:space="preserve">Προσδιορισμός διαδικασίας </w:t>
      </w:r>
      <w:proofErr w:type="spellStart"/>
      <w:r w:rsidRPr="001A5251">
        <w:t>επικαιροποίησης</w:t>
      </w:r>
      <w:proofErr w:type="spellEnd"/>
      <w:r w:rsidRPr="001A5251">
        <w:t xml:space="preserve"> και αναθεώρησης της εκ των προτέρων αξιολόγησης στο πλαίσιο του συστήματος παρακολούθησης, έτσι ώστε τα συμπεράσματα της εκ των προτέρων αξιολόγησης να αντικατοπτρίζουν τις υφιστάμενες συνθήκες της αγοράς</w:t>
      </w:r>
      <w:r w:rsidR="00995612" w:rsidRPr="001A5251">
        <w:t>.</w:t>
      </w:r>
    </w:p>
    <w:p w14:paraId="67985681" w14:textId="77777777" w:rsidR="00D47FF9" w:rsidRDefault="00995612" w:rsidP="00D26E1F">
      <w:pPr>
        <w:spacing w:line="360" w:lineRule="auto"/>
        <w:rPr>
          <w:rFonts w:eastAsia="Times New Roman"/>
          <w:b/>
          <w:bCs/>
          <w:color w:val="39302A" w:themeColor="text2"/>
          <w:sz w:val="28"/>
          <w:szCs w:val="24"/>
          <w:u w:val="single"/>
        </w:rPr>
      </w:pPr>
      <w:r w:rsidRPr="001A5251">
        <w:br w:type="page"/>
      </w:r>
    </w:p>
    <w:p w14:paraId="5A3B8820" w14:textId="77777777" w:rsidR="00995612" w:rsidRPr="001A5251" w:rsidRDefault="006754AF" w:rsidP="00524440">
      <w:pPr>
        <w:pStyle w:val="1"/>
      </w:pPr>
      <w:bookmarkStart w:id="5" w:name="_Toc36639185"/>
      <w:r w:rsidRPr="001A5251">
        <w:lastRenderedPageBreak/>
        <w:t>Πρώτο Μέρος : Αξιολόγηση Αγοράς</w:t>
      </w:r>
      <w:r w:rsidR="001D4857">
        <w:t xml:space="preserve"> &amp; </w:t>
      </w:r>
      <w:proofErr w:type="spellStart"/>
      <w:r w:rsidR="001D4857">
        <w:t>Α</w:t>
      </w:r>
      <w:r w:rsidR="001D4857" w:rsidRPr="001A5251">
        <w:t>ποκομισθείσας</w:t>
      </w:r>
      <w:proofErr w:type="spellEnd"/>
      <w:r w:rsidR="001D4857" w:rsidRPr="001A5251">
        <w:t xml:space="preserve"> </w:t>
      </w:r>
      <w:r w:rsidR="001D4857">
        <w:t>Ε</w:t>
      </w:r>
      <w:r w:rsidR="001D4857" w:rsidRPr="001A5251">
        <w:t>μπειρίας</w:t>
      </w:r>
      <w:bookmarkEnd w:id="5"/>
      <w:r w:rsidR="001D4857">
        <w:t xml:space="preserve"> </w:t>
      </w:r>
    </w:p>
    <w:p w14:paraId="38E217BB" w14:textId="77777777" w:rsidR="00995612" w:rsidRPr="001A5251" w:rsidRDefault="00995612" w:rsidP="00524440">
      <w:pPr>
        <w:spacing w:line="360" w:lineRule="auto"/>
      </w:pPr>
      <w:r w:rsidRPr="001A5251">
        <w:t xml:space="preserve">Το </w:t>
      </w:r>
      <w:r w:rsidR="00D14863" w:rsidRPr="001A5251">
        <w:t>πρώτο μέρος</w:t>
      </w:r>
      <w:r w:rsidRPr="001A5251">
        <w:t xml:space="preserve"> αποτελείται από </w:t>
      </w:r>
      <w:r w:rsidR="005B641E" w:rsidRPr="001A5251">
        <w:t>τις τρεις ακόλουθες θεματικές ενότητες:</w:t>
      </w:r>
    </w:p>
    <w:p w14:paraId="54B52E2F" w14:textId="77777777" w:rsidR="001D4857" w:rsidRPr="00840397" w:rsidRDefault="001D4857" w:rsidP="00524440">
      <w:pPr>
        <w:spacing w:line="360" w:lineRule="auto"/>
      </w:pPr>
      <w:r w:rsidRPr="00840397">
        <w:t>Θεσμικό περιβάλλον υλοποίησης του έργου</w:t>
      </w:r>
      <w:r w:rsidR="005C6D1D">
        <w:t xml:space="preserve"> κυρίως όσον αφορά στη διαφοροποίησή του ανάμεσα στην 1</w:t>
      </w:r>
      <w:r w:rsidR="005C6D1D" w:rsidRPr="005C6D1D">
        <w:rPr>
          <w:vertAlign w:val="superscript"/>
        </w:rPr>
        <w:t>η</w:t>
      </w:r>
      <w:r w:rsidR="005C6D1D">
        <w:t xml:space="preserve"> και στην παρούσα 2</w:t>
      </w:r>
      <w:r w:rsidR="005C6D1D" w:rsidRPr="005C6D1D">
        <w:rPr>
          <w:vertAlign w:val="superscript"/>
        </w:rPr>
        <w:t>η</w:t>
      </w:r>
      <w:r w:rsidR="005C6D1D">
        <w:t xml:space="preserve"> τροποποίηση:</w:t>
      </w:r>
    </w:p>
    <w:p w14:paraId="45B9A554" w14:textId="77777777" w:rsidR="00995612" w:rsidRPr="001A5251" w:rsidRDefault="00AB3571" w:rsidP="00524440">
      <w:pPr>
        <w:pStyle w:val="a3"/>
        <w:numPr>
          <w:ilvl w:val="0"/>
          <w:numId w:val="4"/>
        </w:numPr>
        <w:spacing w:line="360" w:lineRule="auto"/>
      </w:pPr>
      <w:r>
        <w:t xml:space="preserve">Μεταβολές στο </w:t>
      </w:r>
      <w:r w:rsidR="00995612" w:rsidRPr="001A5251">
        <w:t>κοινοτικ</w:t>
      </w:r>
      <w:r w:rsidR="005C6D1D">
        <w:t>ό</w:t>
      </w:r>
      <w:r w:rsidR="00995612" w:rsidRPr="001A5251">
        <w:t xml:space="preserve"> θεσμικ</w:t>
      </w:r>
      <w:r w:rsidR="005C6D1D">
        <w:t>ό</w:t>
      </w:r>
      <w:r w:rsidR="00995612" w:rsidRPr="001A5251">
        <w:t xml:space="preserve"> πλα</w:t>
      </w:r>
      <w:r w:rsidR="005C6D1D">
        <w:t>ίσιο</w:t>
      </w:r>
      <w:r w:rsidR="00995612" w:rsidRPr="001A5251">
        <w:t xml:space="preserve"> που αφορά στην ανάπτυξη χρηματοδοτικών μέσων.</w:t>
      </w:r>
    </w:p>
    <w:p w14:paraId="7E0862B3" w14:textId="77777777" w:rsidR="00995612" w:rsidRPr="001A5251" w:rsidRDefault="00AB3571" w:rsidP="00524440">
      <w:pPr>
        <w:pStyle w:val="a3"/>
        <w:numPr>
          <w:ilvl w:val="0"/>
          <w:numId w:val="4"/>
        </w:numPr>
        <w:spacing w:line="360" w:lineRule="auto"/>
      </w:pPr>
      <w:r>
        <w:t>Μεταβολές σ</w:t>
      </w:r>
      <w:r w:rsidR="005C6D1D">
        <w:t>το</w:t>
      </w:r>
      <w:r w:rsidR="00995612" w:rsidRPr="001A5251">
        <w:t xml:space="preserve"> εθνικ</w:t>
      </w:r>
      <w:r w:rsidR="005C6D1D">
        <w:t>ό</w:t>
      </w:r>
      <w:r w:rsidR="00995612" w:rsidRPr="001A5251">
        <w:t xml:space="preserve"> θεσμικ</w:t>
      </w:r>
      <w:r w:rsidR="005C6D1D">
        <w:t>ό</w:t>
      </w:r>
      <w:r w:rsidR="00995612" w:rsidRPr="001A5251">
        <w:t xml:space="preserve"> πλα</w:t>
      </w:r>
      <w:r w:rsidR="005C6D1D">
        <w:t>ίσιο</w:t>
      </w:r>
      <w:r w:rsidR="00995612" w:rsidRPr="001A5251">
        <w:t xml:space="preserve"> που αφορά στη διαχείριση της ενεργειακής απόδοσης των κτιρίων και την επίτευξη εξοικονόμησης ενέργειας.</w:t>
      </w:r>
    </w:p>
    <w:p w14:paraId="22BF6F68" w14:textId="77777777" w:rsidR="00995612" w:rsidRPr="00840397" w:rsidRDefault="00995612" w:rsidP="00524440">
      <w:pPr>
        <w:spacing w:line="360" w:lineRule="auto"/>
      </w:pPr>
      <w:r w:rsidRPr="00840397">
        <w:t>Αξιολόγηση αγοράς</w:t>
      </w:r>
    </w:p>
    <w:p w14:paraId="25219E5B" w14:textId="77777777" w:rsidR="00995612" w:rsidRPr="001A5251" w:rsidRDefault="00995612" w:rsidP="00524440">
      <w:pPr>
        <w:pStyle w:val="a3"/>
        <w:numPr>
          <w:ilvl w:val="0"/>
          <w:numId w:val="5"/>
        </w:numPr>
        <w:spacing w:line="360" w:lineRule="auto"/>
      </w:pPr>
      <w:r w:rsidRPr="001A5251">
        <w:t>Προσδιορισμός των προβλημάτων της αγοράς σε επίπεδο Περιφερειών / Χώρας</w:t>
      </w:r>
      <w:r w:rsidR="00D14863" w:rsidRPr="001A5251">
        <w:t xml:space="preserve"> </w:t>
      </w:r>
      <w:r w:rsidRPr="001A5251">
        <w:t>(μη</w:t>
      </w:r>
      <w:r w:rsidR="00D14863" w:rsidRPr="001A5251">
        <w:t xml:space="preserve"> </w:t>
      </w:r>
      <w:r w:rsidRPr="001A5251">
        <w:t xml:space="preserve">αποδοτική κατανομή πόρων, υπό ή υπερπαραγωγή αγαθών και υπηρεσιών </w:t>
      </w:r>
      <w:proofErr w:type="spellStart"/>
      <w:r w:rsidRPr="001A5251">
        <w:t>κ.ά</w:t>
      </w:r>
      <w:proofErr w:type="spellEnd"/>
      <w:r w:rsidRPr="001A5251">
        <w:t>).</w:t>
      </w:r>
    </w:p>
    <w:p w14:paraId="15C4DE08" w14:textId="77777777" w:rsidR="00995612" w:rsidRPr="001A5251" w:rsidRDefault="00995612" w:rsidP="00524440">
      <w:pPr>
        <w:pStyle w:val="a3"/>
        <w:numPr>
          <w:ilvl w:val="0"/>
          <w:numId w:val="5"/>
        </w:numPr>
        <w:spacing w:line="360" w:lineRule="auto"/>
      </w:pPr>
      <w:r w:rsidRPr="001A5251">
        <w:t>Τεκμηρίωση αστοχιών της αγοράς μέσω ανάλυσης του κενού ανάμεσα σε προσφορά</w:t>
      </w:r>
      <w:r w:rsidR="00675A1C" w:rsidRPr="004F5EE0">
        <w:t xml:space="preserve"> </w:t>
      </w:r>
      <w:r w:rsidRPr="001A5251">
        <w:t>και</w:t>
      </w:r>
      <w:r w:rsidR="00D14863" w:rsidRPr="001A5251">
        <w:t xml:space="preserve"> </w:t>
      </w:r>
      <w:r w:rsidRPr="001A5251">
        <w:t>ζήτηση</w:t>
      </w:r>
      <w:r w:rsidR="00D14863" w:rsidRPr="001A5251">
        <w:t>,</w:t>
      </w:r>
      <w:r w:rsidRPr="001A5251">
        <w:t xml:space="preserve"> και προσδιορισμός μη ιδανικών επενδυτικών καταστάσεων (μη επαρκείς επενδυτικές </w:t>
      </w:r>
      <w:r w:rsidR="00550E76">
        <w:t>πρωτοβουλίες</w:t>
      </w:r>
      <w:r w:rsidRPr="001A5251">
        <w:t xml:space="preserve"> για την επίτευξη στόχων αναπτυξιακών πολιτικών, κενά </w:t>
      </w:r>
      <w:r w:rsidR="00550E76">
        <w:t xml:space="preserve">χρηματοδότησης </w:t>
      </w:r>
      <w:r w:rsidRPr="001A5251">
        <w:t>επιχειρηματικών σχεδίων</w:t>
      </w:r>
      <w:r w:rsidR="00550E76">
        <w:t xml:space="preserve">, δυσπραγία λόγω πτώσης των εισοδημάτων, προτεραιότητες </w:t>
      </w:r>
      <w:r w:rsidRPr="001A5251">
        <w:t>οικονομικών τομέων που επιζητούν χρηματοδότηση).</w:t>
      </w:r>
    </w:p>
    <w:p w14:paraId="3C868BA2" w14:textId="77777777" w:rsidR="00995612" w:rsidRPr="001A5251" w:rsidRDefault="00995612" w:rsidP="00524440">
      <w:pPr>
        <w:pStyle w:val="a3"/>
        <w:numPr>
          <w:ilvl w:val="0"/>
          <w:numId w:val="5"/>
        </w:numPr>
        <w:spacing w:line="360" w:lineRule="auto"/>
      </w:pPr>
      <w:r w:rsidRPr="001A5251">
        <w:t>Ποσοτικοποίηση του επενδυτικού κενού</w:t>
      </w:r>
      <w:r w:rsidR="00550E76">
        <w:t>.</w:t>
      </w:r>
    </w:p>
    <w:p w14:paraId="10A79E92" w14:textId="77777777" w:rsidR="00995612" w:rsidRPr="00840397" w:rsidRDefault="00995612" w:rsidP="00524440">
      <w:pPr>
        <w:spacing w:line="360" w:lineRule="auto"/>
      </w:pPr>
      <w:r w:rsidRPr="00840397">
        <w:t xml:space="preserve">Αξιολόγηση </w:t>
      </w:r>
      <w:proofErr w:type="spellStart"/>
      <w:r w:rsidRPr="00840397">
        <w:t>αποκομισθείσας</w:t>
      </w:r>
      <w:proofErr w:type="spellEnd"/>
      <w:r w:rsidRPr="00840397">
        <w:t xml:space="preserve"> εμπειρίας από </w:t>
      </w:r>
      <w:r w:rsidR="005C6D1D">
        <w:t>την</w:t>
      </w:r>
      <w:r w:rsidRPr="00840397">
        <w:t xml:space="preserve"> εφαρμογή </w:t>
      </w:r>
      <w:r w:rsidR="005C6D1D">
        <w:t xml:space="preserve">του </w:t>
      </w:r>
      <w:r w:rsidR="005E65CC">
        <w:t>Χρηματοοικονομικού Εργαλείου (FI)</w:t>
      </w:r>
    </w:p>
    <w:p w14:paraId="097AFCEB" w14:textId="77777777" w:rsidR="00AB3571" w:rsidRDefault="00995612" w:rsidP="00524440">
      <w:pPr>
        <w:pStyle w:val="a3"/>
        <w:numPr>
          <w:ilvl w:val="0"/>
          <w:numId w:val="6"/>
        </w:numPr>
        <w:spacing w:line="360" w:lineRule="auto"/>
      </w:pPr>
      <w:r w:rsidRPr="001A5251">
        <w:t xml:space="preserve">Συμπεράσματα της </w:t>
      </w:r>
      <w:proofErr w:type="spellStart"/>
      <w:r w:rsidRPr="001A5251">
        <w:t>αποκομισθείσας</w:t>
      </w:r>
      <w:proofErr w:type="spellEnd"/>
      <w:r w:rsidRPr="001A5251">
        <w:t xml:space="preserve"> πληροφορίας για τη βελτίωση του σχεδιασμού και της απόδοσης των προτεινόμενων </w:t>
      </w:r>
      <w:r w:rsidR="00DD76AA">
        <w:t>χρηματοδοτικών μέσων</w:t>
      </w:r>
      <w:r w:rsidRPr="001A5251">
        <w:t>.</w:t>
      </w:r>
      <w:bookmarkStart w:id="6" w:name="_Toc454363937"/>
    </w:p>
    <w:p w14:paraId="4E45677C" w14:textId="77777777" w:rsidR="00A16A4E" w:rsidRPr="001D4857" w:rsidRDefault="00A16A4E" w:rsidP="00D26E1F">
      <w:pPr>
        <w:pStyle w:val="2"/>
      </w:pPr>
      <w:bookmarkStart w:id="7" w:name="_Toc36639186"/>
      <w:r w:rsidRPr="001D4857">
        <w:t>Θεσμικό περιβάλλον υλοποίησης του έργου</w:t>
      </w:r>
      <w:bookmarkEnd w:id="6"/>
      <w:bookmarkEnd w:id="7"/>
    </w:p>
    <w:p w14:paraId="579FEF04" w14:textId="77777777" w:rsidR="00A16A4E" w:rsidRPr="001A5251" w:rsidRDefault="00A16A4E" w:rsidP="00524440">
      <w:pPr>
        <w:pStyle w:val="Default"/>
        <w:spacing w:before="40" w:after="120" w:line="360" w:lineRule="auto"/>
        <w:jc w:val="both"/>
        <w:rPr>
          <w:rFonts w:asciiTheme="minorHAnsi" w:hAnsiTheme="minorHAnsi" w:cs="Arial"/>
          <w:sz w:val="22"/>
          <w:szCs w:val="22"/>
        </w:rPr>
      </w:pPr>
      <w:r w:rsidRPr="001A5251">
        <w:rPr>
          <w:rFonts w:asciiTheme="minorHAnsi" w:hAnsiTheme="minorHAnsi" w:cs="Arial"/>
          <w:sz w:val="22"/>
          <w:szCs w:val="22"/>
        </w:rPr>
        <w:t xml:space="preserve">Στη συνέχεια παρουσιάζονται οι βασικές διατάξεις του θεσμικού πλαισίου υλοποίησης της δράσης τόσο σε εθνικό όσο και σε κοινοτικό επίπεδο. </w:t>
      </w:r>
    </w:p>
    <w:p w14:paraId="2DA146AB" w14:textId="77777777" w:rsidR="00A16A4E" w:rsidRPr="001D4857" w:rsidRDefault="00A16A4E" w:rsidP="00FA5CD9">
      <w:pPr>
        <w:pStyle w:val="3"/>
      </w:pPr>
      <w:bookmarkStart w:id="8" w:name="_Toc36639187"/>
      <w:r w:rsidRPr="001D4857">
        <w:t xml:space="preserve">Ισχύουσα </w:t>
      </w:r>
      <w:r w:rsidR="000806A5">
        <w:t>Κ</w:t>
      </w:r>
      <w:r w:rsidRPr="001D4857">
        <w:t>οινοτική Νομοθεσία</w:t>
      </w:r>
      <w:bookmarkEnd w:id="8"/>
    </w:p>
    <w:p w14:paraId="1F20DC46" w14:textId="77777777" w:rsidR="00A16A4E" w:rsidRPr="001A5251" w:rsidRDefault="00A16A4E" w:rsidP="00524440">
      <w:pPr>
        <w:spacing w:before="240" w:line="360" w:lineRule="auto"/>
      </w:pPr>
      <w:r w:rsidRPr="001A5251">
        <w:rPr>
          <w:rStyle w:val="af4"/>
        </w:rPr>
        <w:t>Κανονισμός (</w:t>
      </w:r>
      <w:r w:rsidR="0062368F">
        <w:rPr>
          <w:rStyle w:val="af4"/>
        </w:rPr>
        <w:t>Ε.Ε.</w:t>
      </w:r>
      <w:r w:rsidRPr="001A5251">
        <w:rPr>
          <w:rStyle w:val="af4"/>
        </w:rPr>
        <w:t xml:space="preserve">) αριθ. 1303/2013 του Ε.Κ. </w:t>
      </w:r>
      <w:r w:rsidRPr="001A5251">
        <w:t xml:space="preserve">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w:t>
      </w:r>
      <w:r w:rsidRPr="001A5251">
        <w:lastRenderedPageBreak/>
        <w:t>Ανάπτυξης, το Ευρωπαϊκό Κοινωνικό Ταμείο, το Ταμείο Συνοχής και το Ευρωπαϊκό Ταμείο Θάλασσας και Αλιείας και για την κατάργηση του κανονισμού (ΕΚ) αριθ. 1083/2006</w:t>
      </w:r>
      <w:r w:rsidR="00B67AE6">
        <w:t xml:space="preserve"> </w:t>
      </w:r>
    </w:p>
    <w:p w14:paraId="4AAF2E37" w14:textId="77777777" w:rsidR="00F81494" w:rsidRPr="001A5251" w:rsidRDefault="00A16A4E" w:rsidP="00524440">
      <w:pPr>
        <w:spacing w:line="360" w:lineRule="auto"/>
      </w:pPr>
      <w:r w:rsidRPr="001A5251">
        <w:t>Στον κοινό κανονισμό 1303/2013 των ΕΔΕΤ</w:t>
      </w:r>
      <w:r w:rsidRPr="001A5251">
        <w:rPr>
          <w:rStyle w:val="ac"/>
        </w:rPr>
        <w:footnoteReference w:id="2"/>
      </w:r>
      <w:r w:rsidRPr="001A5251">
        <w:t xml:space="preserve"> για την </w:t>
      </w:r>
      <w:r w:rsidR="00E5630E">
        <w:t>Προγραμματ</w:t>
      </w:r>
      <w:r w:rsidRPr="001A5251">
        <w:t xml:space="preserve">ική </w:t>
      </w:r>
      <w:r w:rsidR="00EB38B3">
        <w:t>Περίοδο</w:t>
      </w:r>
      <w:r w:rsidRPr="001A5251">
        <w:t xml:space="preserve"> 2014-2020 γίνεται εκτενής αναφορά για τα μέσα χρηματοοικονομικής τεχνικής στα άρθρα 37 έως και 47. Μάλιστα υπάρχει πληθώρα εγγράφων της Ε.Ε. που εξειδικεύουν την εφαρμογή αυτών των διατάξεων τα οποία είναι αναρτημένα στην </w:t>
      </w:r>
      <w:proofErr w:type="spellStart"/>
      <w:r w:rsidRPr="001A5251">
        <w:t>ιστοθέση</w:t>
      </w:r>
      <w:proofErr w:type="spellEnd"/>
      <w:r w:rsidRPr="001A5251">
        <w:t xml:space="preserve"> της Γενικής Διεύθυνσης Περιφερειακής Πολιτικής</w:t>
      </w:r>
      <w:r w:rsidR="000806A5">
        <w:t>.</w:t>
      </w:r>
    </w:p>
    <w:p w14:paraId="3D8CC414" w14:textId="77777777" w:rsidR="00A16A4E" w:rsidRPr="001A5251" w:rsidRDefault="00A16A4E" w:rsidP="00524440">
      <w:pPr>
        <w:spacing w:before="240" w:line="360" w:lineRule="auto"/>
      </w:pPr>
      <w:r w:rsidRPr="00CF4C76">
        <w:rPr>
          <w:rStyle w:val="af3"/>
        </w:rPr>
        <w:t>Κανονισμός (</w:t>
      </w:r>
      <w:r w:rsidR="0062368F">
        <w:rPr>
          <w:rStyle w:val="af3"/>
        </w:rPr>
        <w:t>Ε.Ε.</w:t>
      </w:r>
      <w:r w:rsidRPr="00CF4C76">
        <w:rPr>
          <w:rStyle w:val="af3"/>
        </w:rPr>
        <w:t>) αριθ. 480/2014 της Επιτροπής για τη συμπλήρωση του κανονισμού (</w:t>
      </w:r>
      <w:r w:rsidR="0062368F">
        <w:rPr>
          <w:rStyle w:val="af3"/>
        </w:rPr>
        <w:t>Ε.Ε.</w:t>
      </w:r>
      <w:r w:rsidRPr="00CF4C76">
        <w:rPr>
          <w:rStyle w:val="af3"/>
        </w:rPr>
        <w:t>) αριθ. 1303/2013</w:t>
      </w:r>
      <w:r w:rsidRPr="001A5251">
        <w:rPr>
          <w:color w:val="39302A" w:themeColor="text2"/>
        </w:rPr>
        <w:t xml:space="preserve"> </w:t>
      </w:r>
      <w:r w:rsidRPr="001A5251">
        <w:t>του Ευρωπαϊκού Κοινοβουλίου και του Συμβουλίου 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w:t>
      </w:r>
    </w:p>
    <w:p w14:paraId="5C4B13C6" w14:textId="77777777" w:rsidR="00A16A4E" w:rsidRPr="001A5251" w:rsidRDefault="00A16A4E" w:rsidP="00524440">
      <w:pPr>
        <w:spacing w:line="360" w:lineRule="auto"/>
      </w:pPr>
      <w:r w:rsidRPr="001A5251">
        <w:t>Ο κανονισμός θεσπίζει διατάξεις που συμπληρώνουν τον γενικό κανονισμό και</w:t>
      </w:r>
      <w:r w:rsidR="00B67AE6">
        <w:t xml:space="preserve"> </w:t>
      </w:r>
      <w:r w:rsidRPr="001A5251">
        <w:t>εφαρμόζονται στο ΕΤΠΑ, το ΕΚΤ, το Ταμείο Συνοχής, το ΕΓΤΑΑ και το ΕΤΘΑ, (εφεξής: "ΕΔΕΤ"), και μεταξύ άλλων αφορούν στα μέσα χρηματοοικονομικής τεχνικής. Ειδικότερα θέτει:</w:t>
      </w:r>
    </w:p>
    <w:p w14:paraId="47426AF8" w14:textId="77777777" w:rsidR="00A16A4E" w:rsidRPr="001A5251" w:rsidRDefault="00A16A4E" w:rsidP="003663F4">
      <w:pPr>
        <w:pStyle w:val="a3"/>
        <w:numPr>
          <w:ilvl w:val="0"/>
          <w:numId w:val="24"/>
        </w:numPr>
        <w:spacing w:line="360" w:lineRule="auto"/>
      </w:pPr>
      <w:r w:rsidRPr="001A5251">
        <w:t xml:space="preserve">πρόσθετους ειδικούς κανόνες για την αγορά γης και τον συνδυασμό τεχνικής υποστήριξης με μέσα χρηματοοικονομικής τεχνικής, </w:t>
      </w:r>
    </w:p>
    <w:p w14:paraId="5A0E9657" w14:textId="77777777" w:rsidR="00A16A4E" w:rsidRPr="001A5251" w:rsidRDefault="00A16A4E" w:rsidP="003663F4">
      <w:pPr>
        <w:pStyle w:val="a3"/>
        <w:numPr>
          <w:ilvl w:val="0"/>
          <w:numId w:val="24"/>
        </w:numPr>
        <w:spacing w:line="360" w:lineRule="auto"/>
      </w:pPr>
      <w:r w:rsidRPr="001A5251">
        <w:t xml:space="preserve">πρόσθετους ειδικούς κανόνες για τον ρόλο, τις υποχρεώσεις και την ευθύνη των φορέων </w:t>
      </w:r>
      <w:r w:rsidR="004F576E">
        <w:t>Εφαρμογής</w:t>
      </w:r>
      <w:r w:rsidRPr="001A5251">
        <w:t xml:space="preserve"> μέσων χρηματοοικονομικής τεχνικής, τα συναφή κριτήρια επιλογής και τα προϊόντα που μπορούν να παράγονται με μέσα χρηματοοικονομικής τεχνικής, </w:t>
      </w:r>
    </w:p>
    <w:p w14:paraId="7CAA772C" w14:textId="77777777" w:rsidR="00A16A4E" w:rsidRPr="001A5251" w:rsidRDefault="00A16A4E" w:rsidP="003663F4">
      <w:pPr>
        <w:pStyle w:val="a3"/>
        <w:numPr>
          <w:ilvl w:val="0"/>
          <w:numId w:val="24"/>
        </w:numPr>
        <w:spacing w:line="360" w:lineRule="auto"/>
      </w:pPr>
      <w:r w:rsidRPr="001A5251">
        <w:t>κανόνες σχετικά με τη διαχείριση και τον έλεγχο ορισμένων μέσων χρηματοοικονομικής τεχνικής, συμπεριλαμβανομένων των ελέγχων που πρέπει να διενεργούν οι διαχειριστικές αρχές και οι αρχές ελέγχου, των ρυθμίσεων για την τήρηση αποδεικτικών εγγράφων, των στοιχείων που πρέπει να τεκμηριώνονται με αποδεικτικά έγγραφα και των ρυθμίσεων διαχειριστικής και ελεγκτικής φύσεως,</w:t>
      </w:r>
    </w:p>
    <w:p w14:paraId="32AABE95" w14:textId="77777777" w:rsidR="00A16A4E" w:rsidRPr="001A5251" w:rsidRDefault="00A16A4E" w:rsidP="003663F4">
      <w:pPr>
        <w:pStyle w:val="a3"/>
        <w:numPr>
          <w:ilvl w:val="0"/>
          <w:numId w:val="24"/>
        </w:numPr>
        <w:spacing w:line="360" w:lineRule="auto"/>
      </w:pPr>
      <w:r w:rsidRPr="001A5251">
        <w:t>κανόνες που διέπουν την ανάκληση πληρωμών στα μέσα χρηματοοικονομικής τεχνικής και τις επακόλουθες τροποποιήσεις των αιτήσεων πληρωμών,</w:t>
      </w:r>
    </w:p>
    <w:p w14:paraId="5B5E2DAC" w14:textId="77777777" w:rsidR="00A16A4E" w:rsidRPr="001A5251" w:rsidRDefault="00A16A4E" w:rsidP="003663F4">
      <w:pPr>
        <w:pStyle w:val="a3"/>
        <w:numPr>
          <w:ilvl w:val="0"/>
          <w:numId w:val="24"/>
        </w:numPr>
        <w:spacing w:line="360" w:lineRule="auto"/>
      </w:pPr>
      <w:r w:rsidRPr="001A5251">
        <w:t>ειδικούς κανόνες για τη θέσπιση συστήματος κεφαλαιοποίησης των ετήσιων δόσεων για τις επιδοτήσεις επιτοκίου και τις επιδοτήσεις προμηθειών εγγύησης,</w:t>
      </w:r>
    </w:p>
    <w:p w14:paraId="470B0DA1" w14:textId="77777777" w:rsidR="00A16A4E" w:rsidRDefault="00A16A4E" w:rsidP="003663F4">
      <w:pPr>
        <w:pStyle w:val="a3"/>
        <w:numPr>
          <w:ilvl w:val="0"/>
          <w:numId w:val="24"/>
        </w:numPr>
        <w:spacing w:line="360" w:lineRule="auto"/>
      </w:pPr>
      <w:r w:rsidRPr="001A5251">
        <w:t xml:space="preserve">ειδικούς κανόνες για τη θέσπιση κριτηρίων για τον καθορισμό των δαπανών και αμοιβών διαχείρισης με βάση τις επιδόσεις και τα εφαρμοστέα όρια, καθώς και κανόνες για την </w:t>
      </w:r>
      <w:r w:rsidRPr="001A5251">
        <w:lastRenderedPageBreak/>
        <w:t xml:space="preserve">επιστροφή κεφαλαιοποιημένων εξόδων και δαπανών διαχείρισης για μέσα κεφαλαιακών συμμετοχών και </w:t>
      </w:r>
      <w:proofErr w:type="spellStart"/>
      <w:r w:rsidRPr="001A5251">
        <w:t>μικροπιστώσεις</w:t>
      </w:r>
      <w:proofErr w:type="spellEnd"/>
      <w:r w:rsidRPr="001A5251">
        <w:t>.</w:t>
      </w:r>
    </w:p>
    <w:p w14:paraId="0E16B3C8" w14:textId="77777777" w:rsidR="003354F4" w:rsidRDefault="00360522" w:rsidP="00524440">
      <w:pPr>
        <w:spacing w:before="240" w:line="360" w:lineRule="auto"/>
      </w:pPr>
      <w:r>
        <w:t xml:space="preserve">Πρόσφατα, </w:t>
      </w:r>
      <w:r w:rsidR="003354F4" w:rsidRPr="00201FBD">
        <w:rPr>
          <w:rStyle w:val="af4"/>
        </w:rPr>
        <w:t>ο Κατ' εξουσιοδότηση κανονισμός (</w:t>
      </w:r>
      <w:r w:rsidR="0062368F">
        <w:rPr>
          <w:rStyle w:val="af4"/>
        </w:rPr>
        <w:t>Ε.Ε.</w:t>
      </w:r>
      <w:r w:rsidR="003354F4" w:rsidRPr="00201FBD">
        <w:rPr>
          <w:rStyle w:val="af4"/>
        </w:rPr>
        <w:t>) 2019/886 της Επιτροπής</w:t>
      </w:r>
      <w:r w:rsidR="003354F4" w:rsidRPr="00201FBD">
        <w:t xml:space="preserve">, της 12ης Φεβρουαρίου 2019, </w:t>
      </w:r>
      <w:r>
        <w:t xml:space="preserve">εκδόθηκε </w:t>
      </w:r>
      <w:r w:rsidR="003354F4" w:rsidRPr="00201FBD">
        <w:t>για την τροποποίηση και τη διόρθωση του κατ' εξουσιοδότηση κανονισμού (</w:t>
      </w:r>
      <w:r w:rsidR="0062368F">
        <w:t>Ε.Ε.</w:t>
      </w:r>
      <w:r w:rsidR="003354F4" w:rsidRPr="00201FBD">
        <w:t xml:space="preserve">) αριθ. 480/2014 όσον αφορά τις διατάξεις σχετικά με τα χρηματοδοτικά μέσα, τις απλουστευμένες επιλογές κόστους, τη διαδρομή ελέγχου, το πεδίο </w:t>
      </w:r>
      <w:r w:rsidR="004F576E">
        <w:t>Εφαρμογής</w:t>
      </w:r>
      <w:r w:rsidR="003354F4" w:rsidRPr="00201FBD">
        <w:t xml:space="preserve"> και το περιεχόμενο των λογιστικών ελέγχων των πράξεων και τη μεθοδολογία για την επιλογή του δείγματος των πράξεων</w:t>
      </w:r>
      <w:r w:rsidR="003354F4">
        <w:t xml:space="preserve"> ενώ θεσπίζεται η υποχρέωση να </w:t>
      </w:r>
      <w:r w:rsidR="003354F4" w:rsidRPr="00201FBD">
        <w:t xml:space="preserve">διενεργούνται διαχειριστικές επαληθεύσεις καθ' όλη τη διάρκεια της </w:t>
      </w:r>
      <w:r w:rsidR="00EB38B3">
        <w:t>Περιόδου</w:t>
      </w:r>
      <w:r w:rsidR="003354F4" w:rsidRPr="00201FBD">
        <w:t xml:space="preserve"> </w:t>
      </w:r>
      <w:r w:rsidR="00E5630E">
        <w:t>Προγραμματ</w:t>
      </w:r>
      <w:r w:rsidR="003354F4" w:rsidRPr="00201FBD">
        <w:t xml:space="preserve">ισμού και κατά τη διάρκεια της σύστασης και </w:t>
      </w:r>
      <w:r w:rsidR="004F576E">
        <w:t>Εφαρμογής</w:t>
      </w:r>
      <w:r w:rsidR="003354F4" w:rsidRPr="00201FBD">
        <w:t xml:space="preserve"> των μέσων χρηματοοικονομικής τεχνικής, σύμφωνα με το άρθρο 125 παράγραφος 4 του κανονισμού (</w:t>
      </w:r>
      <w:r w:rsidR="0062368F">
        <w:t>Ε.Ε.</w:t>
      </w:r>
      <w:r w:rsidR="003354F4" w:rsidRPr="00201FBD">
        <w:t>) αριθ. 1303/2013 για το ΕΤΠΑ,</w:t>
      </w:r>
    </w:p>
    <w:p w14:paraId="17FBAE6A" w14:textId="77777777" w:rsidR="00A16A4E" w:rsidRPr="001A5251" w:rsidRDefault="00A16A4E" w:rsidP="00524440">
      <w:pPr>
        <w:spacing w:before="240" w:line="360" w:lineRule="auto"/>
      </w:pPr>
      <w:r w:rsidRPr="00CF4C76">
        <w:rPr>
          <w:rStyle w:val="af3"/>
        </w:rPr>
        <w:t>Εκτελεστικός Κανονισμός (</w:t>
      </w:r>
      <w:r w:rsidR="0062368F">
        <w:rPr>
          <w:rStyle w:val="af3"/>
        </w:rPr>
        <w:t>Ε.Ε.</w:t>
      </w:r>
      <w:r w:rsidRPr="00CF4C76">
        <w:rPr>
          <w:rStyle w:val="af3"/>
        </w:rPr>
        <w:t xml:space="preserve">) αριθ. 964/2014 της Επιτροπής για τη θέσπιση κανόνων </w:t>
      </w:r>
      <w:r w:rsidR="004F576E">
        <w:rPr>
          <w:rStyle w:val="af3"/>
        </w:rPr>
        <w:t>Εφαρμογής</w:t>
      </w:r>
      <w:r w:rsidRPr="00CF4C76">
        <w:rPr>
          <w:rStyle w:val="af3"/>
        </w:rPr>
        <w:t xml:space="preserve"> του κανονισμού (</w:t>
      </w:r>
      <w:r w:rsidR="0062368F">
        <w:rPr>
          <w:rStyle w:val="af3"/>
        </w:rPr>
        <w:t>Ε.Ε.</w:t>
      </w:r>
      <w:r w:rsidRPr="00CF4C76">
        <w:rPr>
          <w:rStyle w:val="af3"/>
        </w:rPr>
        <w:t>) αριθ. 1303/2013</w:t>
      </w:r>
      <w:r w:rsidRPr="001A5251">
        <w:rPr>
          <w:color w:val="39302A" w:themeColor="text2"/>
        </w:rPr>
        <w:t xml:space="preserve"> </w:t>
      </w:r>
      <w:r w:rsidRPr="001A5251">
        <w:t>του Ευρωπαϊκού Κοινοβουλίου και του Συμβουλίου όσον αφορά τους πάγιους όρους και τις προϋποθέσεις για τα μέσα χρηματοοικονομικής τεχνικής.</w:t>
      </w:r>
    </w:p>
    <w:p w14:paraId="2D5ED92C" w14:textId="77777777" w:rsidR="00A16A4E" w:rsidRPr="001A5251" w:rsidRDefault="00A16A4E" w:rsidP="00524440">
      <w:pPr>
        <w:spacing w:line="360" w:lineRule="auto"/>
      </w:pPr>
      <w:r w:rsidRPr="001A5251">
        <w:t>Ο κανονισμός θεσπίζει κανόνες που αφορούν τους πάγιους όρους και τις προϋποθέσεις για τα ακόλουθα μέσα χρηματοοικονομικής τεχνικής:</w:t>
      </w:r>
    </w:p>
    <w:p w14:paraId="2ABE3D76" w14:textId="77777777" w:rsidR="00A16A4E" w:rsidRPr="001A5251" w:rsidRDefault="00A16A4E" w:rsidP="00524440">
      <w:pPr>
        <w:spacing w:line="360" w:lineRule="auto"/>
        <w:ind w:left="720"/>
      </w:pPr>
      <w:r w:rsidRPr="001A5251">
        <w:t xml:space="preserve">α) δάνειο για ΜΜΕ βάσει ενός μοντέλου δανείων με επιμερισμό του κινδύνου του χαρτοφυλακίου </w:t>
      </w:r>
    </w:p>
    <w:p w14:paraId="5F488E7D" w14:textId="77777777" w:rsidR="00A16A4E" w:rsidRPr="001A5251" w:rsidRDefault="00A16A4E" w:rsidP="00524440">
      <w:pPr>
        <w:spacing w:line="360" w:lineRule="auto"/>
        <w:ind w:left="720"/>
      </w:pPr>
      <w:r w:rsidRPr="001A5251">
        <w:t>β)</w:t>
      </w:r>
      <w:r w:rsidR="00B67AE6">
        <w:t xml:space="preserve"> </w:t>
      </w:r>
      <w:r w:rsidRPr="001A5251">
        <w:t>εγγύηση χαρτοφυλακίου με ανώτατο όριο για τις ΜΜΕ (εγγύηση με ανώτατο όριο)</w:t>
      </w:r>
    </w:p>
    <w:p w14:paraId="7D8F3B35" w14:textId="77777777" w:rsidR="00A16A4E" w:rsidRDefault="00A16A4E" w:rsidP="00524440">
      <w:pPr>
        <w:spacing w:line="360" w:lineRule="auto"/>
        <w:ind w:left="720"/>
      </w:pPr>
      <w:r w:rsidRPr="001A5251">
        <w:t>γ)</w:t>
      </w:r>
      <w:r w:rsidR="00B67AE6">
        <w:t xml:space="preserve"> </w:t>
      </w:r>
      <w:r w:rsidRPr="001A5251">
        <w:t>δάνειο για την ενεργειακή απόδοση και τις ανανεώσιμες πηγές ενέργειας στον τομέα κατασκευής κατοικιών (δάνειο ανακαίνισης).</w:t>
      </w:r>
    </w:p>
    <w:p w14:paraId="7ADF4C5F" w14:textId="77777777" w:rsidR="00A16A4E" w:rsidRPr="001A5251" w:rsidRDefault="00A16A4E" w:rsidP="00524440">
      <w:pPr>
        <w:spacing w:before="240" w:line="360" w:lineRule="auto"/>
      </w:pPr>
      <w:r w:rsidRPr="00CF4C76">
        <w:rPr>
          <w:rStyle w:val="af3"/>
        </w:rPr>
        <w:t>Κανονισμός αριθ. 651/2014 της επιτροπής για την κήρυξη ορισμένων κατηγοριών ενισχύσεων ως συμβατών με την εσωτερική αγορά</w:t>
      </w:r>
      <w:r w:rsidRPr="001A5251">
        <w:t xml:space="preserve"> κατ' εφαρμογή των άρθρων 107 και 108 της Συνθήκης.</w:t>
      </w:r>
    </w:p>
    <w:p w14:paraId="6381DCE8" w14:textId="77777777" w:rsidR="00A16A4E" w:rsidRPr="001A5251" w:rsidRDefault="00A16A4E" w:rsidP="00524440">
      <w:pPr>
        <w:spacing w:line="360" w:lineRule="auto"/>
      </w:pPr>
      <w:r w:rsidRPr="001A5251">
        <w:t xml:space="preserve">Ο κανονισμός εφαρμόζεται μεταξύ άλλων κατηγοριών ενισχύσεων και σε επενδυτικές ενισχύσεις για έργα ενεργειακής απόδοσης σε κτίρια (άρθρο 39). Ειδικότερα γίνεται αναφορά στην </w:t>
      </w:r>
      <w:proofErr w:type="spellStart"/>
      <w:r w:rsidRPr="001A5251">
        <w:t>επιλεξιμότητα</w:t>
      </w:r>
      <w:proofErr w:type="spellEnd"/>
      <w:r w:rsidRPr="001A5251">
        <w:t xml:space="preserve"> των έργων και των δαπανών που εντάσσονται στο καθεστώς ενίσχυσης, ο τρόπος χορήγησης της ενίσχυσης η οποία μπορεί να χορηγηθεί είτε από ένα ταμείο ενεργειακής απόδοσης είτε από άλλον ενδιάμεσο χρηματοπιστωτικό οργανισμό και μπορεί να λάβει τη μορφή δανείων ή εγγυήσεων.</w:t>
      </w:r>
    </w:p>
    <w:p w14:paraId="0804AEFD" w14:textId="77777777" w:rsidR="00A16A4E" w:rsidRPr="001A5251" w:rsidRDefault="00A16A4E" w:rsidP="00524440">
      <w:pPr>
        <w:spacing w:line="360" w:lineRule="auto"/>
      </w:pPr>
      <w:r w:rsidRPr="001A5251">
        <w:lastRenderedPageBreak/>
        <w:t xml:space="preserve">Οι ενισχύσεις ενεργειακής απόδοσης δημιουργούν </w:t>
      </w:r>
      <w:proofErr w:type="spellStart"/>
      <w:r w:rsidRPr="001A5251">
        <w:t>μόχλευση</w:t>
      </w:r>
      <w:proofErr w:type="spellEnd"/>
      <w:r w:rsidRPr="001A5251">
        <w:t xml:space="preserve"> επιπρόσθετων επενδύσεων από ιδιώτες επενδυτές ύψους τουλάχιστον 30 % της συνολικής χρηματοδότησης που παρέχεται σε έργο ενεργειακής απόδοσης. Όταν οι ενισχύσεις παρέχονται από ταμείο ενεργειακής απόδοσης, η </w:t>
      </w:r>
      <w:proofErr w:type="spellStart"/>
      <w:r w:rsidRPr="001A5251">
        <w:t>μόχλευση</w:t>
      </w:r>
      <w:proofErr w:type="spellEnd"/>
      <w:r w:rsidRPr="001A5251">
        <w:t xml:space="preserve"> των ιδιωτικών επενδύσεων μπορεί να επιτευχθεί στο επίπεδο του ταμείου ενεργειακής απόδοσης και/ή στο επίπεδο των έργων ενεργειακής απόδοσης, ούτως ώστε να επιτευχθεί συνολικό ποσό ίσο τουλάχιστον με το 30 % της συνολικής χρηματοδότησης που παρέχεται σε ένα έργο ενεργειακής απόδοσης.</w:t>
      </w:r>
    </w:p>
    <w:p w14:paraId="36B9D94E" w14:textId="77777777" w:rsidR="00A16A4E" w:rsidRPr="001A5251" w:rsidRDefault="00A16A4E" w:rsidP="00524440">
      <w:pPr>
        <w:spacing w:line="360" w:lineRule="auto"/>
      </w:pPr>
      <w:r w:rsidRPr="001A5251">
        <w:t>Αναφέρεται στη δυνατότητα που έχουν τα κράτη μέλη να δημιουργούν ταμεία ενεργειακής απόδοσης και/ή να καταφεύγουν σε ενδιάμεσους χρηματοπιστωτικούς οργανισμούς κατά την παροχή ενισχύσεων ενεργειακής απόδοσης και προσδιορίζονται οι σχετικές προϋποθέσεις</w:t>
      </w:r>
    </w:p>
    <w:p w14:paraId="12D2646C" w14:textId="77777777" w:rsidR="00A16A4E" w:rsidRPr="001A5251" w:rsidRDefault="00A16A4E" w:rsidP="00524440">
      <w:pPr>
        <w:spacing w:line="360" w:lineRule="auto"/>
      </w:pPr>
      <w:r w:rsidRPr="001A5251">
        <w:t>Τέλος στο άρθρο 39 προσδιορίζονται οι προϋποθέσεις αναφορικά με τη διαχείριση των ενδιάμεσων χρηματοπιστωτικών οργανισμών, συμπεριλαμβανομένων των ταμείων ενεργειακής απόδοσης, η οποία ασκείται με γνώμονα την εμπορική προοπτική και σκοπό έχει τη διασφάλιση της λήψης αποφάσεων χρηματοδότησης με κίνητρο την επίτευξη του κέρδους.</w:t>
      </w:r>
    </w:p>
    <w:p w14:paraId="2C6349F8" w14:textId="77777777" w:rsidR="000215E5" w:rsidRDefault="000215E5" w:rsidP="00524440">
      <w:pPr>
        <w:spacing w:before="240" w:line="360" w:lineRule="auto"/>
      </w:pPr>
      <w:r w:rsidRPr="00CF4C76">
        <w:rPr>
          <w:rStyle w:val="af3"/>
        </w:rPr>
        <w:t>Κανονισμός 1407/2013 της Επιτροπής</w:t>
      </w:r>
      <w:r w:rsidRPr="001A5251">
        <w:rPr>
          <w:rStyle w:val="af3"/>
        </w:rPr>
        <w:t xml:space="preserve"> </w:t>
      </w:r>
      <w:r w:rsidRPr="001A5251">
        <w:rPr>
          <w:lang w:eastAsia="el-GR"/>
        </w:rPr>
        <w:t xml:space="preserve">σχετικά με την εφαρμογή των άρθρων 107 και 108 της Συνθήκης για τη λειτουργία της Ευρωπαϊκής Ένωσης στις ενισχύσεις ήσσονος σημασίας </w:t>
      </w:r>
      <w:r w:rsidRPr="001A5251">
        <w:t>Ο κανονισμός επιτρέπει υπό προϋποθέσεις την ενίσχυση επιχειρήσεων που ασκούν οικονομική δραστηριότητα.</w:t>
      </w:r>
    </w:p>
    <w:p w14:paraId="7819748D" w14:textId="77777777" w:rsidR="00404191" w:rsidRDefault="00404191" w:rsidP="00524440">
      <w:pPr>
        <w:spacing w:before="240" w:line="360" w:lineRule="auto"/>
      </w:pPr>
      <w:r w:rsidRPr="00404191">
        <w:rPr>
          <w:rStyle w:val="af4"/>
        </w:rPr>
        <w:t>Ψήφισμα του Ευρωπαϊκού Κοινοβουλίου της 18ης Μαΐου 2017</w:t>
      </w:r>
      <w:r>
        <w:t xml:space="preserve"> σχετικά με τον σωστό συνδυασμό χρηματοδότησης για τις </w:t>
      </w:r>
      <w:r w:rsidR="00E5630E">
        <w:t>Περιφέρ</w:t>
      </w:r>
      <w:r>
        <w:t xml:space="preserve">ειες της Ευρώπης: εξισορρόπηση χρηματοδοτικών μέσων και επιχορηγήσεων στην πολιτική συνοχής της </w:t>
      </w:r>
      <w:r w:rsidR="0062368F">
        <w:t>Ε.Ε.</w:t>
      </w:r>
      <w:r>
        <w:t xml:space="preserve"> (2016/2302(INI)) Όπου το Ευρωπαϊκό κοινοβούλιο </w:t>
      </w:r>
      <w:r w:rsidR="00015DD4">
        <w:t>επικροτεί και επιδοκιμάζει το</w:t>
      </w:r>
      <w:r>
        <w:t xml:space="preserve"> σωστό συνδυασμός χρηματοδότησης υπό τη μορφή επιχορηγήσεων και χρηματοδοτικών μέσων καθορίζεται από τη λογική της παρέμβασης</w:t>
      </w:r>
      <w:r w:rsidR="00015DD4">
        <w:t xml:space="preserve"> ενώ επισημαίνει ότι ο συνδυασμός επιχορηγήσεων και χρηματοδοτικών μέσων διαθέτει «ανεξερεύνητο δυναμικό».</w:t>
      </w:r>
    </w:p>
    <w:p w14:paraId="03992DAD" w14:textId="77777777" w:rsidR="00F81494" w:rsidRPr="001A5251" w:rsidRDefault="00F81494" w:rsidP="00524440">
      <w:pPr>
        <w:spacing w:before="240" w:line="360" w:lineRule="auto"/>
      </w:pPr>
      <w:r w:rsidRPr="001A5251">
        <w:rPr>
          <w:rStyle w:val="af4"/>
        </w:rPr>
        <w:t>Κοινοτική Οδηγία 2010/31/</w:t>
      </w:r>
      <w:r w:rsidR="0062368F">
        <w:rPr>
          <w:rStyle w:val="af4"/>
        </w:rPr>
        <w:t>Ε.Ε.</w:t>
      </w:r>
      <w:r w:rsidRPr="001A5251">
        <w:rPr>
          <w:rStyle w:val="af4"/>
        </w:rPr>
        <w:t xml:space="preserve"> του Ε.Κ και του Συμβουλίου για την ενεργειακή απόδοση, (αποτελεί αναδιατύπωση της Οδηγίας 2002/91/ΕΚ). </w:t>
      </w:r>
      <w:r w:rsidRPr="001A5251">
        <w:t>Η παρούσα οδηγία προωθεί τη βελτίωση της ενεργειακής απόδοσης των κτιρίων εντός της Ευρωπαϊκής Ένωσης λαμβάνοντας υπόψη τις εξωτερικές κλιματολογικές και τις τοπικές συνθήκες, καθώς και τις κλιματικές απαιτήσεις των εσωτερικών χώρων και τη σχέση κόστους/ οφέλους. Η παρούσα οδηγία θεσπίζει απαιτήσεις που αφορούν:</w:t>
      </w:r>
    </w:p>
    <w:p w14:paraId="267A016B" w14:textId="77777777" w:rsidR="00F81494" w:rsidRPr="001A5251" w:rsidRDefault="00F81494" w:rsidP="00524440">
      <w:pPr>
        <w:spacing w:line="360" w:lineRule="auto"/>
        <w:ind w:left="720"/>
      </w:pPr>
      <w:r w:rsidRPr="001A5251">
        <w:t>α) το κοινό γενικό πλαίσιο για μια μεθοδολογία υπολογισμού της συνολικής ενεργειακής απόδοσης κτιρίων και κτιριακών μονάδων·</w:t>
      </w:r>
    </w:p>
    <w:p w14:paraId="319528DC" w14:textId="77777777" w:rsidR="00F81494" w:rsidRPr="001A5251" w:rsidRDefault="00F81494" w:rsidP="00524440">
      <w:pPr>
        <w:spacing w:line="360" w:lineRule="auto"/>
        <w:ind w:left="720"/>
      </w:pPr>
      <w:r w:rsidRPr="001A5251">
        <w:lastRenderedPageBreak/>
        <w:t>β) την εφαρμογή ελάχιστων απαιτήσεων για την ενεργειακή απόδοση των νέων κτιρίων και νέων κτιριακών μονάδων·</w:t>
      </w:r>
    </w:p>
    <w:p w14:paraId="424D423C" w14:textId="77777777" w:rsidR="00F81494" w:rsidRPr="001A5251" w:rsidRDefault="00F81494" w:rsidP="00524440">
      <w:pPr>
        <w:spacing w:line="360" w:lineRule="auto"/>
        <w:ind w:left="720"/>
      </w:pPr>
      <w:r w:rsidRPr="001A5251">
        <w:t>γ) την εφαρμογή ελάχιστων απαιτήσεων για την ενεργειακή απόδοση:</w:t>
      </w:r>
    </w:p>
    <w:p w14:paraId="28F2C81F" w14:textId="77777777" w:rsidR="00F81494" w:rsidRPr="001A5251" w:rsidRDefault="00F81494" w:rsidP="00524440">
      <w:pPr>
        <w:tabs>
          <w:tab w:val="left" w:pos="1701"/>
        </w:tabs>
        <w:spacing w:line="360" w:lineRule="auto"/>
        <w:ind w:left="1440"/>
      </w:pPr>
      <w:r w:rsidRPr="001A5251">
        <w:t>i.</w:t>
      </w:r>
      <w:r w:rsidRPr="001A5251">
        <w:tab/>
        <w:t>υφισταμένων κτιρίων, κτιριακών μονάδων και κτιριακών στοιχείων τα οποία υποβάλλονται σε μεγάλης κλίμακας ανακαίνιση,</w:t>
      </w:r>
    </w:p>
    <w:p w14:paraId="04F41C51" w14:textId="77777777" w:rsidR="00F81494" w:rsidRPr="001A5251" w:rsidRDefault="00F81494" w:rsidP="00524440">
      <w:pPr>
        <w:tabs>
          <w:tab w:val="left" w:pos="1701"/>
        </w:tabs>
        <w:spacing w:line="360" w:lineRule="auto"/>
        <w:ind w:left="1440"/>
      </w:pPr>
      <w:proofErr w:type="spellStart"/>
      <w:r w:rsidRPr="001A5251">
        <w:t>ii</w:t>
      </w:r>
      <w:proofErr w:type="spellEnd"/>
      <w:r w:rsidRPr="001A5251">
        <w:t>.</w:t>
      </w:r>
      <w:r w:rsidRPr="001A5251">
        <w:tab/>
        <w:t>δομικών στοιχείων που αποτελούν τμήμα του κελύφους του κτιρίου και έχουν σημαντικό αντίκτυπο στην ενεργειακή απόδοση του κελύφους, όταν τοποθετούνται εκ των υστέρων ή αντικαθίστανται, και</w:t>
      </w:r>
    </w:p>
    <w:p w14:paraId="23EEF4BE" w14:textId="77777777" w:rsidR="00F81494" w:rsidRPr="001A5251" w:rsidRDefault="00F81494" w:rsidP="00524440">
      <w:pPr>
        <w:tabs>
          <w:tab w:val="left" w:pos="1701"/>
        </w:tabs>
        <w:spacing w:line="360" w:lineRule="auto"/>
        <w:ind w:left="1440"/>
      </w:pPr>
      <w:proofErr w:type="spellStart"/>
      <w:r w:rsidRPr="001A5251">
        <w:t>iii</w:t>
      </w:r>
      <w:proofErr w:type="spellEnd"/>
      <w:r w:rsidRPr="001A5251">
        <w:t>.</w:t>
      </w:r>
      <w:r w:rsidRPr="001A5251">
        <w:tab/>
        <w:t>τεχνικών συστημάτων κτιρίων, σε περίπτωση εγκατάστασης νέου, αντικατάστασης ή αναβάθμισης·</w:t>
      </w:r>
    </w:p>
    <w:p w14:paraId="212FE209" w14:textId="77777777" w:rsidR="00F81494" w:rsidRPr="001A5251" w:rsidRDefault="00F81494" w:rsidP="00524440">
      <w:pPr>
        <w:spacing w:line="360" w:lineRule="auto"/>
        <w:ind w:left="720"/>
      </w:pPr>
      <w:r w:rsidRPr="001A5251">
        <w:t>δ) τα εθνικά σχέδια αύξησης του αριθμού των κτιρίων με σχεδόν μηδενική κατανάλωση ενέργειας</w:t>
      </w:r>
      <w:r w:rsidR="00603CA1">
        <w:t xml:space="preserve"> «ΚΣΜΚΕ»</w:t>
      </w:r>
      <w:r w:rsidRPr="001A5251">
        <w:t>·</w:t>
      </w:r>
    </w:p>
    <w:p w14:paraId="44FF31E9" w14:textId="77777777" w:rsidR="00F81494" w:rsidRPr="001A5251" w:rsidRDefault="00F81494" w:rsidP="00524440">
      <w:pPr>
        <w:spacing w:line="360" w:lineRule="auto"/>
        <w:ind w:left="720"/>
      </w:pPr>
      <w:r w:rsidRPr="001A5251">
        <w:t>ε) την ενεργειακή πιστοποίηση κτιρίων ή κτιριακών μονάδων·</w:t>
      </w:r>
    </w:p>
    <w:p w14:paraId="0D2A8BCB" w14:textId="77777777" w:rsidR="00F81494" w:rsidRPr="001A5251" w:rsidRDefault="00F81494" w:rsidP="00524440">
      <w:pPr>
        <w:spacing w:line="360" w:lineRule="auto"/>
        <w:ind w:left="720"/>
      </w:pPr>
      <w:proofErr w:type="spellStart"/>
      <w:r w:rsidRPr="001A5251">
        <w:t>στ</w:t>
      </w:r>
      <w:proofErr w:type="spellEnd"/>
      <w:r w:rsidRPr="001A5251">
        <w:t>) την τακτική επιθεώρηση των συστημάτων θέρμανσης και κλιματισμού κτιρίων, και</w:t>
      </w:r>
    </w:p>
    <w:p w14:paraId="34419D8C" w14:textId="77777777" w:rsidR="00F81494" w:rsidRPr="001A5251" w:rsidRDefault="00F81494" w:rsidP="00524440">
      <w:pPr>
        <w:spacing w:line="360" w:lineRule="auto"/>
        <w:ind w:left="720"/>
      </w:pPr>
      <w:r w:rsidRPr="001A5251">
        <w:t>ζ) τα ανεξάρτητα συστήματα ελέγχου για τα πιστοποιητικά ενεργειακών επιδόσεων και τις εκθέσεις επιθεώρησης.</w:t>
      </w:r>
    </w:p>
    <w:p w14:paraId="5445E38B" w14:textId="77777777" w:rsidR="00596D19" w:rsidRPr="00C11A76" w:rsidRDefault="00596D19" w:rsidP="00596D19">
      <w:pPr>
        <w:spacing w:line="360" w:lineRule="auto"/>
        <w:rPr>
          <w:rFonts w:cs="Calibri"/>
          <w:b/>
          <w:bCs/>
          <w:i/>
          <w:iCs/>
          <w:color w:val="39302A" w:themeColor="text2"/>
        </w:rPr>
      </w:pPr>
      <w:r w:rsidRPr="00C11A76">
        <w:rPr>
          <w:rFonts w:cs="Calibri"/>
          <w:b/>
          <w:bCs/>
          <w:i/>
          <w:iCs/>
          <w:color w:val="39302A" w:themeColor="text2"/>
        </w:rPr>
        <w:t>Οδηγία 2012/27/</w:t>
      </w:r>
      <w:r w:rsidR="0062368F">
        <w:rPr>
          <w:rFonts w:cs="Calibri"/>
          <w:b/>
          <w:bCs/>
          <w:i/>
          <w:iCs/>
          <w:color w:val="39302A" w:themeColor="text2"/>
        </w:rPr>
        <w:t>Ε.Ε.</w:t>
      </w:r>
      <w:r w:rsidRPr="00C11A76">
        <w:rPr>
          <w:rFonts w:cs="Calibri"/>
          <w:b/>
          <w:bCs/>
          <w:i/>
          <w:iCs/>
          <w:color w:val="39302A" w:themeColor="text2"/>
        </w:rPr>
        <w:t xml:space="preserve"> του Ευρωπαϊκού Κοινοβουλίου και του Συμβουλίου, της 25ης Οκτωβρίου 2012, για την ενεργειακή απόδοση, την τροποποίηση των Οδηγιών 2009/125/ΕΚ και 2010/30/</w:t>
      </w:r>
      <w:r w:rsidR="0062368F">
        <w:rPr>
          <w:rFonts w:cs="Calibri"/>
          <w:b/>
          <w:bCs/>
          <w:i/>
          <w:iCs/>
          <w:color w:val="39302A" w:themeColor="text2"/>
        </w:rPr>
        <w:t>Ε.Ε.</w:t>
      </w:r>
      <w:r w:rsidRPr="00C11A76">
        <w:rPr>
          <w:rFonts w:cs="Calibri"/>
          <w:b/>
          <w:bCs/>
          <w:i/>
          <w:iCs/>
          <w:color w:val="39302A" w:themeColor="text2"/>
        </w:rPr>
        <w:t xml:space="preserve"> και την κατάργηση των Οδηγιών 2004/8/ΕΚ και 2006/32/ΕΚ» </w:t>
      </w:r>
    </w:p>
    <w:p w14:paraId="1837239D" w14:textId="77777777" w:rsidR="004C58DB" w:rsidRDefault="004C58DB" w:rsidP="004C58DB">
      <w:pPr>
        <w:spacing w:line="360" w:lineRule="auto"/>
      </w:pPr>
      <w:r>
        <w:t xml:space="preserve">Η </w:t>
      </w:r>
      <w:r w:rsidRPr="001A5251">
        <w:t xml:space="preserve">Οδηγία θέτει ένα κοινό πλαίσιο μέτρων για την προώθηση της ενεργειακής απόδοσης εντός της Ένωσης, </w:t>
      </w:r>
      <w:r w:rsidR="00F036DC">
        <w:t xml:space="preserve">με τη θέσπιση ενός κοινού πλαισίου βελτίωσης της ενεργειακής αποδοτικότητας στα κράτη – μέλη της </w:t>
      </w:r>
      <w:r w:rsidR="0062368F">
        <w:t>Ε.Ε.</w:t>
      </w:r>
      <w:r w:rsidR="00F036DC" w:rsidRPr="001A5251">
        <w:t xml:space="preserve"> </w:t>
      </w:r>
      <w:r w:rsidRPr="001A5251">
        <w:t xml:space="preserve">ώστε να επιτευχθεί </w:t>
      </w:r>
      <w:r w:rsidRPr="001A5251">
        <w:rPr>
          <w:b/>
        </w:rPr>
        <w:t>ο στόχος της εξοικονόμησης κατά 20% μέχρι το 2020.</w:t>
      </w:r>
      <w:r w:rsidRPr="001A5251">
        <w:t xml:space="preserve"> Σε εθνικό επίπεδο, έχει τεθεί στόχος εξοικονόμησης ενέργειας, ο οποίος περιγράφεται στην ετήσια έκθεση του έτους 2013 (άρθρο 3 της Οδηγίας), καθώς επίσης και στο 3</w:t>
      </w:r>
      <w:r w:rsidRPr="000806A5">
        <w:rPr>
          <w:vertAlign w:val="superscript"/>
        </w:rPr>
        <w:t>ο</w:t>
      </w:r>
      <w:r w:rsidRPr="001A5251">
        <w:t xml:space="preserve"> Εθνικό Σχέδιο Δράσης για την Ενεργειακή Αποδοτικότητα.</w:t>
      </w:r>
    </w:p>
    <w:p w14:paraId="165E08E4" w14:textId="77777777" w:rsidR="00F036DC" w:rsidRDefault="004C58DB" w:rsidP="00F036DC">
      <w:pPr>
        <w:spacing w:line="360" w:lineRule="auto"/>
      </w:pPr>
      <w:r>
        <w:t xml:space="preserve">Στο πλαίσιο της οδηγίας, καθορίζονται στόχοι, κανόνες, μέτρα και ειδικές δράσεις για τη βελτίωση της ενεργειακής απόδοσης σε όλους τους τομείς οικονομικής δραστηριότητας, ώστε να αξιοποιηθεί το ανεκμετάλλευτο δυναμικό εξοικονόμησης ενέργειας. </w:t>
      </w:r>
    </w:p>
    <w:p w14:paraId="3087D7EA" w14:textId="77777777" w:rsidR="004C58DB" w:rsidRDefault="00F036DC" w:rsidP="00F036DC">
      <w:pPr>
        <w:spacing w:line="360" w:lineRule="auto"/>
      </w:pPr>
      <w:r>
        <w:t>Κατά την οδηγία, η</w:t>
      </w:r>
      <w:r w:rsidRPr="001A5251">
        <w:t xml:space="preserve"> έννοια της εξοικονόμησης της ενέργειας ταυτίζεται με αυτή της ορθολογικής και αποδοτικής της χρήσης. Απώτερο στόχο αποτελεί η βελτιστοποίηση του επιπέδου διαβίωσης και μπορεί να επιτευχθεί μέσω της αύξησης της ενεργειακής απόδοσης, ώστε να κινηθούμε</w:t>
      </w:r>
      <w:r w:rsidRPr="00596D19">
        <w:t xml:space="preserve"> </w:t>
      </w:r>
      <w:r>
        <w:t xml:space="preserve">μεταξύ </w:t>
      </w:r>
      <w:r>
        <w:lastRenderedPageBreak/>
        <w:t>άλλων,</w:t>
      </w:r>
      <w:r w:rsidRPr="001A5251">
        <w:t xml:space="preserve"> προς την κατεύθυνση της καταπολέμησης της κατασπατάλησης της ενέργειας, της εξοικονόμησης ενεργειακών και οικονομικών πόρων, της προστασίας του περιβάλλοντος και της ανάσχεσης των φαινομένων και των επιπτώσεων της κλιματικής αλλαγής.</w:t>
      </w:r>
    </w:p>
    <w:p w14:paraId="6672F19D" w14:textId="77777777" w:rsidR="004C58DB" w:rsidRDefault="004C58DB" w:rsidP="004C58DB">
      <w:pPr>
        <w:spacing w:line="360" w:lineRule="auto"/>
      </w:pPr>
      <w:r>
        <w:t xml:space="preserve">Συγκεκριμένα, μέσω της οδηγίας θεσπίζεται εθνικός ενδεικτικός στόχος ενεργειακής απόδοσης, καθορίζονται μέτρα για την επίτευξη του στόχου, τα οποία συγκροτούν το Εθνικό Σχέδιο Δράσης Ενεργειακής Απόδοσης (ΕΣΔΕΑ). </w:t>
      </w:r>
    </w:p>
    <w:p w14:paraId="62AC0A6C" w14:textId="77777777" w:rsidR="004C58DB" w:rsidRDefault="00F036DC" w:rsidP="004C58DB">
      <w:pPr>
        <w:spacing w:line="360" w:lineRule="auto"/>
      </w:pPr>
      <w:r w:rsidRPr="001A5251">
        <w:t xml:space="preserve">Παράλληλα, στο πλαίσιο </w:t>
      </w:r>
      <w:r w:rsidR="004F576E">
        <w:t>Εφαρμογής</w:t>
      </w:r>
      <w:r w:rsidRPr="001A5251">
        <w:t xml:space="preserve"> της Οδηγίας, έχει εκπονηθεί έκθεση συγκεκριμένων μέτρων πολιτικής με στόχο τη βελτίωση της ενεργειακής απόδοσης (άρθρο 7 της Οδηγίας), στα οποία περιλαμβάνονται και μέτρα ενεργειακής αναβάθμισης του οικιακού κτιριακού αποθέματος</w:t>
      </w:r>
      <w:r>
        <w:t xml:space="preserve"> </w:t>
      </w:r>
      <w:r w:rsidR="004C58DB">
        <w:t>Σύμφωνα με το άρθρο 4 της οδηγίας διαμορφώνονται οι προϋποθέσεις για τη θέσπιση μακροπρόθεσμης στρατηγικής για την κινητοποίηση επενδύσεων για την ενεργειακή αναβάθμιση του κτιριακού αποθέματος της χώρας, και υποχρεώνει τα κράτη μέλη στη σύνταξ</w:t>
      </w:r>
      <w:r w:rsidR="00596D19">
        <w:t xml:space="preserve">ή της </w:t>
      </w:r>
      <w:r w:rsidR="004C58DB">
        <w:t xml:space="preserve">που περιλαμβάνει: </w:t>
      </w:r>
    </w:p>
    <w:p w14:paraId="7D18AAC5" w14:textId="77777777" w:rsidR="004C58DB" w:rsidRDefault="004C58DB" w:rsidP="00596D19">
      <w:pPr>
        <w:pStyle w:val="a3"/>
        <w:numPr>
          <w:ilvl w:val="0"/>
          <w:numId w:val="6"/>
        </w:numPr>
        <w:spacing w:line="360" w:lineRule="auto"/>
      </w:pPr>
      <w:r>
        <w:t xml:space="preserve">Την ανασκόπηση του εθνικού κτιριακού αποθέματος που βασίζεται, ανάλογα με την περίπτωση, σε στατιστική δειγματοληψία, </w:t>
      </w:r>
    </w:p>
    <w:p w14:paraId="365C4A18" w14:textId="77777777" w:rsidR="004C58DB" w:rsidRDefault="004C58DB" w:rsidP="00596D19">
      <w:pPr>
        <w:pStyle w:val="a3"/>
        <w:numPr>
          <w:ilvl w:val="0"/>
          <w:numId w:val="6"/>
        </w:numPr>
        <w:spacing w:line="360" w:lineRule="auto"/>
      </w:pPr>
      <w:r>
        <w:t xml:space="preserve">Την εξεύρεση οικονομικώς αποδοτικών προσεγγίσεων για τις ανακαινίσεις ανάλογα με το είδος του κτιρίου και την κλιματική ζώνη, </w:t>
      </w:r>
    </w:p>
    <w:p w14:paraId="0D933E62" w14:textId="77777777" w:rsidR="004C58DB" w:rsidRDefault="004C58DB" w:rsidP="00596D19">
      <w:pPr>
        <w:pStyle w:val="a3"/>
        <w:numPr>
          <w:ilvl w:val="0"/>
          <w:numId w:val="6"/>
        </w:numPr>
        <w:spacing w:line="360" w:lineRule="auto"/>
      </w:pPr>
      <w:r>
        <w:t xml:space="preserve">Τις πολιτικές και μέτρα για την τόνωση οικονομικώς αποδοτικών ριζικών ανακαινίσεων κτιρίων, περιλαμβανομένων των σταδιακών ριζικών ανακαινίσεων, </w:t>
      </w:r>
    </w:p>
    <w:p w14:paraId="64CCE9E6" w14:textId="77777777" w:rsidR="004C58DB" w:rsidRDefault="004C58DB" w:rsidP="00596D19">
      <w:pPr>
        <w:pStyle w:val="a3"/>
        <w:numPr>
          <w:ilvl w:val="0"/>
          <w:numId w:val="6"/>
        </w:numPr>
        <w:spacing w:line="360" w:lineRule="auto"/>
      </w:pPr>
      <w:r>
        <w:t xml:space="preserve">Μια προοπτική για τον προσανατολισμό μελλοντικών επενδυτικών αποφάσεων των ιδιωτών, του κατασκευαστικού τομέα και των χρηματοπιστωτικών ιδρυμάτων, </w:t>
      </w:r>
    </w:p>
    <w:p w14:paraId="24361484" w14:textId="77777777" w:rsidR="004C58DB" w:rsidRDefault="004C58DB" w:rsidP="00596D19">
      <w:pPr>
        <w:pStyle w:val="a3"/>
        <w:numPr>
          <w:ilvl w:val="0"/>
          <w:numId w:val="6"/>
        </w:numPr>
        <w:spacing w:line="360" w:lineRule="auto"/>
      </w:pPr>
      <w:r>
        <w:t xml:space="preserve">Την εκτίμηση της αναμενόμενης εξοικονόμησης ενέργειας και των γενικότερων ωφελειών με βάση συγκεκριμένα στοιχεία και μεθοδολογία. </w:t>
      </w:r>
    </w:p>
    <w:p w14:paraId="49BDDE60" w14:textId="77777777" w:rsidR="004C58DB" w:rsidRPr="001A5251" w:rsidRDefault="00596D19" w:rsidP="004C58DB">
      <w:pPr>
        <w:spacing w:line="360" w:lineRule="auto"/>
      </w:pPr>
      <w:r>
        <w:t>Από τα αποτελέσματα της ως άνω στρατηγικής μελέτης για τη χώρα μας, ε</w:t>
      </w:r>
      <w:r w:rsidR="004C58DB">
        <w:t xml:space="preserve">νδιαφέρον παρουσιάζει ο δείκτης που αποτυπώνει το προβλεπόμενο μέγεθος δαπάνης ανά εξοικονομούμενη ενέργεια (εκατ. ευρώ / </w:t>
      </w:r>
      <w:proofErr w:type="spellStart"/>
      <w:r w:rsidR="004C58DB">
        <w:t>ktoe</w:t>
      </w:r>
      <w:proofErr w:type="spellEnd"/>
      <w:r w:rsidR="004C58DB">
        <w:t xml:space="preserve">). Για το σύνολο του κτιριακού αποθέματος και για όλα τα αναλυθέντα σενάρια ο δείκτης κυμαίνεται από 8,9 μέχρι 11,3 εκατ. ευρώ / </w:t>
      </w:r>
      <w:proofErr w:type="spellStart"/>
      <w:r w:rsidR="004C58DB">
        <w:t>ktoe</w:t>
      </w:r>
      <w:proofErr w:type="spellEnd"/>
      <w:r w:rsidR="004C58DB">
        <w:t>. Η ισχυρή μείωση του κόστους των μέτρων εξοικονόμησης ώστε ο δείκτης δαπάνης ανά εξοικονομούμενη ενέργεια να οδηγηθεί σε μικρότερες τιμές, αναδεικνύει την ανάγκη των μέτρων ενίσχυσης της εφαρμοσμένης έρευνας στον τομέα των νέων και καλύτερων τεχνικών και τεχνολογιών ανακαίνισης με καινοτομίες για τη βελτίωση της ενεργειακής συμπεριφοράς των κτιρίων και των χρηστών τους που θα υιοθετηθούν άμεσα και θα ενισχύσουν την αγορά των ενεργειακών ανακαινίσεων.</w:t>
      </w:r>
    </w:p>
    <w:p w14:paraId="1408DB39" w14:textId="77777777" w:rsidR="00F81494" w:rsidRDefault="00603CA1" w:rsidP="00524440">
      <w:pPr>
        <w:spacing w:before="240" w:line="360" w:lineRule="auto"/>
      </w:pPr>
      <w:r w:rsidRPr="00603CA1">
        <w:rPr>
          <w:rStyle w:val="af4"/>
        </w:rPr>
        <w:lastRenderedPageBreak/>
        <w:t>Η Οδηγία του Ευρωπαϊκού Κοινοβουλίου και του Συμβουλίου σχετικά με την τροποποίηση της οδηγίας 2012/27/</w:t>
      </w:r>
      <w:r w:rsidR="0062368F">
        <w:rPr>
          <w:rStyle w:val="af4"/>
        </w:rPr>
        <w:t>Ε.Ε.</w:t>
      </w:r>
      <w:r>
        <w:t xml:space="preserve"> για την ενεργειακή απόδοση, η οποία δημοσιεύτηκε την </w:t>
      </w:r>
      <w:r w:rsidRPr="00603CA1">
        <w:t>11η Δεκεμβρίου 2018</w:t>
      </w:r>
      <w:r>
        <w:t xml:space="preserve">, όπου τονίζεται πως η ενεργειακή απόδοση είναι ανάγκη να εξετάζεται όποτε λαμβάνονται αποφάσεις σχετικές με τον </w:t>
      </w:r>
      <w:r w:rsidR="00E5630E">
        <w:t>Προγραμματ</w:t>
      </w:r>
      <w:r>
        <w:t>ισμό του ενεργειακού συστήματος και να πραγματοποιούνται βελτιώσεις της ενεργειακής απόδοσης όποτε είναι οικονομικά αποδοτικότερες από ισοδύναμες λύσεις στο σκέλος της προσφοράς. Κρίνεται αναγκαίο να τροποποιηθεί η οδηγία 2012/27/</w:t>
      </w:r>
      <w:r w:rsidR="0062368F">
        <w:t>Ε.Ε.</w:t>
      </w:r>
      <w:r>
        <w:t xml:space="preserve">, ώστε να προσαρμοσθεί στην προοπτική του 2030 με γνώμονα στόχο 30 % ενεργειακής απόδοσης σε </w:t>
      </w:r>
      <w:proofErr w:type="spellStart"/>
      <w:r>
        <w:t>Ενωσιακό</w:t>
      </w:r>
      <w:proofErr w:type="spellEnd"/>
      <w:r>
        <w:t xml:space="preserve"> επίπεδο.</w:t>
      </w:r>
      <w:r w:rsidR="00E84DF9">
        <w:t xml:space="preserve"> Καθώς περίπου 50 εκατομμύρια νοικοκυριά στην Ένωση πλήττονται από ενεργειακή ένδεια. Ως εκ τούτου, τα μέτρα ενεργειακής απόδοσης πρέπει να κατέχουν κεντρική θέση σε κάθε οικονομικά αποδοτική στρατηγική για την αντιμετώπιση της ενεργειακής ένδειας και της ευάλωτης θέσης των καταναλωτών και να είναι συμπληρωματικά στις πολιτικές κοινωνικής ασφάλειας σε επίπεδο κρατών μελών</w:t>
      </w:r>
    </w:p>
    <w:p w14:paraId="32CEE516" w14:textId="77777777" w:rsidR="00E84DF9" w:rsidRDefault="00E84DF9" w:rsidP="00524440">
      <w:pPr>
        <w:spacing w:before="240" w:line="360" w:lineRule="auto"/>
      </w:pPr>
      <w:r w:rsidRPr="00E84DF9">
        <w:rPr>
          <w:rStyle w:val="af4"/>
        </w:rPr>
        <w:t>Οδηγία (</w:t>
      </w:r>
      <w:r w:rsidR="0062368F">
        <w:rPr>
          <w:rStyle w:val="af4"/>
        </w:rPr>
        <w:t>Ε.Ε.</w:t>
      </w:r>
      <w:r w:rsidRPr="00E84DF9">
        <w:rPr>
          <w:rStyle w:val="af4"/>
        </w:rPr>
        <w:t>) 2016/2284 του Ευρωπαϊκού Κοινοβουλίου και του Συμβουλίου, της 14ης Δεκεμβρίου 2016</w:t>
      </w:r>
      <w:r>
        <w:t>, σχετικά με τη μείωση των εθνικών εκπομπών ορισμένων ατμοσφαιρικών ρύπων, την τροποποίηση της οδηγίας 2003/35/ΕΚ και την κατάργηση της οδηγίας 2001/81/ΕΚ (</w:t>
      </w:r>
      <w:r w:rsidR="0062368F">
        <w:t>Ε.Ε.</w:t>
      </w:r>
      <w:r>
        <w:t xml:space="preserve"> L 344 της 17.12.2016, σ. 1).</w:t>
      </w:r>
    </w:p>
    <w:p w14:paraId="46374C7E" w14:textId="77777777" w:rsidR="00181957" w:rsidRPr="005E65CC" w:rsidRDefault="00181957" w:rsidP="00FA5CD9">
      <w:pPr>
        <w:pStyle w:val="3"/>
      </w:pPr>
      <w:bookmarkStart w:id="9" w:name="_Toc36639188"/>
      <w:r w:rsidRPr="00181957">
        <w:t xml:space="preserve">Έγγραφα καθοδήγησης </w:t>
      </w:r>
      <w:r>
        <w:rPr>
          <w:rStyle w:val="ac"/>
        </w:rPr>
        <w:footnoteReference w:id="3"/>
      </w:r>
      <w:r w:rsidRPr="00181957">
        <w:t xml:space="preserve">της Ε. Επιτροπής που αφορούν στα </w:t>
      </w:r>
      <w:r w:rsidR="005E65CC">
        <w:t>Χρηματοοικονομικά Εργαλεία (</w:t>
      </w:r>
      <w:r w:rsidR="005E65CC">
        <w:rPr>
          <w:lang w:val="en-US"/>
        </w:rPr>
        <w:t>FI</w:t>
      </w:r>
      <w:r w:rsidR="005E65CC" w:rsidRPr="005E65CC">
        <w:t>)</w:t>
      </w:r>
      <w:bookmarkEnd w:id="9"/>
    </w:p>
    <w:p w14:paraId="527E4CE6" w14:textId="77777777" w:rsidR="00181957" w:rsidRDefault="00181957" w:rsidP="00181957">
      <w:r>
        <w:t xml:space="preserve">1.    Έγγραφο καθοδήγησης «Χρηματοδοτικά Μέσα στα </w:t>
      </w:r>
      <w:r w:rsidR="00E5630E">
        <w:t>Προγράμματ</w:t>
      </w:r>
      <w:r>
        <w:t xml:space="preserve">α 2014-2020 των ΕΔΕΤ - Σύντομος </w:t>
      </w:r>
      <w:r w:rsidR="00B925F9">
        <w:t>Οδηγός</w:t>
      </w:r>
      <w:r>
        <w:t xml:space="preserve"> αναφοράς για τις διαχειριστικές αρχές»,  </w:t>
      </w:r>
      <w:proofErr w:type="spellStart"/>
      <w:r>
        <w:t>Ref</w:t>
      </w:r>
      <w:proofErr w:type="spellEnd"/>
      <w:r>
        <w:t xml:space="preserve">. </w:t>
      </w:r>
      <w:proofErr w:type="spellStart"/>
      <w:r>
        <w:t>Ares</w:t>
      </w:r>
      <w:proofErr w:type="spellEnd"/>
      <w:r>
        <w:t>(2014)4149039 - 10/12/2014</w:t>
      </w:r>
    </w:p>
    <w:p w14:paraId="5258E633" w14:textId="77777777" w:rsidR="00181957" w:rsidRDefault="00181957" w:rsidP="00181957">
      <w:r>
        <w:t>2.    Έγγραφο καθοδήγησης για τα κράτη μέλη σχετικά με τα χρηματοδοτικά μέσα – Ειδικό λεξιλόγιο,EGESIF_14_0040-1, 11/02/2015</w:t>
      </w:r>
    </w:p>
    <w:p w14:paraId="378419C8" w14:textId="77777777" w:rsidR="00181957" w:rsidRDefault="00181957" w:rsidP="00181957">
      <w:r>
        <w:t xml:space="preserve">3.    Έγγραφο καθοδήγησης για τα κράτη μέλη για το Άρθρο 37 παρ. 2 του ΚΚΔ – Εκ των προτέρων </w:t>
      </w:r>
    </w:p>
    <w:p w14:paraId="61DDCCAB" w14:textId="77777777" w:rsidR="00181957" w:rsidRDefault="00181957" w:rsidP="00181957">
      <w:r>
        <w:t>αξιολόγηση, EGESIF_14_0039-1, 11/02/2015</w:t>
      </w:r>
    </w:p>
    <w:p w14:paraId="1501B31C" w14:textId="77777777" w:rsidR="00181957" w:rsidRDefault="00181957" w:rsidP="00181957">
      <w:r>
        <w:t>4.    Έγγραφο καθοδήγησης για τα κράτη μέλη για το Άρθρο 37 παρ. 4 του ΚΚΔ– Στήριξη επιχειρήσεων /κεφάλαιο κίνησης, EGESIF_14_0041-1, 11/02/2015</w:t>
      </w:r>
    </w:p>
    <w:p w14:paraId="7D40FDBA" w14:textId="77777777" w:rsidR="00181957" w:rsidRDefault="00181957" w:rsidP="00181957">
      <w:r>
        <w:t>5.    Έγγραφο καθοδήγησης για τα κράτη μέλη για το Άρθρο 41 του ΚΚΔ – Αιτήσεις πληρωμών,</w:t>
      </w:r>
    </w:p>
    <w:p w14:paraId="4152D07E" w14:textId="77777777" w:rsidR="00181957" w:rsidRDefault="00181957" w:rsidP="00181957">
      <w:r>
        <w:t>EGESIF_15-0006-01, 08/06/2015</w:t>
      </w:r>
    </w:p>
    <w:p w14:paraId="2115386F" w14:textId="77777777" w:rsidR="00181957" w:rsidRDefault="00181957" w:rsidP="00181957">
      <w:r>
        <w:t xml:space="preserve">6.    Έγγραφο καθοδήγησης για τα κράτη μέλη για το Άρθρο 37 παρ. 7, 8, 9 του ΚΚΔ – Συνδυασμός </w:t>
      </w:r>
    </w:p>
    <w:p w14:paraId="4622B8D0" w14:textId="77777777" w:rsidR="00181957" w:rsidRDefault="00181957" w:rsidP="00181957">
      <w:r>
        <w:t xml:space="preserve">στήριξης από </w:t>
      </w:r>
      <w:r w:rsidR="005E65CC" w:rsidRPr="005E65CC">
        <w:t>Χρηματοοικονομικό Εργαλείο (FI)</w:t>
      </w:r>
      <w:r>
        <w:t xml:space="preserve"> με άλλη μορφή στήριξης, EGESIF_15_0012-02, 10/08/2015</w:t>
      </w:r>
    </w:p>
    <w:p w14:paraId="3D18F022" w14:textId="77777777" w:rsidR="00181957" w:rsidRDefault="00181957" w:rsidP="00181957">
      <w:r>
        <w:lastRenderedPageBreak/>
        <w:t>7.    Έγγραφο καθοδήγησης για τα κράτη μέλη σχετικά με τις διαχειριστικές επαληθεύσεις, EGESIF_14- 0012_02_final, 17/9/2015</w:t>
      </w:r>
    </w:p>
    <w:p w14:paraId="00C129C3" w14:textId="77777777" w:rsidR="00181957" w:rsidRDefault="00181957" w:rsidP="00181957">
      <w:r>
        <w:t>8.    Έγγραφο καθοδήγησης για τα κράτη μέλη για το Άρθρο 42 παρ. 1 σημείο δ) του ΚΚΔ – Επιλέξιμες δαπάνες και αμοιβές διαχείρισης, EGESIF_15-0021-01, 26/11/2015</w:t>
      </w:r>
    </w:p>
    <w:p w14:paraId="0D6BD66A" w14:textId="77777777" w:rsidR="00181957" w:rsidRDefault="00181957" w:rsidP="00181957">
      <w:r>
        <w:t xml:space="preserve">9.    Έγγραφο καθοδήγησης για τα κράτη μέλη σχετικά με Τόκους και Άλλα Έσοδα που δημιουργούνται από την υποστήριξη που παρέχουν τα ΕΔΕΤ σε </w:t>
      </w:r>
      <w:r w:rsidR="005E65CC" w:rsidRPr="005E65CC">
        <w:t>Χρηματοοικονομικ</w:t>
      </w:r>
      <w:r w:rsidR="005E65CC">
        <w:t>ά</w:t>
      </w:r>
      <w:r w:rsidR="005E65CC" w:rsidRPr="005E65CC">
        <w:t xml:space="preserve"> Εργαλεί</w:t>
      </w:r>
      <w:r w:rsidR="005E65CC">
        <w:t>α</w:t>
      </w:r>
      <w:r w:rsidR="005E65CC" w:rsidRPr="005E65CC">
        <w:t xml:space="preserve"> (FI)</w:t>
      </w:r>
      <w:r>
        <w:t xml:space="preserve"> (Άρθρο 43 του ΚΚΔ), EGESIF_15-0031-01 </w:t>
      </w:r>
      <w:proofErr w:type="spellStart"/>
      <w:r>
        <w:t>Final</w:t>
      </w:r>
      <w:proofErr w:type="spellEnd"/>
      <w:r>
        <w:t>, 17/02/2016</w:t>
      </w:r>
    </w:p>
    <w:p w14:paraId="7D0D594D" w14:textId="77777777" w:rsidR="00181957" w:rsidRDefault="00181957" w:rsidP="00181957">
      <w:r>
        <w:t>10.  ΑΝΑΚΟΙΝΩΣΗ ΤΗΣ ΕΠΙΤΡΟΠΗΣ - Κατευθυντήριες γραμμές σχετικά με τις κρατικές ενισχύσεις για την προώθηση των επενδύσεων χρηματοδότησης επιχειρηματικού κινδύνου (2014/C 19/04)</w:t>
      </w:r>
    </w:p>
    <w:p w14:paraId="0427DE8B" w14:textId="77777777" w:rsidR="00181957" w:rsidRDefault="00181957" w:rsidP="00181957">
      <w:r>
        <w:t xml:space="preserve">11.  Έγγραφο καθοδήγησης για τα κράτη μέλη σχετικά με τη Βιώσιμη Αστική Ανάπτυξη (Άρθρο 7 του Καν. ΕΤΠΑ), EGESIF_15-0010-02, 20/04/2016 [σελ.10 – προσθήκη 3 σημείων για ειδικές ρυθμίσεις που απαιτούνται όταν η υλοποίηση περιλαμβάνει </w:t>
      </w:r>
      <w:r w:rsidR="004C42EA" w:rsidRPr="004C42EA">
        <w:t>Χρηματοοικονομικό Εργαλείο (FI)</w:t>
      </w:r>
      <w:r>
        <w:t xml:space="preserve"> / διαγραφή της απαίτησης των αστικών αρχών να αποτελούν μέρος των οργάνων διακυβέρνησης των </w:t>
      </w:r>
      <w:r w:rsidR="004C42EA" w:rsidRPr="004C42EA">
        <w:t>Χρηματοοικονομικό Εργαλείο (FI)</w:t>
      </w:r>
      <w:r>
        <w:t>]</w:t>
      </w:r>
    </w:p>
    <w:p w14:paraId="0891243C" w14:textId="77777777" w:rsidR="00181957" w:rsidRDefault="00181957" w:rsidP="00181957">
      <w:r>
        <w:t xml:space="preserve">12.  ΑΝΑΚΟΙΝΩΣΗ ΤΗΣ ΕΠΙΤΡΟΠΗΣ - Έγγραφο καθοδήγησης για τα κράτη μέλη σχετικά με την επιλογή φορέων </w:t>
      </w:r>
      <w:r w:rsidR="004F576E">
        <w:t>Εφαρμογής</w:t>
      </w:r>
      <w:r>
        <w:t xml:space="preserve"> μέσων χρηματοοικονομικής τεχνικής (2016/C276/01)</w:t>
      </w:r>
    </w:p>
    <w:p w14:paraId="4327CBF1" w14:textId="77777777" w:rsidR="00181957" w:rsidRDefault="00181957" w:rsidP="00181957">
      <w:r>
        <w:t>o Συνοδευτικό κείμενο ερωτήσεων/απαντήσεων</w:t>
      </w:r>
    </w:p>
    <w:p w14:paraId="68C7B497" w14:textId="77777777" w:rsidR="00181957" w:rsidRDefault="00181957" w:rsidP="00181957">
      <w:r>
        <w:t xml:space="preserve">13.  ΕΓΓΡΑΦΟ ΕΡΓΑΣΙΑΣ ΤΩΝ ΥΠΗΡΕΣΙΩΝ ΤΗΣ ΕΠΙΤΡΟΠΗΣ -  Έγγραφο καθοδήγησης σχετικά με τις κρατικές ενισχύσεις για τα μέσα χρηματοοικονομικής τεχνικής των Ευρωπαϊκών Διαρθρωτικών και Επενδυτικών Ταμείων (ΕΔΕΤ) κατά την </w:t>
      </w:r>
      <w:r w:rsidR="00E5630E">
        <w:t>Προγραμματ</w:t>
      </w:r>
      <w:r>
        <w:t xml:space="preserve">ική </w:t>
      </w:r>
      <w:r w:rsidR="00EB38B3">
        <w:t>Περίοδο</w:t>
      </w:r>
      <w:r>
        <w:t xml:space="preserve"> 2014-2020, SWD(2017) 156 </w:t>
      </w:r>
      <w:proofErr w:type="spellStart"/>
      <w:r>
        <w:t>final</w:t>
      </w:r>
      <w:proofErr w:type="spellEnd"/>
      <w:r>
        <w:t>, 02/05/2017</w:t>
      </w:r>
    </w:p>
    <w:p w14:paraId="5067EF1A" w14:textId="77777777" w:rsidR="00181957" w:rsidRDefault="00181957" w:rsidP="00181957">
      <w:r>
        <w:t xml:space="preserve">14.  ΕΓΓΡΑΦΟ ΕΡΓΑΣΙΑΣ ΤΩΝ ΥΠΗΡΕΣΙΩΝ ΤΗΣ ΕΠΙΤΡΟΠΗΣ - Ευρωπαϊκά Διαρθρωτικά και Επενδυτικά Ταμεία - Έγγραφο καθοδήγησης για τα κράτη μέλη σχετικά με το άρθρο 38(4) του ΚΚΔ – Επιλογές υλοποίησης για μέσα χρηματοοικονομικής τεχνικής με ή υπό την ευθύνη της διαχειριστικής αρχής, SWD(2017) 343 </w:t>
      </w:r>
      <w:proofErr w:type="spellStart"/>
      <w:r>
        <w:t>final</w:t>
      </w:r>
      <w:proofErr w:type="spellEnd"/>
      <w:r>
        <w:t>, 11/10/2017</w:t>
      </w:r>
    </w:p>
    <w:p w14:paraId="3E4CA804" w14:textId="77777777" w:rsidR="00181957" w:rsidRDefault="00181957" w:rsidP="00181957">
      <w:r>
        <w:t xml:space="preserve">15.  Έγγραφο καθοδήγησης για τα κράτη μέλη για το Άρθρο 46 – υποβολή εκθέσεων για τα χρηματοδοτικά μέσα και για το Άρθρο 37(2)(γ) – αποτέλεσμα </w:t>
      </w:r>
      <w:proofErr w:type="spellStart"/>
      <w:r>
        <w:t>μόχλευσης</w:t>
      </w:r>
      <w:proofErr w:type="spellEnd"/>
      <w:r>
        <w:t>, EGESIF_16-0008-02, 19/03/2019</w:t>
      </w:r>
    </w:p>
    <w:p w14:paraId="1DD666B0" w14:textId="77777777" w:rsidR="00181957" w:rsidRDefault="00181957" w:rsidP="00181957">
      <w:r>
        <w:t>16.  ΧΡΗΜΑΤΟΟΙΚΟΝΟΜΙΚΑ ΜΕΣΑ - ΕΠΙΣΚΟΠΗΣΗ ΤΩΝ ΑΛΛΑΓΩΝ ΤΟΥ ΤΙΤΛΟΥ IV ΤΟΥ ΚΚΔ ΛΟΓΩ ΤΟΥ ΚΑΝΟΝΙΣΜΟΥ OMNIBUS, EGESIF_18-0040-01, 05/03/2019</w:t>
      </w:r>
    </w:p>
    <w:p w14:paraId="452E417C" w14:textId="77777777" w:rsidR="00181957" w:rsidRDefault="00181957" w:rsidP="00181957">
      <w:r>
        <w:t xml:space="preserve">17.  Έγγραφο καθοδήγησης για τα κράτη μέλη σχετικά με τους κανόνες </w:t>
      </w:r>
      <w:proofErr w:type="spellStart"/>
      <w:r>
        <w:t>επιλεξιμότητας</w:t>
      </w:r>
      <w:proofErr w:type="spellEnd"/>
      <w:r>
        <w:t xml:space="preserve"> του ΚΚΔ για τα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t xml:space="preserve"> των ΕΔΕΤ, EGESIF_16-0006-00, 18/04/2016</w:t>
      </w:r>
    </w:p>
    <w:p w14:paraId="1A92F9D5" w14:textId="77777777" w:rsidR="00D7648C" w:rsidRPr="00D7648C" w:rsidRDefault="00D7648C" w:rsidP="00D7648C">
      <w:pPr>
        <w:rPr>
          <w:lang w:val="en-US"/>
        </w:rPr>
      </w:pPr>
      <w:r w:rsidRPr="00D7648C">
        <w:rPr>
          <w:lang w:val="en-US"/>
        </w:rPr>
        <w:t xml:space="preserve">18. Audit methodology for auditing financial instruments in the period 2014-2020 Ref. Ares(2019)5287360 - 19/08/2019 </w:t>
      </w:r>
      <w:r>
        <w:rPr>
          <w:lang w:val="en-US"/>
        </w:rPr>
        <w:t>plus annexes ”</w:t>
      </w:r>
      <w:r w:rsidRPr="00D7648C">
        <w:rPr>
          <w:lang w:val="en-US"/>
        </w:rPr>
        <w:t>1</w:t>
      </w:r>
      <w:r>
        <w:rPr>
          <w:lang w:val="en-US"/>
        </w:rPr>
        <w:t>”</w:t>
      </w:r>
      <w:r w:rsidRPr="00D7648C">
        <w:rPr>
          <w:lang w:val="en-US"/>
        </w:rPr>
        <w:t>– Audit checklist for auditing financial instruments in the period 2014-2020</w:t>
      </w:r>
      <w:r>
        <w:rPr>
          <w:lang w:val="en-US"/>
        </w:rPr>
        <w:t>,</w:t>
      </w:r>
      <w:r w:rsidRPr="00D7648C">
        <w:rPr>
          <w:lang w:val="en-US"/>
        </w:rPr>
        <w:t xml:space="preserve">  </w:t>
      </w:r>
      <w:r>
        <w:rPr>
          <w:lang w:val="en-US"/>
        </w:rPr>
        <w:t>“</w:t>
      </w:r>
      <w:r w:rsidRPr="00D7648C">
        <w:rPr>
          <w:lang w:val="en-US"/>
        </w:rPr>
        <w:t>2</w:t>
      </w:r>
      <w:r>
        <w:rPr>
          <w:lang w:val="en-US"/>
        </w:rPr>
        <w:t>”</w:t>
      </w:r>
      <w:r w:rsidRPr="00D7648C">
        <w:rPr>
          <w:lang w:val="en-US"/>
        </w:rPr>
        <w:t xml:space="preserve"> – Sampling methodology for financial instruments</w:t>
      </w:r>
      <w:r>
        <w:rPr>
          <w:lang w:val="en-US"/>
        </w:rPr>
        <w:t>,</w:t>
      </w:r>
      <w:r w:rsidRPr="00D7648C">
        <w:rPr>
          <w:lang w:val="en-US"/>
        </w:rPr>
        <w:t xml:space="preserve">  </w:t>
      </w:r>
      <w:r>
        <w:rPr>
          <w:lang w:val="en-US"/>
        </w:rPr>
        <w:t>“</w:t>
      </w:r>
      <w:r w:rsidRPr="00D7648C">
        <w:rPr>
          <w:lang w:val="en-US"/>
        </w:rPr>
        <w:t>3</w:t>
      </w:r>
      <w:r>
        <w:rPr>
          <w:lang w:val="en-US"/>
        </w:rPr>
        <w:t>”</w:t>
      </w:r>
      <w:r w:rsidRPr="00D7648C">
        <w:rPr>
          <w:lang w:val="en-US"/>
        </w:rPr>
        <w:t xml:space="preserve"> – Special provisions for documentation of investments in working capital</w:t>
      </w:r>
    </w:p>
    <w:p w14:paraId="1387144F" w14:textId="77777777" w:rsidR="000215E5" w:rsidRPr="001A5251" w:rsidRDefault="000215E5" w:rsidP="00FA5CD9">
      <w:pPr>
        <w:pStyle w:val="3"/>
      </w:pPr>
      <w:bookmarkStart w:id="10" w:name="_Toc36639189"/>
      <w:r w:rsidRPr="001A5251">
        <w:t>Ισχύουσα Εθνική Νομοθεσία</w:t>
      </w:r>
      <w:bookmarkEnd w:id="10"/>
    </w:p>
    <w:p w14:paraId="4022C974" w14:textId="77777777" w:rsidR="00555B80" w:rsidRPr="001A5251" w:rsidRDefault="000215E5" w:rsidP="00524440">
      <w:pPr>
        <w:spacing w:line="360" w:lineRule="auto"/>
      </w:pPr>
      <w:r w:rsidRPr="001A5251">
        <w:t xml:space="preserve">Οι κύριες δράσεις και τα μέτρα που έχουν τεθεί σε ισχύ από το 2007 και μετά, στο πλαίσιο της επίτευξης της </w:t>
      </w:r>
      <w:proofErr w:type="spellStart"/>
      <w:r w:rsidRPr="001A5251">
        <w:t>στοχοθεσίας</w:t>
      </w:r>
      <w:proofErr w:type="spellEnd"/>
      <w:r w:rsidRPr="001A5251">
        <w:t xml:space="preserve"> για εξοικονόμηση ενέργειας, υλοποιήθηκαν σε εθνικό επίπεδο και </w:t>
      </w:r>
      <w:r w:rsidRPr="001A5251">
        <w:lastRenderedPageBreak/>
        <w:t>αφορούσαν κυρίως την ανάπτυξη του θεσμικού και ρυθμιστικού πλαισίου για την υιοθέτηση των πολιτικών, των υποχρεώσεων και των στρατηγικών σε όλους τους τομείς τελικής χρήσης, στο πλαίσιο της βελτίωσης της ενεργειακής απόδοσης. Συγκεκριμένα, αναπτύχθηκε ένα ολοκληρωμένο θεσμικό πλαίσιο για την ενεργειακή απόδοση και την ενεργειακή επιθεώρηση των κτιρίων,</w:t>
      </w:r>
      <w:r w:rsidR="00202B58">
        <w:t xml:space="preserve"> τις</w:t>
      </w:r>
      <w:r w:rsidRPr="001A5251">
        <w:t xml:space="preserve"> ελάχιστες απαιτήσεις των νέων κτιρίων, </w:t>
      </w:r>
      <w:r w:rsidR="00202B58">
        <w:t>τις</w:t>
      </w:r>
      <w:r w:rsidRPr="001A5251">
        <w:t xml:space="preserve"> υποχρεώσεις του δημόσιου τομέα και των </w:t>
      </w:r>
      <w:proofErr w:type="spellStart"/>
      <w:r w:rsidRPr="001A5251">
        <w:t>παρόχων</w:t>
      </w:r>
      <w:proofErr w:type="spellEnd"/>
      <w:r w:rsidRPr="001A5251">
        <w:t xml:space="preserve"> ενέργειας και </w:t>
      </w:r>
      <w:r w:rsidR="00202B58">
        <w:t>του</w:t>
      </w:r>
      <w:r w:rsidRPr="001A5251">
        <w:t xml:space="preserve"> μηχανισμ</w:t>
      </w:r>
      <w:r w:rsidR="00202B58">
        <w:t>ού</w:t>
      </w:r>
      <w:r w:rsidRPr="001A5251">
        <w:t xml:space="preserve"> για την παρακολούθηση και την αξιολόγηση της προόδου προς την επίτευξη του εθνικού στόχου.</w:t>
      </w:r>
    </w:p>
    <w:p w14:paraId="11974E2C" w14:textId="77777777" w:rsidR="000215E5" w:rsidRPr="001A5251" w:rsidRDefault="000215E5" w:rsidP="00524440">
      <w:pPr>
        <w:spacing w:line="360" w:lineRule="auto"/>
      </w:pPr>
      <w:r w:rsidRPr="001A5251">
        <w:t>Το νομικό πλαίσιο που καλύπτει την δραστηριότητα των κατασκευών είναι ιδιαίτερα εκτενές. Το ισχύον νομοθετικό πλαίσιο που έχει υιοθετηθεί για τη βελτίωση της ενεργειακής αποδοτικότητας και την προώθηση της ορθολογικής χρήσης της ενέργειας στα κτίρια στην Ελλάδα, αλλά και για την αύξηση του μεριδίου της ενέργειας από ΑΠΕ στον κτηριακό τομέα, περιγράφεται συνοπτικά στη συνέχεια.</w:t>
      </w:r>
    </w:p>
    <w:p w14:paraId="749E9817" w14:textId="77777777" w:rsidR="00A16A4E" w:rsidRPr="001A5251" w:rsidRDefault="00A16A4E" w:rsidP="00524440">
      <w:pPr>
        <w:spacing w:before="240" w:line="360" w:lineRule="auto"/>
      </w:pPr>
      <w:r w:rsidRPr="001A5251">
        <w:rPr>
          <w:rStyle w:val="af2"/>
          <w:b/>
          <w:color w:val="39302A" w:themeColor="text2"/>
        </w:rPr>
        <w:t xml:space="preserve"> Ν.3661/2008, "Μέτρα για τη μείωση της ενεργειακής κατανάλωσης των κτιρίων και άλλες διατάξεις". </w:t>
      </w:r>
      <w:r w:rsidRPr="001A5251">
        <w:t xml:space="preserve">Ο νόμος καθορίζει το πλαίσιο της ενεργειακής απόδοσης σχεδόν σε όλους τους τύπους κτιρίων. Ρυθμίζει τη μεθοδολογία για τον καθορισμό της ενεργειακής απόδοσης των κτιρίων, τις ελάχιστες προδιαγραφές που θα πρέπει να πληρούν τα κτίρια, το περιεχόμενο των ενεργειακών μελετών και τις προδιαγραφές που πρέπει να πληρούν τα πρόσωπα τα οποία εκτελούν τις ενεργειακές μελέτες. </w:t>
      </w:r>
      <w:r w:rsidR="000215E5" w:rsidRPr="001A5251">
        <w:t xml:space="preserve">Επίσης, ρυθμίζει το περιεχόμενο, τη συχνότητα και τις διαδικασίες εκτέλεσης των ενεργειακών επιθεωρήσεων σε κτίρια, λέβητες και συστήματα κλιματισμού καθώς και τα προσόντα και τη διαδικασία πιστοποίησης των ενεργειακών επιθεωρητών. Καθορίζει ότι σε νέα κτίρια, ή σε κτίρια που ανακαινίζονται ριζικά και τα οποία έχουν επιφάνεια άνω των 1.000 </w:t>
      </w:r>
      <w:proofErr w:type="spellStart"/>
      <w:r w:rsidR="000215E5" w:rsidRPr="001A5251">
        <w:t>τ.μ</w:t>
      </w:r>
      <w:proofErr w:type="spellEnd"/>
      <w:r w:rsidR="000215E5" w:rsidRPr="001A5251">
        <w:t xml:space="preserve"> θα πρέπει η μελέτη για την έκδοση αδείας να συνοδεύεται από ενεργειακή μελέτη.</w:t>
      </w:r>
      <w:r w:rsidRPr="001A5251">
        <w:t xml:space="preserve"> </w:t>
      </w:r>
    </w:p>
    <w:p w14:paraId="033DADB5" w14:textId="77777777" w:rsidR="00A16A4E" w:rsidRPr="001A5251" w:rsidRDefault="00A16A4E" w:rsidP="00524440">
      <w:pPr>
        <w:spacing w:before="240" w:line="360" w:lineRule="auto"/>
      </w:pPr>
      <w:r w:rsidRPr="00CF4C76">
        <w:rPr>
          <w:rStyle w:val="af3"/>
        </w:rPr>
        <w:t>Ο Ν. 3661/2008</w:t>
      </w:r>
      <w:r w:rsidR="00F81494">
        <w:rPr>
          <w:rStyle w:val="af3"/>
        </w:rPr>
        <w:t>, ο οποίος</w:t>
      </w:r>
      <w:r w:rsidRPr="00CF4C76">
        <w:rPr>
          <w:rStyle w:val="af3"/>
        </w:rPr>
        <w:t xml:space="preserve"> τροποποιήθηκε με το άρθρο 10 του Ν. 3855/2010</w:t>
      </w:r>
      <w:r w:rsidRPr="001A5251">
        <w:t xml:space="preserve"> </w:t>
      </w:r>
      <w:r w:rsidR="00F81494">
        <w:t>και</w:t>
      </w:r>
      <w:r w:rsidRPr="001A5251">
        <w:t xml:space="preserve"> μεταξύ άλλων, επιτάσσει την υποχρέωση για τα νέα ή ανακαινισμένα κτίρια να καλύπτουν το 60% των αναγκών τους για ζεστό νερό μέσω θερμικών ηλιακών συστημάτων.</w:t>
      </w:r>
      <w:r w:rsidR="00B67AE6">
        <w:t xml:space="preserve"> </w:t>
      </w:r>
      <w:r w:rsidRPr="001A5251">
        <w:t>Παράλληλα θεσπίστηκε για τα κτήρια η υποχρέωση για την έκδοση Πιστοποιητικού Ενεργειακής Απόδοσης τόσο για την κατασκευή νέων και τη ριζική ανακαίνιση υφιστάμενων, όσο και κατά την αγοραπωλησία και ενοικίαση.</w:t>
      </w:r>
    </w:p>
    <w:p w14:paraId="703DBC43" w14:textId="77777777" w:rsidR="00A16A4E" w:rsidRPr="00E26165" w:rsidRDefault="00A16A4E" w:rsidP="00524440">
      <w:pPr>
        <w:spacing w:line="360" w:lineRule="auto"/>
        <w:rPr>
          <w:u w:val="single"/>
        </w:rPr>
      </w:pPr>
      <w:r w:rsidRPr="001A5251">
        <w:t xml:space="preserve">Οι παραπάνω δύο νόμοι αντικαταστάθηκαν από το </w:t>
      </w:r>
      <w:r w:rsidRPr="00CF4C76">
        <w:rPr>
          <w:rStyle w:val="af3"/>
        </w:rPr>
        <w:t xml:space="preserve">νόμο 4122/2013 </w:t>
      </w:r>
      <w:r w:rsidR="00E26165" w:rsidRPr="00E26165">
        <w:rPr>
          <w:rStyle w:val="af3"/>
        </w:rPr>
        <w:t>(ΦΕΚ Α' 42) «Ενεργειακή Απόδοση Κτιρίων - Εναρμόνιση με την οδηγία 2010/31/</w:t>
      </w:r>
      <w:r w:rsidR="0062368F">
        <w:rPr>
          <w:rStyle w:val="af3"/>
        </w:rPr>
        <w:t>Ε.Ε.</w:t>
      </w:r>
      <w:r w:rsidR="00E26165" w:rsidRPr="00E26165">
        <w:rPr>
          <w:rStyle w:val="af3"/>
        </w:rPr>
        <w:t xml:space="preserve"> του Ευρωπαϊκού Κοινοβουλίου και του Συμβουλίου και λοιπές διατάξεις»</w:t>
      </w:r>
      <w:r w:rsidR="00E26165">
        <w:rPr>
          <w:rStyle w:val="af3"/>
        </w:rPr>
        <w:t xml:space="preserve">, </w:t>
      </w:r>
      <w:r w:rsidRPr="00CF4C76">
        <w:rPr>
          <w:rStyle w:val="af3"/>
        </w:rPr>
        <w:t>που ενσωματώνει στην εθνική νομοθεσία την οδηγία 2010/31/</w:t>
      </w:r>
      <w:r w:rsidR="0062368F">
        <w:rPr>
          <w:rStyle w:val="af3"/>
        </w:rPr>
        <w:t>Ε.Ε.</w:t>
      </w:r>
      <w:r w:rsidRPr="001A5251">
        <w:rPr>
          <w:b/>
        </w:rPr>
        <w:t xml:space="preserve"> </w:t>
      </w:r>
      <w:r w:rsidRPr="001A5251">
        <w:t xml:space="preserve">του Ε.Κ. και του Συμβουλίου. Με το ν. 4122/2013 απαιτείται ο επαναπροσδιορισμός των ελάχιστων απαιτήσεων ενεργειακής απόδοσης των κτιρίων με μία μεθοδολογία υπολογισμού του βέλτιστου από πλευράς κόστους επιπέδων των ελάχιστων απαιτήσεων. Επιπλέον από </w:t>
      </w:r>
      <w:r w:rsidRPr="001A5251">
        <w:lastRenderedPageBreak/>
        <w:t>1</w:t>
      </w:r>
      <w:r w:rsidR="00E5630E">
        <w:t>.01.</w:t>
      </w:r>
      <w:r w:rsidRPr="001A5251">
        <w:t xml:space="preserve">2021 όλα τα νέα κτίρια πρέπει να είναι κτίρια σχεδόν μηδενικής κατανάλωσης ενέργειας (για τα νέα κτίρια του δημοσίου τομέα η υποχρέωση ισχύει από </w:t>
      </w:r>
      <w:r w:rsidR="0039357E">
        <w:t>0</w:t>
      </w:r>
      <w:r w:rsidRPr="001A5251">
        <w:t>1</w:t>
      </w:r>
      <w:r w:rsidR="00E5630E">
        <w:t>.01.</w:t>
      </w:r>
      <w:r w:rsidRPr="001A5251">
        <w:t>2019).</w:t>
      </w:r>
    </w:p>
    <w:p w14:paraId="0B6C4970" w14:textId="77777777" w:rsidR="00F81494" w:rsidRPr="001A5251" w:rsidRDefault="00F81494" w:rsidP="00524440">
      <w:pPr>
        <w:spacing w:before="240" w:line="360" w:lineRule="auto"/>
      </w:pPr>
      <w:r>
        <w:rPr>
          <w:rStyle w:val="af3"/>
        </w:rPr>
        <w:t>Ν. 3855/2010</w:t>
      </w:r>
      <w:r w:rsidRPr="00CF4C76">
        <w:rPr>
          <w:rStyle w:val="af3"/>
        </w:rPr>
        <w:t>, "Μέτρα για τη βελτίωση της ενεργειακής απόδοσης κατά την τελική χρήση, ενεργειακές υπηρεσίες και άλλες διατάξεις"</w:t>
      </w:r>
      <w:r w:rsidRPr="001A5251">
        <w:rPr>
          <w:rStyle w:val="af3"/>
          <w:b w:val="0"/>
        </w:rPr>
        <w:t>,</w:t>
      </w:r>
      <w:r w:rsidRPr="001A5251">
        <w:rPr>
          <w:rStyle w:val="af3"/>
        </w:rPr>
        <w:t xml:space="preserve"> </w:t>
      </w:r>
      <w:r w:rsidRPr="001A5251">
        <w:rPr>
          <w:rStyle w:val="af3"/>
          <w:i w:val="0"/>
          <w:iCs w:val="0"/>
          <w:color w:val="auto"/>
        </w:rPr>
        <w:t>όπου σ</w:t>
      </w:r>
      <w:r w:rsidRPr="001A5251">
        <w:t>το Άρθρο 8 γίνεται αναφορά για τα μέτρα ενεργειακής αποδοτικότητας στο δημόσιο τομέα και στο Άρθρο 16 σχετικά με το πλαίσιο των Συμβάσεων Ενεργειακής Απόδοσης (ΣΕΑ). Ο νόμος μεταφέρει την Οδηγία 2006/32/ΕΚ στο εθνικό δίκαιο, προβλέπει ειδικά μέτρα για τα κτίρια του δημόσιου τομέα ώστε να βελτιωθεί η ενεργειακή τους απόδοση και να επιτευχθεί εξοικονόμηση ενέργειας. Επιπλέον, θέτει το πλαίσιο για τη δημιουργία της αγοράς των Επιχειρήσεων Ενεργειακών Υπηρεσιών (</w:t>
      </w:r>
      <w:r w:rsidR="0062368F">
        <w:t>Ε.Ε.</w:t>
      </w:r>
      <w:r w:rsidRPr="001A5251">
        <w:t>Υ) στην Ελλάδα μέσω των ΣΕΑ, καθώς και την προώθηση της χρήσης των οικιακών συστημάτων ΑΠΕ.</w:t>
      </w:r>
    </w:p>
    <w:p w14:paraId="5449F1E1" w14:textId="77777777" w:rsidR="00F81494" w:rsidRDefault="00F81494" w:rsidP="00524440">
      <w:pPr>
        <w:spacing w:line="360" w:lineRule="auto"/>
      </w:pPr>
      <w:r w:rsidRPr="001A5251">
        <w:t>Ειδικότερα, ως προς τις βασικότερες διατάξεις του Ν. 3855/2010, πρέπει να επισημανθεί ότι έχουν θεσπιστεί μέτρα για την ανάπτυξη της αγοράς ενεργειακών υπηρεσιών μέσω Επιχειρήσεων Ενεργειακών Υπηρεσιών, δίδονται κατευθύνσεις για το ρόλο που πρέπει να διαδραματίσει ο δημόσιος τομέας, ενώ παράλληλα αποτυπώνονται και οι υποχρεώσεις προς τους διανομείς ενέργειας, διαχειριστές δικτύων διανομής και επιχειρήσεις λιανικής πώλησης ενέργειας (ενεργειακοί έλεγχοι, διακριτά τιμολόγια, έξυπνοι μετρητές). Τέλος, παρατίθεται μια σειρά θεσμικών μέτρων τα οποία πρέπει να αναπτυχθούν, ώστε να επιτευχθεί η προβλεπόμενη εξοικονόμηση ενέργειας.</w:t>
      </w:r>
    </w:p>
    <w:p w14:paraId="33D11450" w14:textId="77777777" w:rsidR="007B7D6A" w:rsidRDefault="007B7D6A" w:rsidP="00524440">
      <w:pPr>
        <w:spacing w:before="240" w:line="360" w:lineRule="auto"/>
        <w:rPr>
          <w:rStyle w:val="af3"/>
          <w:b w:val="0"/>
          <w:i w:val="0"/>
          <w:iCs w:val="0"/>
          <w:color w:val="auto"/>
        </w:rPr>
      </w:pPr>
      <w:r w:rsidRPr="00CF4C76">
        <w:rPr>
          <w:rStyle w:val="af3"/>
        </w:rPr>
        <w:t>Ν. 3889/2010, "Χρηματοδότηση Περιβαλλοντικών Παρεμβάσεων, Πράσινο Ταμείο, Κύρωση Δασικών Χαρτών και άλλες διατάξεις",</w:t>
      </w:r>
      <w:r w:rsidRPr="001A5251">
        <w:rPr>
          <w:rStyle w:val="af3"/>
        </w:rPr>
        <w:t xml:space="preserve"> </w:t>
      </w:r>
      <w:r w:rsidRPr="004F5EE0">
        <w:rPr>
          <w:rStyle w:val="af3"/>
          <w:b w:val="0"/>
          <w:i w:val="0"/>
          <w:iCs w:val="0"/>
          <w:color w:val="000000" w:themeColor="text1"/>
        </w:rPr>
        <w:t>όπου</w:t>
      </w:r>
      <w:r w:rsidRPr="004F5EE0">
        <w:rPr>
          <w:rStyle w:val="af3"/>
          <w:i w:val="0"/>
          <w:iCs w:val="0"/>
          <w:color w:val="000000" w:themeColor="text1"/>
        </w:rPr>
        <w:t xml:space="preserve"> </w:t>
      </w:r>
      <w:r w:rsidRPr="004F5EE0">
        <w:rPr>
          <w:rStyle w:val="af3"/>
          <w:b w:val="0"/>
          <w:i w:val="0"/>
          <w:iCs w:val="0"/>
          <w:color w:val="000000" w:themeColor="text1"/>
        </w:rPr>
        <w:t xml:space="preserve">καθιερώνεται </w:t>
      </w:r>
      <w:r w:rsidRPr="00CF4C76">
        <w:rPr>
          <w:rStyle w:val="af3"/>
          <w:b w:val="0"/>
          <w:i w:val="0"/>
          <w:iCs w:val="0"/>
          <w:color w:val="auto"/>
        </w:rPr>
        <w:t>ένα ολοκληρωμένο και ειδικό σύστημα χρηματοδότησης περιβαλλοντικών παρεμβάσεων, με στόχο την ενίσχυση της ανάπτυξης μέσω της προστασίας του περιβάλλοντος και την αποτελεσματική και διαφανή διαχείριση των πόρων για την αναβάθμιση και αποκατάσταση του περιβάλλοντος και την αντιμετώπιση της κλιματικής αλλαγής. Το σύστημα χρηματοδότησης περιλαμβάνει τη θεσμοθέτηση της Στρατηγικής Επιτροπής Περιβαλλοντικής Πολιτικής, τη διασφάλιση, εξειδίκευση, ταξινόμηση και συστηματοποίηση των πόρων που διατίθενται για την προστασία, αναβάθμιση και αποκατάσταση του περιβάλλοντος και την αναδιάρθρωση και οργάνωση του φορέα διαχείρισης των πόρων αυτών, ο οποίος είναι το νομικό πρόσωπο δημοσίου δικαίου με των επωνυμία «Πράσινο Ταμείο».</w:t>
      </w:r>
    </w:p>
    <w:p w14:paraId="77051727" w14:textId="77777777" w:rsidR="007B1E6D" w:rsidRPr="007B1E6D" w:rsidRDefault="007B1E6D" w:rsidP="00DC12D0">
      <w:pPr>
        <w:pStyle w:val="4"/>
        <w:rPr>
          <w:rStyle w:val="af3"/>
          <w:b/>
          <w:color w:val="auto"/>
        </w:rPr>
      </w:pPr>
      <w:r w:rsidRPr="007B1E6D">
        <w:rPr>
          <w:rStyle w:val="af3"/>
          <w:b/>
          <w:color w:val="auto"/>
        </w:rPr>
        <w:t>Νόμος 4646/2019 (κωδικοποίηση και τροποποιήσεις στον Κ.Φ.Ε.)</w:t>
      </w:r>
    </w:p>
    <w:p w14:paraId="1956280F" w14:textId="77777777" w:rsidR="007B1E6D" w:rsidRPr="007B1E6D" w:rsidRDefault="007B1E6D" w:rsidP="007B1E6D">
      <w:pPr>
        <w:spacing w:before="240" w:line="360" w:lineRule="auto"/>
        <w:rPr>
          <w:rStyle w:val="af3"/>
          <w:b w:val="0"/>
          <w:i w:val="0"/>
          <w:iCs w:val="0"/>
          <w:color w:val="auto"/>
        </w:rPr>
      </w:pPr>
      <w:r w:rsidRPr="007B1E6D">
        <w:rPr>
          <w:rStyle w:val="af3"/>
          <w:b w:val="0"/>
          <w:i w:val="0"/>
          <w:iCs w:val="0"/>
          <w:color w:val="auto"/>
        </w:rPr>
        <w:t xml:space="preserve">Η πολιτεία </w:t>
      </w:r>
      <w:r>
        <w:rPr>
          <w:rStyle w:val="af3"/>
          <w:b w:val="0"/>
          <w:i w:val="0"/>
          <w:iCs w:val="0"/>
          <w:color w:val="auto"/>
        </w:rPr>
        <w:t>εισήγαγε πρόσφατα,</w:t>
      </w:r>
      <w:r w:rsidRPr="007B1E6D">
        <w:rPr>
          <w:rStyle w:val="af3"/>
          <w:b w:val="0"/>
          <w:i w:val="0"/>
          <w:iCs w:val="0"/>
          <w:color w:val="auto"/>
        </w:rPr>
        <w:t xml:space="preserve"> φορολογικά κίνητρα για την ενεργειακή αναβάθμιση των κατοικιών. Σύμφωνα με το Ν. 4646/2019, άρθρο 16: «Προσθήκη του άρθρου 39 Β του ΚΦΕ, σχετικά </w:t>
      </w:r>
      <w:r w:rsidRPr="007B1E6D">
        <w:rPr>
          <w:rStyle w:val="af3"/>
          <w:b w:val="0"/>
          <w:i w:val="0"/>
          <w:iCs w:val="0"/>
          <w:color w:val="auto"/>
        </w:rPr>
        <w:lastRenderedPageBreak/>
        <w:t xml:space="preserve">με την έκπτωση φόρου για δαπάνες που αφορούν λήψη υπηρεσιών για ενεργειακή, λειτουργική και αισθητική αναβάθμιση κτιρίων». </w:t>
      </w:r>
    </w:p>
    <w:p w14:paraId="194B88B7" w14:textId="77777777" w:rsidR="007B1E6D" w:rsidRPr="007B1E6D" w:rsidRDefault="007B1E6D" w:rsidP="007B1E6D">
      <w:pPr>
        <w:spacing w:before="240" w:line="360" w:lineRule="auto"/>
        <w:ind w:left="720"/>
        <w:rPr>
          <w:rStyle w:val="af3"/>
          <w:b w:val="0"/>
          <w:iCs w:val="0"/>
          <w:color w:val="auto"/>
        </w:rPr>
      </w:pPr>
      <w:r w:rsidRPr="007B1E6D">
        <w:rPr>
          <w:rStyle w:val="af3"/>
          <w:b w:val="0"/>
          <w:iCs w:val="0"/>
          <w:color w:val="auto"/>
        </w:rPr>
        <w:t>«Μετά το άρθρο 39 Α του ν. 4172/2013 προστίθεται άρθρο 39 Β ως εξής:</w:t>
      </w:r>
    </w:p>
    <w:p w14:paraId="01C88FFA" w14:textId="77777777" w:rsidR="007B1E6D" w:rsidRPr="007B1E6D" w:rsidRDefault="007B1E6D" w:rsidP="007B1E6D">
      <w:pPr>
        <w:spacing w:before="240" w:line="360" w:lineRule="auto"/>
        <w:ind w:left="720"/>
        <w:rPr>
          <w:rStyle w:val="af3"/>
          <w:b w:val="0"/>
          <w:iCs w:val="0"/>
          <w:color w:val="auto"/>
        </w:rPr>
      </w:pPr>
      <w:r w:rsidRPr="007B1E6D">
        <w:rPr>
          <w:rStyle w:val="af3"/>
          <w:b w:val="0"/>
          <w:iCs w:val="0"/>
          <w:color w:val="auto"/>
        </w:rPr>
        <w:t xml:space="preserve">1. Οι δαπάνες που θα πραγματοποιηθούν για τη λήψη υπηρεσιών που σχετίζονται με την ενεργειακή, λειτουργική και αισθητική αναβάθμιση κτιρίων, τα οποία δεν έχουν ήδη ενταχθεί ή δεν θα ενταχθούν σε </w:t>
      </w:r>
      <w:r w:rsidR="00971D9A">
        <w:rPr>
          <w:rStyle w:val="af3"/>
          <w:b w:val="0"/>
          <w:iCs w:val="0"/>
          <w:color w:val="auto"/>
        </w:rPr>
        <w:t>Πρόγραμμα</w:t>
      </w:r>
      <w:r w:rsidRPr="007B1E6D">
        <w:rPr>
          <w:rStyle w:val="af3"/>
          <w:b w:val="0"/>
          <w:iCs w:val="0"/>
          <w:color w:val="auto"/>
        </w:rPr>
        <w:t xml:space="preserve"> αναβάθμισης κτιρίων, μειώνουν ισόποσα κατανεμημένες σε </w:t>
      </w:r>
      <w:r w:rsidR="00EB38B3">
        <w:rPr>
          <w:rStyle w:val="af3"/>
          <w:b w:val="0"/>
          <w:iCs w:val="0"/>
          <w:color w:val="auto"/>
        </w:rPr>
        <w:t>Περίοδο</w:t>
      </w:r>
      <w:r w:rsidRPr="007B1E6D">
        <w:rPr>
          <w:rStyle w:val="af3"/>
          <w:b w:val="0"/>
          <w:iCs w:val="0"/>
          <w:color w:val="auto"/>
        </w:rPr>
        <w:t xml:space="preserve"> τεσσάρων (4) ετών, σε ποσοστό σαράντα τοις εκατό (40 %) του ύψους τους, τον φόρο εισοδήματος των φυσικών προσώπων, μέχρι του αναλογούντος για κάθε φορολογικό έτος φόρου, με ανώτατο συνολικά όριο δαπάνης τις δεκαέξι χιλιάδες (16.000) ευρώ.</w:t>
      </w:r>
    </w:p>
    <w:p w14:paraId="064825D7" w14:textId="77777777" w:rsidR="007B1E6D" w:rsidRPr="007B1E6D" w:rsidRDefault="007B1E6D" w:rsidP="007B1E6D">
      <w:pPr>
        <w:spacing w:before="240" w:line="360" w:lineRule="auto"/>
        <w:ind w:left="720"/>
        <w:rPr>
          <w:rStyle w:val="af3"/>
          <w:b w:val="0"/>
          <w:iCs w:val="0"/>
          <w:color w:val="auto"/>
        </w:rPr>
      </w:pPr>
      <w:r w:rsidRPr="007B1E6D">
        <w:rPr>
          <w:rStyle w:val="af3"/>
          <w:b w:val="0"/>
          <w:iCs w:val="0"/>
          <w:color w:val="auto"/>
        </w:rPr>
        <w:t xml:space="preserve">2. Απαραίτητη προϋπόθεση για τη μείωση του φόρου από το ποσό των δαπανών, αποτελεί η απόδειξή τους με νόμιμα παραστατικά του ν. 4308/2014 και η εξόφλησή τους με ηλεκτρονικά μέσα πληρωμής ή μέσω </w:t>
      </w:r>
      <w:proofErr w:type="spellStart"/>
      <w:r w:rsidRPr="007B1E6D">
        <w:rPr>
          <w:rStyle w:val="af3"/>
          <w:b w:val="0"/>
          <w:iCs w:val="0"/>
          <w:color w:val="auto"/>
        </w:rPr>
        <w:t>παρόχου</w:t>
      </w:r>
      <w:proofErr w:type="spellEnd"/>
      <w:r w:rsidRPr="007B1E6D">
        <w:rPr>
          <w:rStyle w:val="af3"/>
          <w:b w:val="0"/>
          <w:iCs w:val="0"/>
          <w:color w:val="auto"/>
        </w:rPr>
        <w:t xml:space="preserve"> υπηρεσιών πληρωμών.</w:t>
      </w:r>
    </w:p>
    <w:p w14:paraId="18E06F8B" w14:textId="77777777" w:rsidR="007B1E6D" w:rsidRPr="007B1E6D" w:rsidRDefault="007B1E6D" w:rsidP="007B1E6D">
      <w:pPr>
        <w:spacing w:before="240" w:line="360" w:lineRule="auto"/>
        <w:ind w:left="720"/>
        <w:rPr>
          <w:rStyle w:val="af3"/>
          <w:b w:val="0"/>
          <w:iCs w:val="0"/>
          <w:color w:val="auto"/>
        </w:rPr>
      </w:pPr>
      <w:r w:rsidRPr="007B1E6D">
        <w:rPr>
          <w:rStyle w:val="af3"/>
          <w:b w:val="0"/>
          <w:iCs w:val="0"/>
          <w:color w:val="auto"/>
        </w:rPr>
        <w:t>3. Με κοινή απόφαση των Υπουργών Οικονομικών, Περιβάλλοντος και Ενέργειας και του Διοικητή της ΑΑΔΕ, καθορίζονται οι προϋποθέσεις, οι όροι, η διαδικασία, καθώς και κάθε άλλη αναγκαία λεπτομέρεια για την εφαρμογή του παρόντος.»</w:t>
      </w:r>
    </w:p>
    <w:p w14:paraId="7523E812" w14:textId="77777777" w:rsidR="007B1E6D" w:rsidRPr="007B1E6D" w:rsidRDefault="007B1E6D" w:rsidP="007B1E6D">
      <w:pPr>
        <w:spacing w:before="240" w:line="360" w:lineRule="auto"/>
        <w:rPr>
          <w:rStyle w:val="af3"/>
          <w:b w:val="0"/>
          <w:i w:val="0"/>
          <w:iCs w:val="0"/>
          <w:color w:val="auto"/>
        </w:rPr>
      </w:pPr>
      <w:r w:rsidRPr="007B1E6D">
        <w:rPr>
          <w:rStyle w:val="af3"/>
          <w:i w:val="0"/>
          <w:iCs w:val="0"/>
          <w:color w:val="auto"/>
        </w:rPr>
        <w:t>Νόμος 4446/2016 (άρθρο 111, όπως αντικαταστάθηκε και ισχύει με το άρ.84 του Ν.4472/2017)</w:t>
      </w:r>
      <w:r>
        <w:rPr>
          <w:rStyle w:val="af3"/>
          <w:i w:val="0"/>
          <w:iCs w:val="0"/>
          <w:color w:val="auto"/>
        </w:rPr>
        <w:t xml:space="preserve"> </w:t>
      </w:r>
      <w:r w:rsidRPr="007B1E6D">
        <w:rPr>
          <w:rStyle w:val="af3"/>
          <w:b w:val="0"/>
          <w:i w:val="0"/>
          <w:iCs w:val="0"/>
          <w:color w:val="auto"/>
        </w:rPr>
        <w:t>όπου με το συγκεκριμένο μέτρο τίθενται το πλαίσιο μέσα στο οποίο αντιμετωπίζεται το θέμα των βραχυχρόνιων μισθώσεων.</w:t>
      </w:r>
    </w:p>
    <w:p w14:paraId="7D8B0185" w14:textId="77777777" w:rsidR="007B1E6D" w:rsidRPr="007B1E6D" w:rsidRDefault="007B1E6D" w:rsidP="007B1E6D">
      <w:pPr>
        <w:spacing w:before="240" w:line="360" w:lineRule="auto"/>
        <w:rPr>
          <w:rStyle w:val="af3"/>
          <w:b w:val="0"/>
          <w:i w:val="0"/>
          <w:iCs w:val="0"/>
          <w:color w:val="auto"/>
        </w:rPr>
      </w:pPr>
      <w:r w:rsidRPr="007B1E6D">
        <w:rPr>
          <w:rStyle w:val="af3"/>
          <w:b w:val="0"/>
          <w:i w:val="0"/>
          <w:iCs w:val="0"/>
          <w:color w:val="auto"/>
        </w:rPr>
        <w:t xml:space="preserve"> Κανονιστικό πλαίσιο για την αντιμετώπιση της αυθαίρετης δόμησης: Νόμος 4178/2013 (Αντιμετώπιση της Αυθαίρετης Δόμησης − Περιβαλλοντικό Ισοζύγιο και άλλες διατάξεις), Νόμος 4495/2017.</w:t>
      </w:r>
    </w:p>
    <w:p w14:paraId="58C64107" w14:textId="77777777" w:rsidR="007B1E6D" w:rsidRDefault="007B1E6D" w:rsidP="007B1E6D">
      <w:pPr>
        <w:spacing w:before="240" w:line="360" w:lineRule="auto"/>
        <w:rPr>
          <w:rStyle w:val="af3"/>
          <w:b w:val="0"/>
          <w:i w:val="0"/>
          <w:iCs w:val="0"/>
          <w:color w:val="auto"/>
        </w:rPr>
      </w:pPr>
      <w:r w:rsidRPr="007B1E6D">
        <w:rPr>
          <w:rStyle w:val="af3"/>
          <w:b w:val="0"/>
          <w:i w:val="0"/>
          <w:iCs w:val="0"/>
          <w:color w:val="auto"/>
        </w:rPr>
        <w:t>με το άρθρο 125 του Ν. 4495/2017</w:t>
      </w:r>
      <w:r>
        <w:rPr>
          <w:rStyle w:val="af3"/>
          <w:b w:val="0"/>
          <w:i w:val="0"/>
          <w:iCs w:val="0"/>
          <w:color w:val="auto"/>
        </w:rPr>
        <w:t xml:space="preserve"> </w:t>
      </w:r>
      <w:r w:rsidRPr="007B1E6D">
        <w:rPr>
          <w:rStyle w:val="af3"/>
          <w:b w:val="0"/>
          <w:i w:val="0"/>
          <w:iCs w:val="0"/>
          <w:color w:val="auto"/>
        </w:rPr>
        <w:t xml:space="preserve">καταργήθηκε </w:t>
      </w:r>
      <w:r>
        <w:rPr>
          <w:rStyle w:val="af3"/>
          <w:b w:val="0"/>
          <w:i w:val="0"/>
          <w:iCs w:val="0"/>
          <w:color w:val="auto"/>
        </w:rPr>
        <w:t>τ</w:t>
      </w:r>
      <w:r w:rsidRPr="007B1E6D">
        <w:rPr>
          <w:rStyle w:val="af3"/>
          <w:b w:val="0"/>
          <w:i w:val="0"/>
          <w:iCs w:val="0"/>
          <w:color w:val="auto"/>
        </w:rPr>
        <w:t>ο άρθρο 20 του Ν. 4178/2013 (ΦΕΚ Α, 174, 08-08-2013) «</w:t>
      </w:r>
      <w:r w:rsidRPr="007B1E6D">
        <w:rPr>
          <w:rStyle w:val="af3"/>
          <w:b w:val="0"/>
          <w:iCs w:val="0"/>
          <w:color w:val="auto"/>
        </w:rPr>
        <w:t>Αντιμετώπιση της Αυθαίρετης Δόμησης − Περιβαλλοντικό Ισοζύγιο και άλλες διατάξεις</w:t>
      </w:r>
      <w:r w:rsidRPr="007B1E6D">
        <w:rPr>
          <w:rStyle w:val="af3"/>
          <w:b w:val="0"/>
          <w:i w:val="0"/>
          <w:iCs w:val="0"/>
          <w:color w:val="auto"/>
        </w:rPr>
        <w:t>»</w:t>
      </w:r>
      <w:r>
        <w:rPr>
          <w:rStyle w:val="af3"/>
          <w:b w:val="0"/>
          <w:i w:val="0"/>
          <w:iCs w:val="0"/>
          <w:color w:val="auto"/>
        </w:rPr>
        <w:t>.</w:t>
      </w:r>
      <w:r w:rsidRPr="007B1E6D">
        <w:rPr>
          <w:rStyle w:val="af3"/>
          <w:b w:val="0"/>
          <w:i w:val="0"/>
          <w:iCs w:val="0"/>
          <w:color w:val="auto"/>
        </w:rPr>
        <w:t xml:space="preserve"> Με το άρθρο 104 του ίδιου νόμου δίνεται η δυνατότητα τα καταβληθέντα ποσά προστίμων ανέγερσης και διατήρησης, καθώς και καταβληθέντα ποσά ειδικών προστίμων διατήρησης ή και </w:t>
      </w:r>
      <w:proofErr w:type="spellStart"/>
      <w:r w:rsidRPr="007B1E6D">
        <w:rPr>
          <w:rStyle w:val="af3"/>
          <w:b w:val="0"/>
          <w:i w:val="0"/>
          <w:iCs w:val="0"/>
          <w:color w:val="auto"/>
        </w:rPr>
        <w:t>παραβόλων</w:t>
      </w:r>
      <w:proofErr w:type="spellEnd"/>
      <w:r w:rsidRPr="007B1E6D">
        <w:rPr>
          <w:rStyle w:val="af3"/>
          <w:b w:val="0"/>
          <w:i w:val="0"/>
          <w:iCs w:val="0"/>
          <w:color w:val="auto"/>
        </w:rPr>
        <w:t>, να συμψηφίζονται με το ποσό του ενιαίου ειδικού προστίμου.</w:t>
      </w:r>
    </w:p>
    <w:p w14:paraId="48B9912B" w14:textId="77777777" w:rsidR="00E26165" w:rsidRPr="001A5251" w:rsidRDefault="00E26165" w:rsidP="00524440">
      <w:pPr>
        <w:spacing w:before="240" w:line="360" w:lineRule="auto"/>
      </w:pPr>
      <w:r w:rsidRPr="00CF4C76">
        <w:rPr>
          <w:rStyle w:val="af3"/>
        </w:rPr>
        <w:t>Νόμος 4342/</w:t>
      </w:r>
      <w:r w:rsidR="001978A0">
        <w:rPr>
          <w:rStyle w:val="af3"/>
        </w:rPr>
        <w:t>0</w:t>
      </w:r>
      <w:r w:rsidRPr="00CF4C76">
        <w:rPr>
          <w:rStyle w:val="af3"/>
        </w:rPr>
        <w:t>9.11.2015 «Συνταξιοδοτικές ρυθμίσεις, ενσωμάτωση στο Ελληνικό Δίκαιο της Οδηγίας 2012/27/</w:t>
      </w:r>
      <w:r w:rsidR="0062368F">
        <w:rPr>
          <w:rStyle w:val="af3"/>
        </w:rPr>
        <w:t>Ε.Ε.</w:t>
      </w:r>
      <w:r w:rsidRPr="001A5251">
        <w:rPr>
          <w:rStyle w:val="af3"/>
        </w:rPr>
        <w:t xml:space="preserve"> </w:t>
      </w:r>
      <w:r w:rsidRPr="001A5251">
        <w:t>του Ευρωπαϊκού Κοινοβουλίου και του Συμβουλίου της 25ης Οκτωβρίου 2012 “Για την ενεργειακή απόδοση, την τροποποίηση των Οδηγιών 2009/125/ΕΚ και 2010/30/</w:t>
      </w:r>
      <w:r w:rsidR="0062368F">
        <w:t>Ε.Ε.</w:t>
      </w:r>
      <w:r w:rsidRPr="001A5251">
        <w:t xml:space="preserve"> </w:t>
      </w:r>
      <w:r w:rsidRPr="001A5251">
        <w:lastRenderedPageBreak/>
        <w:t>και την κατάργηση των Οδηγιών 2004/8/ΕΚ και 2006/32/ΕΚ”, όπως τροποποιήθηκε από την Οδηγία 2013/12/</w:t>
      </w:r>
      <w:r w:rsidR="0062368F">
        <w:t>Ε.Ε.</w:t>
      </w:r>
      <w:r w:rsidRPr="001A5251">
        <w:t xml:space="preserve"> του Συμβουλίου της 13ης Μαΐου 2013 “Για την προσαρμογή της Οδηγίας 2012/27/</w:t>
      </w:r>
      <w:r w:rsidR="0062368F">
        <w:t>Ε.Ε.</w:t>
      </w:r>
      <w:r w:rsidRPr="001A5251">
        <w:t xml:space="preserve"> του Ευρωπαϊκού Κοινοβουλίου και του Συμβουλίου για την ενεργειακή απόδοση, λόγω της προσχώρησης της Δημοκρατίας της Κροατίας” και άλλες διατάξεις»</w:t>
      </w:r>
    </w:p>
    <w:p w14:paraId="1203007B" w14:textId="77777777" w:rsidR="00E26165" w:rsidRPr="001A5251" w:rsidRDefault="00E26165" w:rsidP="00524440">
      <w:pPr>
        <w:spacing w:line="360" w:lineRule="auto"/>
      </w:pPr>
      <w:r w:rsidRPr="001A5251">
        <w:t>Η ενσωμάτωση της Οδηγίας 201</w:t>
      </w:r>
      <w:r>
        <w:t>2</w:t>
      </w:r>
      <w:r w:rsidRPr="001A5251">
        <w:t>/27/</w:t>
      </w:r>
      <w:r w:rsidR="0062368F">
        <w:t>Ε.Ε.</w:t>
      </w:r>
      <w:r w:rsidRPr="001A5251">
        <w:t xml:space="preserve"> στο Ελληνικό Δίκαιο αποσκοπεί στην προώθηση της ενεργειακής απόδοσης στα κράτη μέλη της </w:t>
      </w:r>
      <w:r w:rsidR="0062368F">
        <w:t>Ε.Ε.</w:t>
      </w:r>
      <w:r w:rsidRPr="001A5251">
        <w:t xml:space="preserve"> με τη θέσπιση ενός κοινού πλαισίου μέτρων πολιτικής και δράσεων. Με το νόμο 4342/2015 καθορίζεται εθνικός ενδεικτικός στόχος ενεργειακής απόδοσης, καθώς επίσης και κανόνες, μέτρα και ειδικές δράσεις για την επίτευξη του στόχου και την εξοικονόμηση ενέργειας σε όλους τους τομείς οικονομικής δραστηριότητας.</w:t>
      </w:r>
    </w:p>
    <w:p w14:paraId="18362AB4" w14:textId="77777777" w:rsidR="00917751" w:rsidRDefault="00917751" w:rsidP="00524440">
      <w:pPr>
        <w:spacing w:before="240" w:line="360" w:lineRule="auto"/>
      </w:pPr>
      <w:r w:rsidRPr="00917751">
        <w:rPr>
          <w:rStyle w:val="af4"/>
        </w:rPr>
        <w:t>Νόμος 4495/ 2017 «Έλεγχος και προστασία του Δομημένου Περιβάλλοντος και άλλες διατάξεις»,</w:t>
      </w:r>
      <w:r>
        <w:t xml:space="preserve"> όπου ορίζεται σε ποιες περιπτώσεις απαιτείται ή δεν απαιτείται κατά παρέκκλιση άδεια μικρής κλίμακας για τις παρεμβάσεις του </w:t>
      </w:r>
      <w:r w:rsidR="00971D9A">
        <w:t>Προγράμματος</w:t>
      </w:r>
      <w:r>
        <w:t xml:space="preserve"> Εξοικονομώ.</w:t>
      </w:r>
    </w:p>
    <w:p w14:paraId="711101D2" w14:textId="77777777" w:rsidR="00F81494" w:rsidRPr="001A5251" w:rsidRDefault="00E26165" w:rsidP="00524440">
      <w:pPr>
        <w:spacing w:before="240" w:line="360" w:lineRule="auto"/>
      </w:pPr>
      <w:r w:rsidRPr="00CF4C76">
        <w:rPr>
          <w:rStyle w:val="af3"/>
        </w:rPr>
        <w:t>Π.Δ.100/2010, "Ενεργειακοί Επιθεωρητές κτιρίων, λεβήτων και εγκαταστάσεων θέρμανσης</w:t>
      </w:r>
      <w:r w:rsidRPr="001A5251">
        <w:rPr>
          <w:rStyle w:val="af3"/>
          <w:b w:val="0"/>
        </w:rPr>
        <w:t xml:space="preserve"> </w:t>
      </w:r>
      <w:r w:rsidRPr="001A5251">
        <w:t xml:space="preserve">και εγκαταστάσεων κλιματισμού" Καθορίζει τα προσόντα των ενεργειακών επιθεωρητών και τη διαδικασία εγγραφής τους στο Μητρώο Ενεργειακών Επιθεωρητών, όπως έχει τροποποιηθεί και ισχύει με τον Νόμο 4111/2013 (ΦΕΚ Α’ 18/25.01.2013) «Συνταξιοδοτικές </w:t>
      </w:r>
      <w:proofErr w:type="spellStart"/>
      <w:r w:rsidRPr="001A5251">
        <w:t>ρυθµίσεις</w:t>
      </w:r>
      <w:proofErr w:type="spellEnd"/>
      <w:r w:rsidRPr="001A5251">
        <w:t>, τροποποιήσεις του ν. 4093/ 2012…….»</w:t>
      </w:r>
    </w:p>
    <w:p w14:paraId="347FCB9A" w14:textId="77777777" w:rsidR="000215E5" w:rsidRPr="001A5251" w:rsidRDefault="000215E5" w:rsidP="00524440">
      <w:pPr>
        <w:spacing w:before="240" w:line="360" w:lineRule="auto"/>
      </w:pPr>
      <w:r w:rsidRPr="00CF4C76">
        <w:rPr>
          <w:rStyle w:val="af3"/>
        </w:rPr>
        <w:t>Οι ΥΑ 16094/08</w:t>
      </w:r>
      <w:r w:rsidR="001978A0">
        <w:rPr>
          <w:rStyle w:val="af3"/>
        </w:rPr>
        <w:t>.</w:t>
      </w:r>
      <w:r w:rsidRPr="00CF4C76">
        <w:rPr>
          <w:rStyle w:val="af3"/>
        </w:rPr>
        <w:t>04</w:t>
      </w:r>
      <w:r w:rsidR="001978A0">
        <w:rPr>
          <w:rStyle w:val="af3"/>
        </w:rPr>
        <w:t>.</w:t>
      </w:r>
      <w:r w:rsidRPr="00CF4C76">
        <w:rPr>
          <w:rStyle w:val="af3"/>
        </w:rPr>
        <w:t>2008 (ΦΕΚ Β</w:t>
      </w:r>
      <w:r w:rsidR="007B7D6A">
        <w:rPr>
          <w:rStyle w:val="af3"/>
        </w:rPr>
        <w:t>’</w:t>
      </w:r>
      <w:r w:rsidRPr="00CF4C76">
        <w:rPr>
          <w:rStyle w:val="af3"/>
        </w:rPr>
        <w:t xml:space="preserve"> 917) και 16095/08</w:t>
      </w:r>
      <w:r w:rsidR="001978A0">
        <w:rPr>
          <w:rStyle w:val="af3"/>
        </w:rPr>
        <w:t>.</w:t>
      </w:r>
      <w:r w:rsidRPr="00CF4C76">
        <w:rPr>
          <w:rStyle w:val="af3"/>
        </w:rPr>
        <w:t>04</w:t>
      </w:r>
      <w:r w:rsidR="001978A0">
        <w:rPr>
          <w:rStyle w:val="af3"/>
        </w:rPr>
        <w:t>.</w:t>
      </w:r>
      <w:r w:rsidRPr="00CF4C76">
        <w:rPr>
          <w:rStyle w:val="af3"/>
        </w:rPr>
        <w:t>2008 (ΦΕΚ Β</w:t>
      </w:r>
      <w:r w:rsidR="007B7D6A">
        <w:rPr>
          <w:rStyle w:val="af3"/>
        </w:rPr>
        <w:t>’</w:t>
      </w:r>
      <w:r w:rsidRPr="00CF4C76">
        <w:rPr>
          <w:rStyle w:val="af3"/>
        </w:rPr>
        <w:t xml:space="preserve"> 925)</w:t>
      </w:r>
      <w:r w:rsidRPr="001A5251">
        <w:rPr>
          <w:rStyle w:val="af3"/>
          <w:b w:val="0"/>
        </w:rPr>
        <w:t xml:space="preserve"> </w:t>
      </w:r>
      <w:r w:rsidRPr="00CF4C76">
        <w:rPr>
          <w:rStyle w:val="af3"/>
        </w:rPr>
        <w:t>του Υφυπουργού Περιβάλλοντος, Χωροταξίας και Δημοσίων Έργων</w:t>
      </w:r>
      <w:r w:rsidRPr="00CF4C76">
        <w:t xml:space="preserve">. </w:t>
      </w:r>
      <w:r w:rsidRPr="001A5251">
        <w:t xml:space="preserve">Οι αποφάσεις αυτές ενσωματώνουν τα </w:t>
      </w:r>
      <w:proofErr w:type="spellStart"/>
      <w:r w:rsidRPr="001A5251">
        <w:t>φωτοβολταϊκά</w:t>
      </w:r>
      <w:proofErr w:type="spellEnd"/>
      <w:r w:rsidRPr="001A5251">
        <w:t xml:space="preserve"> συστήματα στις διατάξεις που ήδη ισχύουν για τους ηλιακούς συλλέκτες.</w:t>
      </w:r>
    </w:p>
    <w:p w14:paraId="25B2A598" w14:textId="77777777" w:rsidR="00A16A4E" w:rsidRPr="001A5251" w:rsidRDefault="00A16A4E" w:rsidP="00524440">
      <w:pPr>
        <w:spacing w:before="240" w:line="360" w:lineRule="auto"/>
      </w:pPr>
      <w:r w:rsidRPr="001A5251">
        <w:rPr>
          <w:rStyle w:val="af3"/>
        </w:rPr>
        <w:t xml:space="preserve"> </w:t>
      </w:r>
      <w:r w:rsidRPr="00CF4C76">
        <w:rPr>
          <w:rStyle w:val="af3"/>
        </w:rPr>
        <w:t>ΥΑ Α6/Β/14826/17</w:t>
      </w:r>
      <w:r w:rsidR="00E5630E">
        <w:rPr>
          <w:rStyle w:val="af3"/>
        </w:rPr>
        <w:t>.06.</w:t>
      </w:r>
      <w:r w:rsidRPr="00CF4C76">
        <w:rPr>
          <w:rStyle w:val="af3"/>
        </w:rPr>
        <w:t>2008, «Μέτρα για τη βελτίωση της ενεργειακής απόδοσης</w:t>
      </w:r>
      <w:r w:rsidRPr="001A5251">
        <w:rPr>
          <w:color w:val="39302A" w:themeColor="text2"/>
        </w:rPr>
        <w:t xml:space="preserve"> </w:t>
      </w:r>
      <w:r w:rsidRPr="001A5251">
        <w:t>και την εξοικονόμηση ενέργειας στο δημόσιο και ευρύτερο δημόσιο τομέα" Όπου μεταξύ άλλων προβλέπεται η υποχρεωτική σύνδεση με το δίκτυο φυσικού αερίου και η υποχρέωση ορισμού ενεργειακών υπευθύνων στα δημόσια κτίρια.</w:t>
      </w:r>
    </w:p>
    <w:p w14:paraId="5187791B" w14:textId="77777777" w:rsidR="000215E5" w:rsidRPr="001A5251" w:rsidRDefault="000215E5" w:rsidP="00524440">
      <w:pPr>
        <w:spacing w:before="240" w:line="360" w:lineRule="auto"/>
      </w:pPr>
      <w:r w:rsidRPr="00CF4C76">
        <w:rPr>
          <w:rStyle w:val="af3"/>
        </w:rPr>
        <w:t>ΥΑ Δ9ΒΔ/Φ166/οικ.13068/11.06.2009</w:t>
      </w:r>
      <w:r w:rsidRPr="00CF4C76">
        <w:t>,</w:t>
      </w:r>
      <w:r w:rsidRPr="001A5251">
        <w:t xml:space="preserve"> η οποία καθορίζει, απλοποιεί και διευκολύνει τη διαδικασία </w:t>
      </w:r>
      <w:proofErr w:type="spellStart"/>
      <w:r w:rsidRPr="001A5251">
        <w:t>αδειοδότησης</w:t>
      </w:r>
      <w:proofErr w:type="spellEnd"/>
      <w:r w:rsidRPr="001A5251">
        <w:t xml:space="preserve"> και το πλαίσιο για την αξιοποίηση των γεωθερμικών πόρων για ιδία χρήση μέσω ενεργειακών συστημάτων (γεωθερμικών αντλιών θερμότητας) για τη θέρμανση και ψύξη των χώρων ενός κτιρίου</w:t>
      </w:r>
    </w:p>
    <w:p w14:paraId="553DE630" w14:textId="77777777" w:rsidR="00A16A4E" w:rsidRPr="001A5251" w:rsidRDefault="00A16A4E" w:rsidP="00524440">
      <w:pPr>
        <w:spacing w:before="240" w:line="360" w:lineRule="auto"/>
      </w:pPr>
      <w:r w:rsidRPr="00CF4C76">
        <w:rPr>
          <w:rStyle w:val="af3"/>
        </w:rPr>
        <w:t>ΥΑ ΥΠΑΝ/Δ5-ΗΛ/Γ/Φ1/οικ.15606 &amp; 15641/15</w:t>
      </w:r>
      <w:r w:rsidR="00E5630E">
        <w:rPr>
          <w:rStyle w:val="af3"/>
        </w:rPr>
        <w:t>.07.</w:t>
      </w:r>
      <w:r w:rsidRPr="00CF4C76">
        <w:rPr>
          <w:rStyle w:val="af3"/>
        </w:rPr>
        <w:t xml:space="preserve">2009, "Καθορισμός εναρμονισμένων τιμών αναφοράς των βαθμών απόδοσης </w:t>
      </w:r>
      <w:r w:rsidRPr="001A5251">
        <w:rPr>
          <w:rStyle w:val="af3"/>
        </w:rPr>
        <w:t xml:space="preserve">για τη χωριστή παραγωγή ηλεκτρικής και θερμικής </w:t>
      </w:r>
      <w:r w:rsidRPr="001A5251">
        <w:rPr>
          <w:rStyle w:val="af3"/>
        </w:rPr>
        <w:lastRenderedPageBreak/>
        <w:t>Ενέργειας"</w:t>
      </w:r>
      <w:r w:rsidRPr="001A5251">
        <w:t xml:space="preserve"> και "Καθορισμός λεπτομερειών της μεθόδου υπολογισμού της ηλεκτρικής ενέργειας από συμπαραγωγή και της αποδοτικότητας συμπαραγωγής" </w:t>
      </w:r>
    </w:p>
    <w:p w14:paraId="42B4900F" w14:textId="77777777" w:rsidR="00A16A4E" w:rsidRDefault="00A16A4E" w:rsidP="00524440">
      <w:pPr>
        <w:spacing w:before="240" w:line="360" w:lineRule="auto"/>
      </w:pPr>
      <w:r w:rsidRPr="00CF4C76">
        <w:rPr>
          <w:rStyle w:val="af3"/>
        </w:rPr>
        <w:t xml:space="preserve">ΚΥΑ Δ6/Β/οικ.5825/ </w:t>
      </w:r>
      <w:r w:rsidR="001978A0">
        <w:rPr>
          <w:rStyle w:val="af3"/>
        </w:rPr>
        <w:t>0</w:t>
      </w:r>
      <w:r w:rsidRPr="00CF4C76">
        <w:rPr>
          <w:rStyle w:val="af3"/>
        </w:rPr>
        <w:t>9</w:t>
      </w:r>
      <w:r w:rsidR="00E5630E">
        <w:rPr>
          <w:rStyle w:val="af3"/>
        </w:rPr>
        <w:t>.04.</w:t>
      </w:r>
      <w:r w:rsidRPr="00CF4C76">
        <w:rPr>
          <w:rStyle w:val="af3"/>
        </w:rPr>
        <w:t>2010, "Έγκριση Κανονισμού Ενεργειακής Απόδοσης των Κτιρίων"</w:t>
      </w:r>
      <w:r w:rsidRPr="001A5251">
        <w:rPr>
          <w:rStyle w:val="af3"/>
        </w:rPr>
        <w:t xml:space="preserve"> </w:t>
      </w:r>
      <w:r w:rsidRPr="001A5251">
        <w:t xml:space="preserve">Ο "Κανονισμός Ενεργειακής Απόδοσης των Κτιρίων" (ΚΕΝΑΚ) καθορίζει τις ελάχιστες απαιτήσεις ενεργειακής απόδοσης των κτιρίων και τη διαδικασία των ενεργειακών επιθεωρήσεων των κτιρίων και των συστημάτων θέρμανσης και κλιματισμού. </w:t>
      </w:r>
      <w:r w:rsidR="00007010">
        <w:t xml:space="preserve">Ο κανονισμός τροποποιήθηκε με την </w:t>
      </w:r>
      <w:r w:rsidR="00007010" w:rsidRPr="00007010">
        <w:rPr>
          <w:rStyle w:val="af4"/>
        </w:rPr>
        <w:t>ΔΕΠΕΑ/οικ.178581/30</w:t>
      </w:r>
      <w:r w:rsidR="00E5630E">
        <w:rPr>
          <w:rStyle w:val="af4"/>
        </w:rPr>
        <w:t>.06.</w:t>
      </w:r>
      <w:r w:rsidR="00007010" w:rsidRPr="00007010">
        <w:rPr>
          <w:rStyle w:val="af4"/>
        </w:rPr>
        <w:t>2017 (Β΄ 2367/12</w:t>
      </w:r>
      <w:r w:rsidR="00E5630E">
        <w:rPr>
          <w:rStyle w:val="af4"/>
        </w:rPr>
        <w:t>.07.</w:t>
      </w:r>
      <w:r w:rsidR="00007010" w:rsidRPr="00007010">
        <w:rPr>
          <w:rStyle w:val="af4"/>
        </w:rPr>
        <w:t>2017) κοινή απόφαση των Υπουργών Οικονομικών και Περιβάλλοντος και Ενέργειας σχετικά με την Έγκριση Κανονισμού Ενεργειακής Απόδοσης Κτιρίων</w:t>
      </w:r>
      <w:r w:rsidR="00007010">
        <w:t>.</w:t>
      </w:r>
    </w:p>
    <w:p w14:paraId="24077A60" w14:textId="77777777" w:rsidR="004C58DB" w:rsidRDefault="004C58DB" w:rsidP="004C58DB">
      <w:pPr>
        <w:spacing w:before="240" w:line="360" w:lineRule="auto"/>
      </w:pPr>
      <w:r>
        <w:t xml:space="preserve">Με τον ΚΕΝΑΚ θεσμοθετήθηκε ο ολοκληρωμένος ενεργειακός σχεδιασμός στον κτιριακό τομέα με σκοπό τη βελτίωση της ενεργειακής απόδοσής των κτιρίων, την εξοικονόμηση ενέργειας και την προστασία του περιβάλλοντος με συγκεκριμένες δράσεις: </w:t>
      </w:r>
    </w:p>
    <w:p w14:paraId="4DEE7011" w14:textId="77777777" w:rsidR="004C58DB" w:rsidRDefault="004C58DB" w:rsidP="004C58DB">
      <w:pPr>
        <w:spacing w:before="240" w:line="360" w:lineRule="auto"/>
      </w:pPr>
      <w:r>
        <w:t xml:space="preserve">1. Εκπόνηση Μελέτης Ενεργειακής Απόδοσης Κτιρίων </w:t>
      </w:r>
    </w:p>
    <w:p w14:paraId="4F4E290C" w14:textId="77777777" w:rsidR="004C58DB" w:rsidRDefault="004C58DB" w:rsidP="004C58DB">
      <w:pPr>
        <w:spacing w:before="240" w:line="360" w:lineRule="auto"/>
      </w:pPr>
      <w:r>
        <w:t xml:space="preserve">2. Θέσπιση ελάχιστων απαιτήσεων ενεργειακής απόδοσης κτιρίων </w:t>
      </w:r>
    </w:p>
    <w:p w14:paraId="04898848" w14:textId="77777777" w:rsidR="004C58DB" w:rsidRDefault="004C58DB" w:rsidP="004C58DB">
      <w:pPr>
        <w:spacing w:before="240" w:line="360" w:lineRule="auto"/>
      </w:pPr>
      <w:r>
        <w:t xml:space="preserve">3. Ενεργειακή Κατάταξη Κτιρίων (Πιστοποιητικό Ενεργειακής Απόδοσης - ΠΕΑ) </w:t>
      </w:r>
    </w:p>
    <w:p w14:paraId="2B3DDA3F" w14:textId="77777777" w:rsidR="004C58DB" w:rsidRDefault="004C58DB" w:rsidP="004C58DB">
      <w:pPr>
        <w:spacing w:before="240" w:line="360" w:lineRule="auto"/>
      </w:pPr>
      <w:r>
        <w:t xml:space="preserve">4. Ενεργειακές Επιθεωρήσεις κτιρίων, λεβήτων και εγκαταστάσεων θέρμανσης και κλιματισμού </w:t>
      </w:r>
    </w:p>
    <w:p w14:paraId="7EEA5D2D" w14:textId="77777777" w:rsidR="004C58DB" w:rsidRDefault="004C58DB" w:rsidP="004C58DB">
      <w:pPr>
        <w:spacing w:before="240" w:line="360" w:lineRule="auto"/>
      </w:pPr>
      <w:r>
        <w:t xml:space="preserve">Το ΠΕΑ (πιστοποιητικό ενεργειακής απόδοσης) περιλαμβάνει, μεταξύ άλλων, τα αποτελέσματα της αξιολόγησης του ενεργειακού επιθεωρητή και συστάσεις για τη βελτίωση της ενεργειακής απόδοσης του κτιρίου, ώστε οι χρήστες να είναι σε θέση να συγκρίνουν και να αξιολογήσουν την πραγματική τους κατανάλωση και τις τυχόν δυνατότητες βελτίωσης της ενεργειακής απόδοσης. </w:t>
      </w:r>
    </w:p>
    <w:p w14:paraId="000593B1" w14:textId="77777777" w:rsidR="004C58DB" w:rsidRDefault="004C58DB" w:rsidP="004C58DB">
      <w:pPr>
        <w:spacing w:before="240" w:line="360" w:lineRule="auto"/>
      </w:pPr>
      <w:r>
        <w:t xml:space="preserve">Η έκδοση του πιστοποιητικού είναι υποχρεωτική σε αγοραπωλησίες και μισθώσεις κτιρίων άνω των 50 </w:t>
      </w:r>
      <w:proofErr w:type="spellStart"/>
      <w:r>
        <w:t>τμ</w:t>
      </w:r>
      <w:proofErr w:type="spellEnd"/>
      <w:r>
        <w:t xml:space="preserve">, ενώ στα χρηματοδοτικά </w:t>
      </w:r>
      <w:r w:rsidR="00E5630E">
        <w:t>Προγράμματ</w:t>
      </w:r>
      <w:r>
        <w:t xml:space="preserve">α που αφορούν στην ενεργειακή αναβάθμιση κτιρίων (δημοσίων είτε ιδιωτικών) τα ΠΕΑ χρησιμοποιούνται ως εργαλείο επαλήθευσης των παρεμβάσεων και της βελτίωσης της ενεργειακής απόδοσης. </w:t>
      </w:r>
    </w:p>
    <w:p w14:paraId="70FFA904" w14:textId="77777777" w:rsidR="004C58DB" w:rsidRDefault="004C58DB" w:rsidP="004C58DB">
      <w:pPr>
        <w:spacing w:before="240" w:line="360" w:lineRule="auto"/>
      </w:pPr>
      <w:r>
        <w:t xml:space="preserve">Στο πλαίσιο του </w:t>
      </w:r>
      <w:r w:rsidR="00971D9A">
        <w:t>Προγράμματος</w:t>
      </w:r>
      <w:r>
        <w:t xml:space="preserve"> «εξοικονόμηση </w:t>
      </w:r>
      <w:proofErr w:type="spellStart"/>
      <w:r>
        <w:t>κατ΄οίκον</w:t>
      </w:r>
      <w:proofErr w:type="spellEnd"/>
      <w:r>
        <w:t xml:space="preserve">» της </w:t>
      </w:r>
      <w:r w:rsidR="00EB38B3">
        <w:t>Περιόδου</w:t>
      </w:r>
      <w:r>
        <w:t xml:space="preserve"> 2010-2015 ήταν απαραίτητη η εκπόνηση </w:t>
      </w:r>
      <w:proofErr w:type="spellStart"/>
      <w:r>
        <w:t>ex</w:t>
      </w:r>
      <w:proofErr w:type="spellEnd"/>
      <w:r>
        <w:t xml:space="preserve"> </w:t>
      </w:r>
      <w:proofErr w:type="spellStart"/>
      <w:r>
        <w:t>ante</w:t>
      </w:r>
      <w:proofErr w:type="spellEnd"/>
      <w:r>
        <w:t xml:space="preserve"> και </w:t>
      </w:r>
      <w:proofErr w:type="spellStart"/>
      <w:r>
        <w:t>ex</w:t>
      </w:r>
      <w:proofErr w:type="spellEnd"/>
      <w:r>
        <w:t xml:space="preserve"> post ενεργειακής επιθεώρησης, ως εργαλείο διάγνωσης της ενεργειακής κατάστασης των υφιστάμενων κτιρίων και αποτίμησης των αποτελεσμάτων των παρεμβάσεων. </w:t>
      </w:r>
    </w:p>
    <w:p w14:paraId="1B03F5BE" w14:textId="77777777" w:rsidR="004C58DB" w:rsidRPr="001A5251" w:rsidRDefault="004C58DB" w:rsidP="004C58DB">
      <w:pPr>
        <w:spacing w:before="240" w:line="360" w:lineRule="auto"/>
      </w:pPr>
      <w:r>
        <w:lastRenderedPageBreak/>
        <w:t>Με το νέο κανονιστικό πλαίσιο πού έχει δημιουργηθεί τα τελευταία χρόνια, η ενεργειακή απόδοση των κτιρίων έχει βελτιωθεί τόσο στα νέα όσο και στα υφιστάμενα κτίρια που ανακαινίζονται, καθώς έχουν τεθεί ελάχιστες απαιτήσεις ενεργειακής απόδοσης του κελύφους και των ηλεκτρομηχανολογικών εγκαταστάσεων.</w:t>
      </w:r>
    </w:p>
    <w:p w14:paraId="01F74209" w14:textId="77777777" w:rsidR="00B35D76" w:rsidRPr="001A5251" w:rsidRDefault="00B35D76" w:rsidP="00524440">
      <w:pPr>
        <w:spacing w:before="240" w:line="360" w:lineRule="auto"/>
      </w:pPr>
      <w:r w:rsidRPr="00760E6E">
        <w:rPr>
          <w:rStyle w:val="af3"/>
        </w:rPr>
        <w:t>ΥΑ Δ6/7094/23</w:t>
      </w:r>
      <w:r w:rsidR="00E5630E">
        <w:rPr>
          <w:rStyle w:val="af3"/>
        </w:rPr>
        <w:t>.05.</w:t>
      </w:r>
      <w:r w:rsidRPr="00760E6E">
        <w:rPr>
          <w:rStyle w:val="af3"/>
        </w:rPr>
        <w:t>2011</w:t>
      </w:r>
      <w:r w:rsidRPr="001A5251">
        <w:rPr>
          <w:rStyle w:val="af3"/>
          <w:b w:val="0"/>
        </w:rPr>
        <w:t>,</w:t>
      </w:r>
      <w:r w:rsidRPr="001A5251">
        <w:rPr>
          <w:color w:val="39302A" w:themeColor="text2"/>
        </w:rPr>
        <w:t xml:space="preserve"> </w:t>
      </w:r>
      <w:r w:rsidRPr="001A5251">
        <w:t>"Πλαίσιο μεθοδολογίας μέτρησης και επαλήθευσης της εξοικονομούμενης ενέργειας για την επίτευξη του ενδεικτικού εθνικού στόχου εξοικονόμησης ενέργειας στην τελική χρήση - Κατάλογος ενδεικτικών επιλέξιμων μέτρων βελτίωσης της ενεργειακής απόδοσης. Ενεργειακό περιεχόμενο καυσίμων για τελική χρήση". Με τις διατάξεις της υπουργικής απόφασης καθορίζονται:</w:t>
      </w:r>
    </w:p>
    <w:p w14:paraId="05ACF5BE" w14:textId="77777777" w:rsidR="00B35D76" w:rsidRPr="001A5251" w:rsidRDefault="00B35D76" w:rsidP="00524440">
      <w:pPr>
        <w:spacing w:line="360" w:lineRule="auto"/>
      </w:pPr>
      <w:r w:rsidRPr="001A5251">
        <w:t>α) ο τρόπος και η διαδικασία για τη μέτρηση και την επαλήθευση της εξοικονόμησης ενέργειας, καθώς και η περιγραφή της μεθοδολογίας μέτρησης και επαλήθευσης της εξοικονομούμενης ενέργειας,</w:t>
      </w:r>
    </w:p>
    <w:p w14:paraId="575C1C6B" w14:textId="77777777" w:rsidR="00B35D76" w:rsidRPr="001A5251" w:rsidRDefault="00B35D76" w:rsidP="00524440">
      <w:pPr>
        <w:spacing w:line="360" w:lineRule="auto"/>
      </w:pPr>
      <w:r w:rsidRPr="001A5251">
        <w:t>β) κατάλογος ενδεικτικών επιλέξιμων μέτρων βελτίωσης της ενεργειακής απόδοσης και</w:t>
      </w:r>
    </w:p>
    <w:p w14:paraId="03BB0DA8" w14:textId="77777777" w:rsidR="00B35D76" w:rsidRPr="001A5251" w:rsidRDefault="00B35D76" w:rsidP="00524440">
      <w:pPr>
        <w:spacing w:line="360" w:lineRule="auto"/>
      </w:pPr>
      <w:r w:rsidRPr="001A5251">
        <w:t>γ) το ενεργειακό περιεχόμενο των καυσίμων για τελική χρήση και ο πίνακας μετατροπής τους.</w:t>
      </w:r>
    </w:p>
    <w:p w14:paraId="3A079397" w14:textId="77777777" w:rsidR="00B35D76" w:rsidRPr="001A5251" w:rsidRDefault="00B35D76" w:rsidP="00524440">
      <w:pPr>
        <w:spacing w:line="360" w:lineRule="auto"/>
      </w:pPr>
      <w:r w:rsidRPr="001A5251">
        <w:t>Τα παραπάνω αξιοποιούνται για την επαλήθευση της εξοικονόμησης ενέργειας που επιτυγχάνεται με την εφαρμογή των μέτρων βελτίωσης της ενεργειακής απόδοσης στην τελική κατανάλωση. Τα μέτρα αυτά περιγράφονται στο πρώτο εθνικό Σχέδιο Δράσης Ενεργειακής Απόδοσης (ΣΔΕΑ), για την επίτευξη του ενδεικτικού εθνικού στόχου εξοικονόμησης ενέργειας στην τελική κατανάλωση, λαμβάνοντας υπόψη μετρήσεις που έγιναν από την 1η Ιανουαρίου 2008 και θα συνεχιστούν μέχρι την 31η Δεκεμβρίου 2016.</w:t>
      </w:r>
    </w:p>
    <w:p w14:paraId="4FB5CC1D" w14:textId="77777777" w:rsidR="00555B80" w:rsidRPr="001A5251" w:rsidRDefault="00555B80" w:rsidP="00524440">
      <w:pPr>
        <w:spacing w:before="240" w:line="360" w:lineRule="auto"/>
      </w:pPr>
      <w:r w:rsidRPr="00CF4C76">
        <w:rPr>
          <w:rStyle w:val="af3"/>
        </w:rPr>
        <w:t>ΥΑ Δ6/13280/</w:t>
      </w:r>
      <w:r w:rsidR="001978A0">
        <w:rPr>
          <w:rStyle w:val="af3"/>
        </w:rPr>
        <w:t>0</w:t>
      </w:r>
      <w:r w:rsidRPr="00CF4C76">
        <w:rPr>
          <w:rStyle w:val="af3"/>
        </w:rPr>
        <w:t>7</w:t>
      </w:r>
      <w:r w:rsidR="00E5630E">
        <w:rPr>
          <w:rStyle w:val="af3"/>
        </w:rPr>
        <w:t>.06.</w:t>
      </w:r>
      <w:r w:rsidRPr="00CF4C76">
        <w:rPr>
          <w:rStyle w:val="af3"/>
        </w:rPr>
        <w:t>2011, "Επιχειρήσεις Ενεργειακών Υπηρεσιών. Λειτουργία, Μητρώο, Κώδικας Δεοντολογίας και συναφείς διατάξεις".</w:t>
      </w:r>
      <w:r w:rsidRPr="00CF4C76">
        <w:rPr>
          <w:color w:val="39302A" w:themeColor="text2"/>
        </w:rPr>
        <w:t xml:space="preserve"> </w:t>
      </w:r>
      <w:r w:rsidRPr="001A5251">
        <w:t xml:space="preserve">Η υπουργική απόφαση καθορίζει τα κριτήρια των </w:t>
      </w:r>
      <w:r w:rsidR="0062368F">
        <w:t>Ε.Ε.</w:t>
      </w:r>
      <w:r w:rsidRPr="001A5251">
        <w:t>Υ, καθώς και τη διαδικασία εγγραφής στο Μητρώο των Επιχειρήσεων Ενεργειακών Υπηρεσιών.</w:t>
      </w:r>
    </w:p>
    <w:p w14:paraId="0C646096" w14:textId="77777777" w:rsidR="00A16A4E" w:rsidRPr="001A5251" w:rsidRDefault="00A16A4E" w:rsidP="00524440">
      <w:pPr>
        <w:spacing w:before="240" w:line="360" w:lineRule="auto"/>
      </w:pPr>
      <w:r w:rsidRPr="00CF4C76">
        <w:rPr>
          <w:rStyle w:val="af3"/>
        </w:rPr>
        <w:t>ΥΑ 42554/15</w:t>
      </w:r>
      <w:r w:rsidR="00E5630E">
        <w:rPr>
          <w:rStyle w:val="af3"/>
        </w:rPr>
        <w:t>.09.</w:t>
      </w:r>
      <w:r w:rsidRPr="00CF4C76">
        <w:rPr>
          <w:rStyle w:val="af3"/>
        </w:rPr>
        <w:t>2014 «Καθορισμός συμψηφισμού των ποσών που καταβάλλονται για την ενεργειακή αναβάθμιση και για τη στατική επάρκεια κτιρίων</w:t>
      </w:r>
      <w:r w:rsidRPr="001A5251">
        <w:t xml:space="preserve"> προ του έτους 2003 με τα ποσά του ειδικού προστίμου που προβλέπονται από τον ν. 4178/2013 «Αντιμετώπιση της Αυθαίρετης Δόμησης - Περιβαλλοντικό Ισοζύγιο και άλλες διατάξεις»</w:t>
      </w:r>
    </w:p>
    <w:p w14:paraId="01DA0B20" w14:textId="77777777" w:rsidR="00A16A4E" w:rsidRPr="001A5251" w:rsidRDefault="00A16A4E" w:rsidP="00524440">
      <w:pPr>
        <w:spacing w:line="360" w:lineRule="auto"/>
      </w:pPr>
      <w:r w:rsidRPr="001A5251">
        <w:t xml:space="preserve">Καθορίζει τον συμψηφισμό των ποσών που καταβάλλονται για την ενεργειακή αναβάθμιση και για τη στατική επάρκεια κτιρίων προ του έτους 2003 με τα ποσά του ειδικού προστίμου που </w:t>
      </w:r>
      <w:r w:rsidRPr="001A5251">
        <w:lastRenderedPageBreak/>
        <w:t>προβλέπονται από τον ν. 4178/2013 «Αντιμετώπιση της Αυθαίρετης Δόμησης - Περιβαλλοντικό Ισοζύγιο και άλλες διατάξεις». (ΦΕΚ Α' 174)</w:t>
      </w:r>
    </w:p>
    <w:p w14:paraId="24E979AF" w14:textId="77777777" w:rsidR="00A16A4E" w:rsidRPr="001A5251" w:rsidRDefault="00A16A4E" w:rsidP="00524440">
      <w:pPr>
        <w:spacing w:before="240" w:line="360" w:lineRule="auto"/>
      </w:pPr>
      <w:r w:rsidRPr="00760E6E">
        <w:rPr>
          <w:rStyle w:val="af3"/>
        </w:rPr>
        <w:t>ΔΕΠΕΑ/Γ/οικ. 185496/31.12.2015 «Έγκριση του εθνικού στόχου ενεργειακής απόδοσης</w:t>
      </w:r>
      <w:r w:rsidRPr="001A5251">
        <w:rPr>
          <w:color w:val="39302A" w:themeColor="text2"/>
        </w:rPr>
        <w:t xml:space="preserve"> </w:t>
      </w:r>
      <w:r w:rsidRPr="001A5251">
        <w:t>στην τελική κατανάλωση ενέργειας για το 2020, της ετήσιας έκθεσης προόδου για την επίτευξη του εθνικού στόχου και του Εθνικού Σχεδίου Δράσης Ενεργειακής Απόδοσης (ΕΣΔΕΑ)». Με την απόφαση αυτή εγκρίνεται το Εθνικό Σχέδιο Δράσης Ενεργειακής Απόδοσης (ΕΣΔΕΑ) στο οποίο εμπεριέχεται ο εθνικός στόχος ενεργειακής απόδοσης στην τελική κατανάλωση ενέργειας για το 2020.</w:t>
      </w:r>
    </w:p>
    <w:p w14:paraId="2BEDE4C0" w14:textId="77777777" w:rsidR="00007010" w:rsidRDefault="00A16A4E" w:rsidP="00524440">
      <w:pPr>
        <w:spacing w:before="240" w:line="360" w:lineRule="auto"/>
      </w:pPr>
      <w:r w:rsidRPr="00760E6E">
        <w:rPr>
          <w:rStyle w:val="af3"/>
        </w:rPr>
        <w:t>ΔΕΠΕΑ/Γ/οικ. 185497/31.12.2015) «Έγκριση έκθεσης μακροπρόθεσμης στρατηγικής για την κινητοποίηση επενδύσεων</w:t>
      </w:r>
      <w:r w:rsidRPr="001A5251">
        <w:rPr>
          <w:rStyle w:val="2Char"/>
        </w:rPr>
        <w:t xml:space="preserve"> </w:t>
      </w:r>
      <w:r w:rsidRPr="001A5251">
        <w:t>για την ανακαίνιση του εθνικού κτιριακού αποθέματος». Με την απόφαση αυτή εγκρίνεται η έκθεση μακροπρόθεσμης στρατηγικής για την κινητοποίηση επενδύσεων για την ανακαίνιση του κτιριακού αποθέματος που αποτελείται από κατοικίες και εμπορικά κτίρια, δημόσια και ιδιωτικά.</w:t>
      </w:r>
      <w:r w:rsidR="00AD10FF" w:rsidRPr="004F5EE0">
        <w:t xml:space="preserve"> </w:t>
      </w:r>
      <w:r w:rsidRPr="001A5251">
        <w:t xml:space="preserve">Τέλος, στο πλαίσιο </w:t>
      </w:r>
      <w:r w:rsidR="004F576E">
        <w:t>Εφαρμογής</w:t>
      </w:r>
      <w:r w:rsidRPr="001A5251">
        <w:t xml:space="preserve"> της ισχύουσας νομοθεσίας πρέπει να περιληφθούν και οι ευνοϊκές διατάξεις του </w:t>
      </w:r>
      <w:r w:rsidRPr="001A5251">
        <w:rPr>
          <w:rStyle w:val="af3"/>
          <w:b w:val="0"/>
        </w:rPr>
        <w:t>Νέου Οικοδομικού Κανονισμού (ΝΟΚ)</w:t>
      </w:r>
      <w:r w:rsidRPr="001A5251">
        <w:rPr>
          <w:b/>
          <w:color w:val="39302A" w:themeColor="text2"/>
        </w:rPr>
        <w:t xml:space="preserve"> </w:t>
      </w:r>
      <w:r w:rsidRPr="001A5251">
        <w:t>και συγκεκριμένα το άρθρο 25, σύμφωνα με το οποίο προβλέπεται αύξηση του συντελεστή δόμησης (5% και 10%) για την κατασκευή ενεργειακά αποδοτικών και περιβαλλοντικά φιλικών κτιρίων.</w:t>
      </w:r>
    </w:p>
    <w:p w14:paraId="606D70BD" w14:textId="77777777" w:rsidR="00007010" w:rsidRDefault="00007010" w:rsidP="00524440">
      <w:pPr>
        <w:spacing w:before="240" w:line="360" w:lineRule="auto"/>
      </w:pPr>
      <w:r w:rsidRPr="00007010">
        <w:rPr>
          <w:rStyle w:val="af4"/>
        </w:rPr>
        <w:t>ΔΕΠΕΑ/οικ. 182365/17.11.2017 (Β΄ 4003/17.11.2017) απόφαση του Υπουργού Περιβάλλοντος και Ενέργειας «Έγκριση και εφαρμογή των Τεχνικών Οδηγιών Τ</w:t>
      </w:r>
      <w:r w:rsidR="0062368F">
        <w:rPr>
          <w:rStyle w:val="af4"/>
        </w:rPr>
        <w:t>Ε.Ε.</w:t>
      </w:r>
      <w:r w:rsidRPr="00007010">
        <w:rPr>
          <w:rStyle w:val="af4"/>
        </w:rPr>
        <w:t xml:space="preserve"> για την Ενεργειακή Απόδοση Κτιρίων»,</w:t>
      </w:r>
      <w:r>
        <w:t xml:space="preserve"> όπως ισχύει (βλ. ΦΕΚ Β΄ 4108/23.11.2017). </w:t>
      </w:r>
    </w:p>
    <w:p w14:paraId="618AFE71" w14:textId="77777777" w:rsidR="00A724B3" w:rsidRPr="00CB3E86" w:rsidRDefault="00007010" w:rsidP="00524440">
      <w:pPr>
        <w:spacing w:before="240" w:line="360" w:lineRule="auto"/>
      </w:pPr>
      <w:r w:rsidRPr="00007010">
        <w:rPr>
          <w:rStyle w:val="af4"/>
        </w:rPr>
        <w:t>ΥΠΕΝ/ΔΕΠΕΑ/6949/72/28</w:t>
      </w:r>
      <w:r w:rsidR="00E5630E">
        <w:rPr>
          <w:rStyle w:val="af4"/>
        </w:rPr>
        <w:t>.01.</w:t>
      </w:r>
      <w:r w:rsidRPr="00007010">
        <w:rPr>
          <w:rStyle w:val="af4"/>
        </w:rPr>
        <w:t>2019 (Β΄ 408/14</w:t>
      </w:r>
      <w:r w:rsidR="00E5630E">
        <w:rPr>
          <w:rStyle w:val="af4"/>
        </w:rPr>
        <w:t>.02.</w:t>
      </w:r>
      <w:r w:rsidRPr="00007010">
        <w:rPr>
          <w:rStyle w:val="af4"/>
        </w:rPr>
        <w:t>2019</w:t>
      </w:r>
      <w:r>
        <w:t>) απόφαση του Υπουργού Περιβάλλοντος και Ενέργειας «Καθορισμός του τρόπου υπολογισμού της αξίας του κτιρίου ή της κτιριακής μονάδας για το χαρακτηρισμό μιας ανακαίνισης ως ριζικής.</w:t>
      </w:r>
    </w:p>
    <w:p w14:paraId="2C501197" w14:textId="77777777" w:rsidR="001D4857" w:rsidRPr="005F1F0A" w:rsidRDefault="001D4857" w:rsidP="00FA5CD9">
      <w:pPr>
        <w:pStyle w:val="3"/>
      </w:pPr>
      <w:bookmarkStart w:id="11" w:name="_Toc36639190"/>
      <w:r>
        <w:t xml:space="preserve">Εκπλήρωση </w:t>
      </w:r>
      <w:proofErr w:type="spellStart"/>
      <w:r w:rsidRPr="005F1F0A">
        <w:t>Αιρεσιμότητα</w:t>
      </w:r>
      <w:r>
        <w:t>ς</w:t>
      </w:r>
      <w:proofErr w:type="spellEnd"/>
      <w:r>
        <w:t xml:space="preserve"> 4.1</w:t>
      </w:r>
      <w:bookmarkEnd w:id="11"/>
      <w:r w:rsidRPr="005F1F0A">
        <w:t xml:space="preserve"> </w:t>
      </w:r>
    </w:p>
    <w:p w14:paraId="16BF8DD9" w14:textId="77777777" w:rsidR="001D4857" w:rsidRPr="005F1F0A" w:rsidRDefault="001D4857" w:rsidP="00524440">
      <w:pPr>
        <w:spacing w:line="360" w:lineRule="auto"/>
      </w:pPr>
      <w:r w:rsidRPr="005F1F0A">
        <w:t>Κατά τη</w:t>
      </w:r>
      <w:r w:rsidR="007B7D6A">
        <w:t xml:space="preserve">ν </w:t>
      </w:r>
      <w:r w:rsidR="00E5630E">
        <w:t>Προγραμματ</w:t>
      </w:r>
      <w:r w:rsidRPr="005F1F0A">
        <w:t xml:space="preserve">ική </w:t>
      </w:r>
      <w:r w:rsidR="00EB38B3">
        <w:t>Περίοδο</w:t>
      </w:r>
      <w:r w:rsidRPr="005F1F0A">
        <w:t xml:space="preserve"> 2014-2020 </w:t>
      </w:r>
      <w:r w:rsidR="00DE0957" w:rsidRPr="005F1F0A">
        <w:t>αναγκαία προϋπόθεση για την αποτελεσματική και αποδοτική υλοποίηση της κάθε επενδυτικής προτεραιότητας που περιλαμβάνο</w:t>
      </w:r>
      <w:r w:rsidR="00DE0957">
        <w:t>νταν</w:t>
      </w:r>
      <w:r w:rsidR="00DE0957" w:rsidRPr="005F1F0A">
        <w:t xml:space="preserve"> </w:t>
      </w:r>
      <w:r w:rsidR="00DE0957">
        <w:t>σ</w:t>
      </w:r>
      <w:r w:rsidR="00DE0957" w:rsidRPr="005F1F0A">
        <w:t xml:space="preserve">τα Επιχειρησιακά </w:t>
      </w:r>
      <w:r w:rsidR="00E5630E">
        <w:t>Προγράμματ</w:t>
      </w:r>
      <w:r w:rsidR="00DE0957" w:rsidRPr="005F1F0A">
        <w:t>α (ΕΠ)</w:t>
      </w:r>
      <w:r w:rsidR="00DE0957">
        <w:t xml:space="preserve"> αλλά και για την ουσιαστική ενεργοποίησή τους, </w:t>
      </w:r>
      <w:r w:rsidRPr="005F1F0A">
        <w:t>σύμφωνα</w:t>
      </w:r>
      <w:r w:rsidR="00DE0957">
        <w:t xml:space="preserve"> με</w:t>
      </w:r>
      <w:r w:rsidRPr="005F1F0A">
        <w:t xml:space="preserve"> </w:t>
      </w:r>
      <w:r w:rsidR="00DE0957" w:rsidRPr="005F1F0A">
        <w:t xml:space="preserve">το άρθρο 19 του </w:t>
      </w:r>
      <w:r w:rsidRPr="005F1F0A">
        <w:t>Κανονισμ</w:t>
      </w:r>
      <w:r w:rsidR="00DE0957">
        <w:t>ού</w:t>
      </w:r>
      <w:r w:rsidRPr="005F1F0A">
        <w:t xml:space="preserve"> (</w:t>
      </w:r>
      <w:r w:rsidR="0062368F">
        <w:t>Ε.Ε.</w:t>
      </w:r>
      <w:r w:rsidRPr="005F1F0A">
        <w:t xml:space="preserve">) αριθ. 1303/2013 </w:t>
      </w:r>
      <w:r w:rsidR="00DE0957">
        <w:t>ήταν η εκπλήρωση</w:t>
      </w:r>
      <w:r w:rsidRPr="005F1F0A">
        <w:t xml:space="preserve"> «εκ των προτέρων </w:t>
      </w:r>
      <w:proofErr w:type="spellStart"/>
      <w:r w:rsidRPr="005F1F0A">
        <w:t>αιρεσιμ</w:t>
      </w:r>
      <w:r w:rsidR="00DE0957">
        <w:t>οτή</w:t>
      </w:r>
      <w:r w:rsidRPr="005F1F0A">
        <w:t>τ</w:t>
      </w:r>
      <w:r w:rsidR="00DE0957">
        <w:t>ων</w:t>
      </w:r>
      <w:proofErr w:type="spellEnd"/>
      <w:r w:rsidRPr="005F1F0A">
        <w:t>»</w:t>
      </w:r>
      <w:r w:rsidR="00DE0957">
        <w:t xml:space="preserve">. </w:t>
      </w:r>
      <w:r w:rsidRPr="005F1F0A">
        <w:t xml:space="preserve">Σύμφωνα με </w:t>
      </w:r>
      <w:r w:rsidR="00DE0957">
        <w:t xml:space="preserve">τον </w:t>
      </w:r>
      <w:r w:rsidRPr="005F1F0A">
        <w:t>κανονισμ</w:t>
      </w:r>
      <w:r w:rsidR="00DE0957">
        <w:t>ό</w:t>
      </w:r>
      <w:r w:rsidRPr="005F1F0A">
        <w:t xml:space="preserve">, η εκπλήρωση των </w:t>
      </w:r>
      <w:proofErr w:type="spellStart"/>
      <w:r w:rsidRPr="005F1F0A">
        <w:t>αιρεσιμοτήτων</w:t>
      </w:r>
      <w:proofErr w:type="spellEnd"/>
      <w:r w:rsidRPr="005F1F0A">
        <w:t xml:space="preserve"> αξιολογείται σε εθνικό επίπεδο κατά την υποβολή και έγκριση των ΕΠ και, στην περίπτωση που κάποιες δεν πληρούνται, τα ΕΠ περιγράφουν τα μέτρα που πρέπει να ληφθούν </w:t>
      </w:r>
      <w:r w:rsidR="007B7D6A">
        <w:t>(</w:t>
      </w:r>
      <w:r w:rsidR="007B7D6A">
        <w:rPr>
          <w:lang w:val="en-GB"/>
        </w:rPr>
        <w:t>action</w:t>
      </w:r>
      <w:r w:rsidR="007B7D6A" w:rsidRPr="007B7D6A">
        <w:t xml:space="preserve"> </w:t>
      </w:r>
      <w:r w:rsidR="007B7D6A">
        <w:rPr>
          <w:lang w:val="en-GB"/>
        </w:rPr>
        <w:t>plan</w:t>
      </w:r>
      <w:r w:rsidR="007B7D6A" w:rsidRPr="007B7D6A">
        <w:t xml:space="preserve">) </w:t>
      </w:r>
      <w:r w:rsidRPr="005F1F0A">
        <w:t xml:space="preserve">από το κράτος μέλος για την κάλυψή τους, καθώς και το χρονοδιάγραμμα </w:t>
      </w:r>
      <w:r w:rsidR="004F576E">
        <w:t>Εφαρμογής</w:t>
      </w:r>
      <w:r w:rsidRPr="005F1F0A">
        <w:t xml:space="preserve"> των εν λόγω μέτρων.</w:t>
      </w:r>
      <w:r w:rsidR="00B67AE6">
        <w:t xml:space="preserve"> </w:t>
      </w:r>
    </w:p>
    <w:p w14:paraId="4DB175F4" w14:textId="77777777" w:rsidR="001D4857" w:rsidRPr="005F1F0A" w:rsidRDefault="001D4857" w:rsidP="00524440">
      <w:pPr>
        <w:spacing w:line="360" w:lineRule="auto"/>
      </w:pPr>
      <w:r w:rsidRPr="005F1F0A">
        <w:lastRenderedPageBreak/>
        <w:t>Οι δράσεις ενεργειακής αναβάθμισης κτιρίων συνδέ</w:t>
      </w:r>
      <w:r w:rsidR="00DE0957">
        <w:t xml:space="preserve">θηκαν </w:t>
      </w:r>
      <w:r w:rsidRPr="005F1F0A">
        <w:t>με την κάλυψη του κ</w:t>
      </w:r>
      <w:r w:rsidRPr="005F1F0A">
        <w:rPr>
          <w:bCs/>
        </w:rPr>
        <w:t>ριτηρίου 1</w:t>
      </w:r>
      <w:r w:rsidRPr="005F1F0A">
        <w:t xml:space="preserve"> της </w:t>
      </w:r>
      <w:proofErr w:type="spellStart"/>
      <w:r w:rsidRPr="005F1F0A">
        <w:t>αιρεσιμότητας</w:t>
      </w:r>
      <w:proofErr w:type="spellEnd"/>
      <w:r w:rsidRPr="005F1F0A">
        <w:t xml:space="preserve"> 4.1:</w:t>
      </w:r>
      <w:r w:rsidR="00A724B3" w:rsidRPr="00A724B3">
        <w:t xml:space="preserve"> </w:t>
      </w:r>
      <w:r w:rsidRPr="005F1F0A">
        <w:t>«</w:t>
      </w:r>
      <w:r w:rsidRPr="00DE0957">
        <w:rPr>
          <w:i/>
          <w:iCs/>
        </w:rPr>
        <w:t xml:space="preserve">Υλοποίηση ενεργειών για την προώθηση οικονομικά αποτελεσματικών βελτιώσεων στην αποδοτικότητα της χρήσης ενέργειας από της τελικούς χρήστες καθώς και για την προώθηση οικονομικά αποτελεσματικών επενδύσεων στην Ενεργειακή Αποδοτικότητα κατά την κατασκευή ή ανακαίνιση </w:t>
      </w:r>
      <w:r w:rsidR="00971D9A">
        <w:rPr>
          <w:i/>
          <w:iCs/>
        </w:rPr>
        <w:t>κτιρί</w:t>
      </w:r>
      <w:r w:rsidRPr="00DE0957">
        <w:rPr>
          <w:i/>
          <w:iCs/>
        </w:rPr>
        <w:t>ων</w:t>
      </w:r>
      <w:r w:rsidRPr="005F1F0A">
        <w:t>»</w:t>
      </w:r>
      <w:r w:rsidR="00DE0957">
        <w:t xml:space="preserve"> και</w:t>
      </w:r>
      <w:r w:rsidRPr="005F1F0A">
        <w:t xml:space="preserve"> κριτήρια εκπλήρωσης την θέσπιση μέτρων για τη διασφάλιση των ελάχιστων απαιτήσεων που αφορούν στην ενεργειακή απόδοση </w:t>
      </w:r>
      <w:r w:rsidR="00971D9A">
        <w:t>κτιρί</w:t>
      </w:r>
      <w:r w:rsidRPr="005F1F0A">
        <w:t>ων σύμφωνα με το Άρθρο 3, το Άρθρο 4 και το Άρθρο 5 της Οδηγίας 2010/31/</w:t>
      </w:r>
      <w:r w:rsidR="0062368F">
        <w:t>Ε.Ε.</w:t>
      </w:r>
      <w:r w:rsidRPr="005F1F0A">
        <w:t>.</w:t>
      </w:r>
      <w:r w:rsidR="00DE0957">
        <w:t xml:space="preserve"> </w:t>
      </w:r>
    </w:p>
    <w:p w14:paraId="2C06ED5B" w14:textId="77777777" w:rsidR="00456369" w:rsidRPr="00CB3E86" w:rsidRDefault="00DE0957" w:rsidP="00524440">
      <w:pPr>
        <w:spacing w:line="360" w:lineRule="auto"/>
      </w:pPr>
      <w:r>
        <w:t xml:space="preserve">Για </w:t>
      </w:r>
      <w:r w:rsidRPr="005F1F0A">
        <w:t xml:space="preserve">την </w:t>
      </w:r>
      <w:proofErr w:type="spellStart"/>
      <w:r w:rsidRPr="005F1F0A">
        <w:t>επικαιροποίηση</w:t>
      </w:r>
      <w:proofErr w:type="spellEnd"/>
      <w:r w:rsidRPr="005F1F0A">
        <w:t xml:space="preserve"> της εθνικής νομοθεσίας που αφορά την ενεργειακή απόδοση των κτιρίων</w:t>
      </w:r>
      <w:r>
        <w:t xml:space="preserve"> (και ουσιαστικά την εκπλήρωση της </w:t>
      </w:r>
      <w:proofErr w:type="spellStart"/>
      <w:r>
        <w:t>αιρεσιμότητας</w:t>
      </w:r>
      <w:proofErr w:type="spellEnd"/>
      <w:r>
        <w:t>) Σ</w:t>
      </w:r>
      <w:r w:rsidR="00E26165">
        <w:t>υστ</w:t>
      </w:r>
      <w:r>
        <w:t>άθηκε</w:t>
      </w:r>
      <w:r w:rsidR="001D4857" w:rsidRPr="005F1F0A">
        <w:t xml:space="preserve"> Επιτροπή Συντονισμού στο Υπουργείο Περιβάλλοντος και Ενέργειας (ΥΑ ΑΠ 170914/109</w:t>
      </w:r>
      <w:r>
        <w:t>/</w:t>
      </w:r>
      <w:r w:rsidR="001D4857" w:rsidRPr="005F1F0A">
        <w:t>22</w:t>
      </w:r>
      <w:r>
        <w:t>.</w:t>
      </w:r>
      <w:r w:rsidR="001D4857" w:rsidRPr="005F1F0A">
        <w:t>01</w:t>
      </w:r>
      <w:r>
        <w:t>.</w:t>
      </w:r>
      <w:r w:rsidR="001D4857" w:rsidRPr="005F1F0A">
        <w:t>2016</w:t>
      </w:r>
      <w:r w:rsidR="00E26165" w:rsidRPr="00E26165">
        <w:t xml:space="preserve"> </w:t>
      </w:r>
      <w:r w:rsidR="00E26165">
        <w:t>όπως τροποποιήθηκε με την 170802/63/20.01.2017)</w:t>
      </w:r>
      <w:r w:rsidR="001D4857" w:rsidRPr="005F1F0A">
        <w:t>,</w:t>
      </w:r>
      <w:r>
        <w:t xml:space="preserve">. </w:t>
      </w:r>
      <w:r w:rsidR="00456369">
        <w:t xml:space="preserve">Το έργο της Επιτροπής ολοκληρώθηκε και με την απόφαση </w:t>
      </w:r>
      <w:proofErr w:type="spellStart"/>
      <w:r w:rsidR="00456369" w:rsidRPr="00456369">
        <w:t>Αριθμ</w:t>
      </w:r>
      <w:proofErr w:type="spellEnd"/>
      <w:r w:rsidR="00456369" w:rsidRPr="00456369">
        <w:t>. ΔΕΠΕΑ/οικ.178581</w:t>
      </w:r>
      <w:r w:rsidR="00456369">
        <w:t>/12</w:t>
      </w:r>
      <w:r w:rsidR="00E5630E">
        <w:t>.07.</w:t>
      </w:r>
      <w:r w:rsidR="00456369">
        <w:t xml:space="preserve">2017 </w:t>
      </w:r>
      <w:r>
        <w:t xml:space="preserve">με την οποία </w:t>
      </w:r>
      <w:r w:rsidR="00456369">
        <w:t>εγκρίθηκε ο Κανονισμός Ενεργειακής Απόδοσης Κτιρίων (ΚΕΝΑΚ) (ΦΕΚ</w:t>
      </w:r>
      <w:r w:rsidR="00456369" w:rsidRPr="00456369">
        <w:rPr>
          <w:vertAlign w:val="superscript"/>
        </w:rPr>
        <w:t>Β</w:t>
      </w:r>
      <w:r w:rsidR="00456369">
        <w:t xml:space="preserve"> 2367/2017).</w:t>
      </w:r>
      <w:r w:rsidR="001D4857" w:rsidRPr="005F1F0A">
        <w:t xml:space="preserve"> </w:t>
      </w:r>
    </w:p>
    <w:p w14:paraId="20CC7C20" w14:textId="77777777" w:rsidR="00456369" w:rsidRDefault="00DE0957" w:rsidP="00524440">
      <w:pPr>
        <w:spacing w:line="360" w:lineRule="auto"/>
      </w:pPr>
      <w:r>
        <w:t>Ακολούθως μ</w:t>
      </w:r>
      <w:r w:rsidR="00456369">
        <w:t>ε Τεχνική Οδηγία του Τεχνικού Επιμελητηρίου της Ελλάδας (Τ.Ο.Τ.Ε.Ε. 20701-1/2017) εκδόθηκαν οι «</w:t>
      </w:r>
      <w:r w:rsidR="00456369" w:rsidRPr="00456369">
        <w:rPr>
          <w:i/>
        </w:rPr>
        <w:t xml:space="preserve">Αναλυτικές Εθνικές προδιαγραφές παραμέτρων για τον υπολογισμό της ενεργειακής απόδοσης </w:t>
      </w:r>
      <w:r w:rsidR="00971D9A">
        <w:rPr>
          <w:i/>
        </w:rPr>
        <w:t>κτιρί</w:t>
      </w:r>
      <w:r w:rsidR="00456369" w:rsidRPr="00456369">
        <w:rPr>
          <w:i/>
        </w:rPr>
        <w:t>ων και την έκδοση του πιστοποιητικού ενεργειακής απόδοσης σύμφωνα με την Αναθεώρηση του Κ.ΕΝ.Α.Κ. (2017)</w:t>
      </w:r>
      <w:r w:rsidR="00456369">
        <w:t>»</w:t>
      </w:r>
      <w:r w:rsidR="0026128F">
        <w:t xml:space="preserve"> όπου στην εισαγωγή περιγράφεται η εξέλιξη της εναρμόνισης του θεσμικού πλαισίου της χώρας σε σχέση με την ενεργειακή απόδοση των κτιρίων: </w:t>
      </w:r>
    </w:p>
    <w:p w14:paraId="5FC296B7" w14:textId="77777777" w:rsidR="0026128F" w:rsidRDefault="0026128F" w:rsidP="00524440">
      <w:pPr>
        <w:spacing w:line="360" w:lineRule="auto"/>
        <w:ind w:left="720"/>
        <w:rPr>
          <w:i/>
          <w:iCs/>
        </w:rPr>
      </w:pPr>
      <w:r w:rsidRPr="0026128F">
        <w:rPr>
          <w:i/>
          <w:iCs/>
        </w:rPr>
        <w:t xml:space="preserve">Στο πλαίσιο της Κοινοτικής Οδηγίας 91/2002/ΕΚ «για την Ενεργειακή Απόδοση Κτιρίων», η χώρα μας είχε την υποχρέωση να εναρμονιστεί μέχρι τον Ιανουάριο του 2006 με την έκδοση και την εφαρμογή σχετικών νομοθετικών διατάξεων. Το πρώτο βήμα για την εναρμόνισή μας με την Κοινοτική Οδηγία αυτή ήταν η έκδοση του ν. 3661/2008 (ΦΕΚ Α΄ 89) «Μέτρα για τη μείωση της Ενεργειακής Κατανάλωσης των Κτιρίων και άλλες διατάξεις». Βάσει του νόμου υπήρχε η υποχρέωση έκδοσης σχετικού «Κανονισμού Ενεργειακής Απόδοσης </w:t>
      </w:r>
      <w:r w:rsidR="00971D9A">
        <w:rPr>
          <w:i/>
          <w:iCs/>
        </w:rPr>
        <w:t>κτιρί</w:t>
      </w:r>
      <w:r w:rsidRPr="0026128F">
        <w:rPr>
          <w:i/>
          <w:iCs/>
        </w:rPr>
        <w:t>ων» (</w:t>
      </w:r>
      <w:proofErr w:type="spellStart"/>
      <w:r w:rsidRPr="0026128F">
        <w:rPr>
          <w:i/>
          <w:iCs/>
        </w:rPr>
        <w:t>Κ.Εν.Α.Κ</w:t>
      </w:r>
      <w:proofErr w:type="spellEnd"/>
      <w:r w:rsidRPr="0026128F">
        <w:rPr>
          <w:i/>
          <w:iCs/>
        </w:rPr>
        <w:t xml:space="preserve">.) στον οποίο, μεταξύ άλλων, θα πρέπει να καθορίζονται οι ελάχιστες τεχνικές προδιαγραφές και απαιτήσεις ενεργειακής απόδοσης των νέων και ριζικά ανακαινιζόμενων, καθώς και η μεθοδολογία υπολογισμού της ενεργειακής απόδοσης των </w:t>
      </w:r>
      <w:r w:rsidR="00971D9A">
        <w:rPr>
          <w:i/>
          <w:iCs/>
        </w:rPr>
        <w:t>κτιρί</w:t>
      </w:r>
      <w:r w:rsidRPr="0026128F">
        <w:rPr>
          <w:i/>
          <w:iCs/>
        </w:rPr>
        <w:t>ων (</w:t>
      </w:r>
      <w:proofErr w:type="spellStart"/>
      <w:r w:rsidRPr="0026128F">
        <w:rPr>
          <w:i/>
          <w:iCs/>
        </w:rPr>
        <w:t>ημι</w:t>
      </w:r>
      <w:proofErr w:type="spellEnd"/>
      <w:r w:rsidRPr="0026128F">
        <w:rPr>
          <w:i/>
          <w:iCs/>
        </w:rPr>
        <w:t>-σταθερής κατάστασης μηνιαίου βήματος του ευρωπαϊκού προτύπου ΕΛΟΤ ΕΝ ISO 13790 και των λοιπών σχετικών προτύπων). Η οδηγία 91/2002/ΕΚ τροποποιήθηκε από την οδηγία 31/2010/ΕΚ και η εναρμόνισή μας με τη νέα οδηγία έγινε με την έκδοση του νέου νόμου 4122/2013 (ΦΕΚ Α' 42) «Ενεργειακή Απόδοση Κτιρίων - Εναρμόνιση με την οδηγία 2010/31/</w:t>
      </w:r>
      <w:r w:rsidR="0062368F">
        <w:rPr>
          <w:i/>
          <w:iCs/>
        </w:rPr>
        <w:t>Ε.Ε.</w:t>
      </w:r>
      <w:r w:rsidRPr="0026128F">
        <w:rPr>
          <w:i/>
          <w:iCs/>
        </w:rPr>
        <w:t xml:space="preserve"> του Ευρωπαϊκού Κοινοβουλίου και του Συμβουλίου και λοιπές διατάξεις».</w:t>
      </w:r>
    </w:p>
    <w:p w14:paraId="471CC212" w14:textId="58C01DC1" w:rsidR="00A322C3" w:rsidRPr="006A1C21" w:rsidRDefault="00A322C3" w:rsidP="00A322C3">
      <w:pPr>
        <w:spacing w:line="360" w:lineRule="auto"/>
        <w:rPr>
          <w:iCs/>
        </w:rPr>
      </w:pPr>
      <w:r w:rsidRPr="00A322C3">
        <w:rPr>
          <w:iCs/>
        </w:rPr>
        <w:lastRenderedPageBreak/>
        <w:t xml:space="preserve">Με την έγκριση του ΚΕΝΑΚ ικανοποιήθηκαν οι απαιτήσεις της </w:t>
      </w:r>
      <w:proofErr w:type="spellStart"/>
      <w:r w:rsidRPr="00A322C3">
        <w:rPr>
          <w:iCs/>
        </w:rPr>
        <w:t>αιρεσιμότητας</w:t>
      </w:r>
      <w:proofErr w:type="spellEnd"/>
      <w:r w:rsidRPr="00A322C3">
        <w:rPr>
          <w:iCs/>
        </w:rPr>
        <w:t xml:space="preserve">: </w:t>
      </w:r>
      <w:r w:rsidRPr="008F57DB">
        <w:rPr>
          <w:iCs/>
        </w:rPr>
        <w:t xml:space="preserve">Επιστολή </w:t>
      </w:r>
      <w:r w:rsidR="0062368F" w:rsidRPr="008F57DB">
        <w:rPr>
          <w:iCs/>
        </w:rPr>
        <w:t>Ε.Ε.</w:t>
      </w:r>
      <w:r w:rsidRPr="008F57DB">
        <w:rPr>
          <w:iCs/>
        </w:rPr>
        <w:t xml:space="preserve"> </w:t>
      </w:r>
      <w:proofErr w:type="spellStart"/>
      <w:r w:rsidRPr="008F57DB">
        <w:rPr>
          <w:iCs/>
        </w:rPr>
        <w:t>Ref.Ares</w:t>
      </w:r>
      <w:proofErr w:type="spellEnd"/>
      <w:r w:rsidRPr="008F57DB">
        <w:rPr>
          <w:iCs/>
        </w:rPr>
        <w:t xml:space="preserve"> (2017) 3701614 – 24.07.2017</w:t>
      </w:r>
      <w:r w:rsidR="006A1C21" w:rsidRPr="006A1C21">
        <w:rPr>
          <w:iCs/>
        </w:rPr>
        <w:t>.</w:t>
      </w:r>
    </w:p>
    <w:p w14:paraId="354E1357" w14:textId="77777777" w:rsidR="0026608D" w:rsidRPr="00840397" w:rsidRDefault="0026608D" w:rsidP="00FA5CD9">
      <w:pPr>
        <w:pStyle w:val="3"/>
      </w:pPr>
      <w:bookmarkStart w:id="12" w:name="_Toc36639191"/>
      <w:r w:rsidRPr="00840397">
        <w:t>Ε</w:t>
      </w:r>
      <w:r w:rsidR="00840397">
        <w:t>θνική</w:t>
      </w:r>
      <w:r w:rsidRPr="00840397">
        <w:t xml:space="preserve"> </w:t>
      </w:r>
      <w:r w:rsidR="00840397">
        <w:t>και</w:t>
      </w:r>
      <w:r w:rsidRPr="00840397">
        <w:t xml:space="preserve"> </w:t>
      </w:r>
      <w:r w:rsidR="00840397">
        <w:t>Ευρωπαϊκή</w:t>
      </w:r>
      <w:r w:rsidRPr="00840397">
        <w:t xml:space="preserve"> </w:t>
      </w:r>
      <w:proofErr w:type="spellStart"/>
      <w:r w:rsidR="00840397">
        <w:t>Στοχοθεσία</w:t>
      </w:r>
      <w:bookmarkEnd w:id="12"/>
      <w:proofErr w:type="spellEnd"/>
    </w:p>
    <w:p w14:paraId="0F48D28A" w14:textId="77777777" w:rsidR="00B36586" w:rsidRDefault="001F6B3E" w:rsidP="00524440">
      <w:pPr>
        <w:spacing w:line="360" w:lineRule="auto"/>
      </w:pPr>
      <w:r>
        <w:t>Σ</w:t>
      </w:r>
      <w:r w:rsidRPr="001F6B3E">
        <w:t>ύμφωνα με τον Κανονισμό COM 2016 (759/30</w:t>
      </w:r>
      <w:r>
        <w:t>.</w:t>
      </w:r>
      <w:r w:rsidRPr="001F6B3E">
        <w:t>11</w:t>
      </w:r>
      <w:r>
        <w:t>.</w:t>
      </w:r>
      <w:r w:rsidRPr="001F6B3E">
        <w:t>2016)</w:t>
      </w:r>
      <w:r w:rsidR="00B36586">
        <w:t xml:space="preserve"> τα κράτη μέλη έχουν υποχρέωση την εκπόνηση του Εθνικού Σχεδίου για την Ενέργεια και το Κλίμα (ΕΣΕΚ). Ο κανονισμός για τη διακυβέρνηση της Ενεργειακής Ένωσης και της Δράσης για το Κλίμα («κανονισμός για τη διακυβέρνηση») τέθηκε σε ισχύ στις 24 Δεκεμβρίου 2018. Ο κανονισμός θεσπίζει ένα κοινό πλαίσιο για τις πολιτικές για την ενέργεια και το κλίμα στην Ευρωπαϊκή Ένωση και στα κράτη μέλη της.</w:t>
      </w:r>
    </w:p>
    <w:p w14:paraId="77C1BB1E" w14:textId="77777777" w:rsidR="00B36586" w:rsidRDefault="00B36586" w:rsidP="00524440">
      <w:pPr>
        <w:spacing w:line="360" w:lineRule="auto"/>
      </w:pPr>
      <w:r>
        <w:t>Η πρόταση της Επιτροπής εκπονήθηκε παράλληλα και εκδόθηκε ταυτόχρονα με σειρά πρωτοβουλιών στον τομέα πολιτικής για την ενέργεια, ιδίως όσον αφορά ενέργεια από ανανεώσιμες πηγές, την ενεργειακή απόδοση και τον σχεδιασμό της αγοράς. Αυτές οι πρωτοβουλίες αποτελούν δέσμη με βασικό θέμα την προτεραιότητα της ενεργειακής απόδοσης,  την  παγκόσμια  πρωτοπορία  της  Ένωσης  όσον  αφορά  την  ενέργεια  από ανανεώσιμες πηγές και τη δίκαιη συμφωνία για τους καταναλωτές ενέργειας.</w:t>
      </w:r>
    </w:p>
    <w:p w14:paraId="5E345692" w14:textId="77777777" w:rsidR="00B36586" w:rsidRDefault="000467C7" w:rsidP="00524440">
      <w:pPr>
        <w:spacing w:line="360" w:lineRule="auto"/>
      </w:pPr>
      <w:r>
        <w:t xml:space="preserve">Το  Ευρωπαϊκό  Συμβούλιο  συμφώνησε  στις  24  Οκτωβρίου  2014  το  πλαίσιο  για  την ενέργεια  και  το  κλίμα  για  το  2030  για  την  Ένωση, το οποίο αναθεωρήθηκε στις 23 Μαρτίου 2018.  Τα κράτη μέλη πρέπει να αναφέρουν στο ΕΣΕΚ πώς θα συμβάλουν στην επίτευξη των στόχων της Ενεργειακής Ένωσης, ιδίως των στόχων της </w:t>
      </w:r>
      <w:r w:rsidR="0062368F">
        <w:t>Ε.Ε.</w:t>
      </w:r>
      <w:r>
        <w:t xml:space="preserve"> για την ενέργεια και το κλίμα για το 2030. Σε αυτούς περιλαμβάνονται οι στόχοι της </w:t>
      </w:r>
      <w:r w:rsidR="0062368F">
        <w:t>Ε.Ε.</w:t>
      </w:r>
      <w:r>
        <w:t xml:space="preserve"> για τουλάχιστον 32 % ενέργεια από ανανεώσιμες πηγές και τουλάχιστον 32,5 % ενεργειακή απόδοση, όπως καθορίζεται στην αναθεωρημένη οδηγία για την ενεργειακή απόδοση και στην οδηγία για τις ανανεώσιμες πηγές ενέργειας που τέθηκαν σε ισχύ στα τέλη του 2018. Συγκεκριμένα οι</w:t>
      </w:r>
      <w:r w:rsidR="00B36586">
        <w:t xml:space="preserve">  τέσσερ</w:t>
      </w:r>
      <w:r>
        <w:t>ε</w:t>
      </w:r>
      <w:r w:rsidR="00B36586">
        <w:t>ις  βασικο</w:t>
      </w:r>
      <w:r>
        <w:t>ί</w:t>
      </w:r>
      <w:r w:rsidR="00B36586">
        <w:t xml:space="preserve"> στόχ</w:t>
      </w:r>
      <w:r>
        <w:t>οι</w:t>
      </w:r>
      <w:r w:rsidR="0066779F">
        <w:t xml:space="preserve"> πλέον διαμορφώθηκαν ως εξής</w:t>
      </w:r>
      <w:r w:rsidR="00B36586">
        <w:t xml:space="preserve">:  </w:t>
      </w:r>
    </w:p>
    <w:p w14:paraId="18EA15CE" w14:textId="77777777" w:rsidR="00CD15B5" w:rsidRDefault="00CD15B5" w:rsidP="00CD15B5">
      <w:pPr>
        <w:spacing w:line="360" w:lineRule="auto"/>
      </w:pPr>
      <w:r>
        <w:t>α) Εκπομπές αερίων θερμοκηπίου - μείωση κατά τουλάχιστον 40% (παρέμεινε)</w:t>
      </w:r>
    </w:p>
    <w:p w14:paraId="67532F7D" w14:textId="77777777" w:rsidR="00CD15B5" w:rsidRDefault="00CD15B5" w:rsidP="00CD15B5">
      <w:pPr>
        <w:spacing w:line="360" w:lineRule="auto"/>
      </w:pPr>
      <w:r>
        <w:t xml:space="preserve">Ένας δεσμευτικός στόχος για τη μείωση των εκπομπών στην </w:t>
      </w:r>
      <w:r w:rsidR="0062368F">
        <w:t>Ε.Ε.</w:t>
      </w:r>
      <w:r>
        <w:t xml:space="preserve"> κατά τουλάχιστον 40% κάτω από τα επίπεδα του 1990 έως το 2030. Αυτό θα επιτρέψει στην </w:t>
      </w:r>
      <w:r w:rsidR="0062368F">
        <w:t>Ε.Ε.</w:t>
      </w:r>
      <w:r>
        <w:t xml:space="preserve"> να στραφεί προς μια οικονομία χαμηλών εκπομπών διοξειδίου του άνθρακα και να εφαρμόσει τις δεσμεύσεις της στο πλαίσιο της συμφωνίας του Παρισιού. Για να επιτευχθεί ο στόχος: Οι τομείς των συστημάτων εμπορίας εκπομπών της </w:t>
      </w:r>
      <w:r w:rsidR="0062368F">
        <w:t>Ε.Ε.</w:t>
      </w:r>
      <w:r>
        <w:t xml:space="preserve"> (ETS) θα πρέπει να μειώσουν τις εκπομπές κατά 43% (σε σύγκριση με το 2005) - για το σκοπό αυτό, το ΣΕΔΕ αναθεωρήθηκε για την </w:t>
      </w:r>
      <w:r w:rsidR="00EB38B3">
        <w:t>Περίοδο</w:t>
      </w:r>
      <w:r>
        <w:t xml:space="preserve"> μετά το 2020 Οι τομείς εκτός του ETS θα πρέπει να μειώσουν τις εκπομπές κατά 30% (σε σύγκριση με το 2005) - αυτό έχει μεταφραστεί σε μεμονωμένους δεσμευτικούς στόχους για τα κράτη μέλη. </w:t>
      </w:r>
    </w:p>
    <w:p w14:paraId="7D51BC54" w14:textId="77777777" w:rsidR="00CD15B5" w:rsidRDefault="00CD15B5" w:rsidP="00CD15B5">
      <w:pPr>
        <w:spacing w:line="360" w:lineRule="auto"/>
      </w:pPr>
      <w:r>
        <w:lastRenderedPageBreak/>
        <w:t>β) Ανανεώσιμες πηγές ενέργειας – αναθεωρημένος στόχος από τον αρχικό του 27%</w:t>
      </w:r>
      <w:r w:rsidR="000467C7">
        <w:t xml:space="preserve"> του 2014 </w:t>
      </w:r>
      <w:r>
        <w:t xml:space="preserve"> με αύξηση σε μερίδιο τουλάχιστον 32% </w:t>
      </w:r>
    </w:p>
    <w:p w14:paraId="43B2CE43" w14:textId="77777777" w:rsidR="00CD15B5" w:rsidRDefault="00CD15B5" w:rsidP="00CD15B5">
      <w:pPr>
        <w:spacing w:line="360" w:lineRule="auto"/>
      </w:pPr>
      <w:r>
        <w:t xml:space="preserve">Ο δεσμευτικός στόχος της </w:t>
      </w:r>
      <w:r w:rsidR="0062368F">
        <w:t>Ε.Ε.</w:t>
      </w:r>
      <w:r>
        <w:t xml:space="preserve"> για την ανανεώσιμη ενέργεια για το 2030, τουλάχιστον στο 32% της τελικής κατανάλωσης ενέργειας, συμπεριλαμβανομένης της ρήτρας επανεξέτασης έως το 2023 για την αναθεώρηση προς τα </w:t>
      </w:r>
      <w:r w:rsidR="000467C7">
        <w:t xml:space="preserve">άνω του στόχου σε επίπεδο </w:t>
      </w:r>
      <w:r w:rsidR="0062368F">
        <w:t>Ε.Ε.</w:t>
      </w:r>
      <w:r w:rsidR="000467C7">
        <w:t xml:space="preserve">. </w:t>
      </w:r>
    </w:p>
    <w:p w14:paraId="3D9FC1F9" w14:textId="77777777" w:rsidR="00CD15B5" w:rsidRDefault="00CD15B5" w:rsidP="00CD15B5">
      <w:pPr>
        <w:spacing w:line="360" w:lineRule="auto"/>
      </w:pPr>
      <w:r>
        <w:t xml:space="preserve">γ) Ενεργειακή απόδοση - – αναθεωρημένος στόχος από τον αρχικό του 27% </w:t>
      </w:r>
      <w:r w:rsidR="000467C7">
        <w:t xml:space="preserve">του 2014 </w:t>
      </w:r>
      <w:r>
        <w:t>με αύξηση σε τουλάχιστον 32,5%</w:t>
      </w:r>
    </w:p>
    <w:p w14:paraId="34E13AEF" w14:textId="77777777" w:rsidR="00CD15B5" w:rsidRDefault="00CD15B5" w:rsidP="00CD15B5">
      <w:pPr>
        <w:spacing w:line="360" w:lineRule="auto"/>
      </w:pPr>
      <w:r>
        <w:t xml:space="preserve"> Ένας πρωταρχικός στόχος τουλάχιστον 32,5% για την ενεργειακή απόδοση να επιτευχθεί συλλογικά από την </w:t>
      </w:r>
      <w:r w:rsidR="0062368F">
        <w:t>Ε.Ε.</w:t>
      </w:r>
      <w:r>
        <w:t xml:space="preserve"> το 2030, με ρήτρα ανοδικής αναθεώρησης έως το 2023. </w:t>
      </w:r>
    </w:p>
    <w:p w14:paraId="3F9EB59F" w14:textId="77777777" w:rsidR="0066779F" w:rsidRDefault="0066779F" w:rsidP="0066779F">
      <w:pPr>
        <w:spacing w:line="360" w:lineRule="auto"/>
      </w:pPr>
      <w:r>
        <w:t xml:space="preserve">Διευκρινίζεται  ότι  ο στόχος για την ενέργεια από ανανεώσιμες πηγές είναι δεσμευτικός σε επίπεδο Ένωσης και αναμένεται να υλοποιηθεί με τη συνεισφορά των κρατών μελών στο πλαίσιο της ανάγκης συλλογικής επίτευξης του </w:t>
      </w:r>
      <w:proofErr w:type="spellStart"/>
      <w:r>
        <w:t>ενωσιακού</w:t>
      </w:r>
      <w:proofErr w:type="spellEnd"/>
      <w:r>
        <w:t xml:space="preserve"> στόχου.</w:t>
      </w:r>
    </w:p>
    <w:p w14:paraId="46AA6396" w14:textId="77777777" w:rsidR="0066779F" w:rsidRDefault="00CD15B5" w:rsidP="00CD15B5">
      <w:pPr>
        <w:spacing w:line="360" w:lineRule="auto"/>
      </w:pPr>
      <w:r w:rsidRPr="0066779F">
        <w:rPr>
          <w:b/>
        </w:rPr>
        <w:t>Σύστημα διακυβέρνησης:</w:t>
      </w:r>
      <w:r>
        <w:t xml:space="preserve"> Διαφανής και δυναμική διαδικασία διακυβέρνησης, η οποία εκτιμάται πως θα συμβάλει στην επίτευξη των στόχων της Ενεργειακής Ένωσης, συμπεριλαμβανομένων των στόχων για το κλίμα και την ενέργεια του 2030, με αποτελεσματικό και συνεκτικό τρόπο. Υιοθέτηση ολοκληρωμένων κανόνων παρακολούθησης και υποβολής εκθέσεων για την εξασφάλιση της προόδου προς τους στόχους για το κλίμα και την ενέργεια του 2030 και τις διεθνείς δεσμεύσεις που έχουν αναληφθεί βάσει της συμφωνίας των </w:t>
      </w:r>
      <w:proofErr w:type="spellStart"/>
      <w:r>
        <w:t>Παρισίων</w:t>
      </w:r>
      <w:proofErr w:type="spellEnd"/>
      <w:r>
        <w:t xml:space="preserve">. Με βάση τις αρχές της βελτίωσης της νομοθεσίας, η διαδικασία διακυβέρνησης περιλαμβάνει διαβουλεύσεις με τους πολίτες και τους ενδιαφερόμενους. </w:t>
      </w:r>
    </w:p>
    <w:p w14:paraId="11BB4EA2" w14:textId="77777777" w:rsidR="0066779F" w:rsidRDefault="00CD15B5" w:rsidP="00CD15B5">
      <w:pPr>
        <w:spacing w:line="360" w:lineRule="auto"/>
      </w:pPr>
      <w:r w:rsidRPr="0066779F">
        <w:rPr>
          <w:b/>
        </w:rPr>
        <w:t>Εθνικά σχέδια για την ενέργεια και το κλίμα</w:t>
      </w:r>
      <w:r w:rsidR="0066779F" w:rsidRPr="0066779F">
        <w:rPr>
          <w:b/>
        </w:rPr>
        <w:t>:</w:t>
      </w:r>
      <w:r>
        <w:t xml:space="preserve"> Τα κράτη μέλη υποχρεούνται να υιοθετήσουν ολοκληρωμένα εθνικά σχέδια για το κλίμα και την ενέργεια (NECP) για την </w:t>
      </w:r>
      <w:r w:rsidR="00EB38B3">
        <w:t>Περίοδο</w:t>
      </w:r>
      <w:r>
        <w:t xml:space="preserve"> 2021-2030. Τα κράτη μέλη έπρεπε να υποβάλουν τα σχέδια τους μέχρι τα τέλη του 2018</w:t>
      </w:r>
      <w:r w:rsidR="0066779F">
        <w:t xml:space="preserve"> με τα</w:t>
      </w:r>
      <w:r>
        <w:t xml:space="preserve"> τελικά σχέδια έως το τέλος του 2019. </w:t>
      </w:r>
    </w:p>
    <w:p w14:paraId="59C447DC" w14:textId="77777777" w:rsidR="00CD15B5" w:rsidRDefault="00CD15B5" w:rsidP="00CD15B5">
      <w:pPr>
        <w:spacing w:line="360" w:lineRule="auto"/>
      </w:pPr>
      <w:r w:rsidRPr="0066779F">
        <w:rPr>
          <w:b/>
        </w:rPr>
        <w:t>Εθνικές μακροπρόθεσμες στρατηγικές</w:t>
      </w:r>
      <w:r w:rsidR="0066779F" w:rsidRPr="0066779F">
        <w:rPr>
          <w:b/>
        </w:rPr>
        <w:t>:</w:t>
      </w:r>
      <w:r>
        <w:t xml:space="preserve"> Στο πλαίσιο του συστήματος διακυβέρνησης, οι χώρες μέλη καλούνται επίσης να αναπτύξουν εθνικές μακροπρόθεσμες στρατηγικές έως την 1η Ιανουαρίου 2020 και να εξασφαλίσουν τη συνοχή μεταξύ των μακροπρόθεσμων στρατηγικών τους και των NECP.</w:t>
      </w:r>
    </w:p>
    <w:p w14:paraId="5A05A6CD" w14:textId="77777777" w:rsidR="0026128F" w:rsidRPr="007B7D6A" w:rsidRDefault="0026128F" w:rsidP="00524440">
      <w:pPr>
        <w:spacing w:before="240" w:line="360" w:lineRule="auto"/>
        <w:rPr>
          <w:rStyle w:val="af4"/>
        </w:rPr>
      </w:pPr>
      <w:r>
        <w:rPr>
          <w:rStyle w:val="af4"/>
        </w:rPr>
        <w:t xml:space="preserve">Το ΕΣΕΚ εγκρίθηκε με την </w:t>
      </w:r>
      <w:r w:rsidRPr="007B7D6A">
        <w:rPr>
          <w:rStyle w:val="af4"/>
        </w:rPr>
        <w:t>απόφαση του Κυβερνητικού Συμβουλίου Οικονομικής Πολιτικής αρ.4 για Κύρωση του Εθνικού Σχεδίου για την Ενέργεια και το Κλίμα (ΕΣΕΚ) (ΦΕΚ Β’ 4893/31.12.2019).</w:t>
      </w:r>
    </w:p>
    <w:p w14:paraId="25DCE52F" w14:textId="77777777" w:rsidR="00FD16DF" w:rsidRDefault="0026128F" w:rsidP="00524440">
      <w:pPr>
        <w:spacing w:line="360" w:lineRule="auto"/>
      </w:pPr>
      <w:r>
        <w:t>Σε αυτό αναφέρονται</w:t>
      </w:r>
      <w:r w:rsidR="00A513AC">
        <w:t xml:space="preserve"> </w:t>
      </w:r>
      <w:r w:rsidR="00FD16DF">
        <w:t>οι κύριοι Ενεργειακοί, Κλιματικοί στόχοι και προτεραιότητες και συγκεκριμένα:</w:t>
      </w:r>
    </w:p>
    <w:p w14:paraId="26510654" w14:textId="77777777" w:rsidR="00FD16DF" w:rsidRDefault="00FD16DF" w:rsidP="00524440">
      <w:pPr>
        <w:pStyle w:val="a3"/>
        <w:numPr>
          <w:ilvl w:val="0"/>
          <w:numId w:val="6"/>
        </w:numPr>
        <w:spacing w:line="360" w:lineRule="auto"/>
      </w:pPr>
      <w:r>
        <w:lastRenderedPageBreak/>
        <w:t xml:space="preserve">Ολοκληρωμένο μοντέλο βιώσιμης ανάπτυξης σε όλους τους οικονομικούς κλάδους </w:t>
      </w:r>
    </w:p>
    <w:p w14:paraId="0D6C9E95" w14:textId="77777777" w:rsidR="00FD16DF" w:rsidRDefault="00FD16DF" w:rsidP="00524440">
      <w:pPr>
        <w:pStyle w:val="a3"/>
        <w:numPr>
          <w:ilvl w:val="0"/>
          <w:numId w:val="6"/>
        </w:numPr>
        <w:spacing w:line="360" w:lineRule="auto"/>
      </w:pPr>
      <w:r>
        <w:t xml:space="preserve">Ανάπτυξη του ενεργειακού τομέα σε συνδυασμό με την περιβαλλοντική προστασία και την καταπολέμηση της κλιματικής αλλαγής </w:t>
      </w:r>
    </w:p>
    <w:p w14:paraId="1B0C7A58" w14:textId="77777777" w:rsidR="005E4B3A" w:rsidRDefault="00FD16DF" w:rsidP="00524440">
      <w:pPr>
        <w:pStyle w:val="a3"/>
        <w:numPr>
          <w:ilvl w:val="0"/>
          <w:numId w:val="6"/>
        </w:numPr>
        <w:spacing w:line="360" w:lineRule="auto"/>
      </w:pPr>
      <w:r>
        <w:t xml:space="preserve">Επιλογή ενεργειακών πολιτικών με τη βέλτιστη σχέση κόστους-οφέλους για την ενεργειακή μετάβαση </w:t>
      </w:r>
    </w:p>
    <w:p w14:paraId="48BE4EFF" w14:textId="77777777" w:rsidR="005E4B3A" w:rsidRDefault="00FD16DF" w:rsidP="00524440">
      <w:pPr>
        <w:pStyle w:val="a3"/>
        <w:numPr>
          <w:ilvl w:val="0"/>
          <w:numId w:val="6"/>
        </w:numPr>
        <w:spacing w:line="360" w:lineRule="auto"/>
      </w:pPr>
      <w:r>
        <w:t xml:space="preserve">Διαχείριση και αξιοποίηση απορριμμάτων με τις σύγχρονες τεχνολογίες κυκλικής οικονομίας </w:t>
      </w:r>
    </w:p>
    <w:p w14:paraId="47E95BFC" w14:textId="77777777" w:rsidR="005E4B3A" w:rsidRDefault="00FD16DF" w:rsidP="00524440">
      <w:pPr>
        <w:pStyle w:val="a3"/>
        <w:numPr>
          <w:ilvl w:val="0"/>
          <w:numId w:val="6"/>
        </w:numPr>
        <w:spacing w:line="360" w:lineRule="auto"/>
      </w:pPr>
      <w:r>
        <w:t xml:space="preserve">Εδραίωση της Ελλάδας σε ενεργειακό κόμβο με ισχυρή συμβολή στην ενεργειακή ασφάλεια της </w:t>
      </w:r>
      <w:r w:rsidR="0062368F">
        <w:t>Ε.Ε.</w:t>
      </w:r>
      <w:r>
        <w:t xml:space="preserve"> </w:t>
      </w:r>
    </w:p>
    <w:p w14:paraId="5E7ABA19" w14:textId="77777777" w:rsidR="005E4B3A" w:rsidRDefault="00FD16DF" w:rsidP="00524440">
      <w:pPr>
        <w:pStyle w:val="a3"/>
        <w:numPr>
          <w:ilvl w:val="0"/>
          <w:numId w:val="6"/>
        </w:numPr>
        <w:spacing w:line="360" w:lineRule="auto"/>
      </w:pPr>
      <w:r>
        <w:t xml:space="preserve">Στρατηγική διαφοροποίησης των εισαγωγών ενέργειας, παράλληλα με τον εκσυγχρονισμό και την ανάπτυξη ενεργειακών υποδομών και την άρση της ενεργειακής απομόνωσης των νησιών </w:t>
      </w:r>
    </w:p>
    <w:p w14:paraId="25422BF9" w14:textId="77777777" w:rsidR="005E4B3A" w:rsidRDefault="00FD16DF" w:rsidP="00524440">
      <w:pPr>
        <w:pStyle w:val="a3"/>
        <w:numPr>
          <w:ilvl w:val="0"/>
          <w:numId w:val="6"/>
        </w:numPr>
        <w:spacing w:line="360" w:lineRule="auto"/>
      </w:pPr>
      <w:r>
        <w:t xml:space="preserve">Δημιουργία ελκυστικού επενδυτικού περιβάλλοντος για την υποστήριξη στην ενεργειακή μετάβαση, με έμφαση στην καινοτομία και τις νέες τεχνολογίες </w:t>
      </w:r>
    </w:p>
    <w:p w14:paraId="769DAF98" w14:textId="77777777" w:rsidR="005E4B3A" w:rsidRDefault="00FD16DF" w:rsidP="00524440">
      <w:pPr>
        <w:pStyle w:val="a3"/>
        <w:numPr>
          <w:ilvl w:val="0"/>
          <w:numId w:val="6"/>
        </w:numPr>
        <w:spacing w:line="360" w:lineRule="auto"/>
      </w:pPr>
      <w:r>
        <w:t xml:space="preserve">Μέγιστη αξιοποίηση κοινοτικών πόρων και μηχανισμών </w:t>
      </w:r>
    </w:p>
    <w:p w14:paraId="1A6646A5" w14:textId="77777777" w:rsidR="00FD16DF" w:rsidRDefault="00FD16DF" w:rsidP="00524440">
      <w:pPr>
        <w:pStyle w:val="a3"/>
        <w:numPr>
          <w:ilvl w:val="0"/>
          <w:numId w:val="6"/>
        </w:numPr>
        <w:spacing w:line="360" w:lineRule="auto"/>
      </w:pPr>
      <w:r>
        <w:t>Εξωστρέφεια για την επίτευξη ισχυρής ανάπτυξης και δημιουργία νέων θέσεων εργασίας</w:t>
      </w:r>
    </w:p>
    <w:tbl>
      <w:tblPr>
        <w:tblW w:w="8926" w:type="dxa"/>
        <w:tblInd w:w="113" w:type="dxa"/>
        <w:tblLook w:val="04A0" w:firstRow="1" w:lastRow="0" w:firstColumn="1" w:lastColumn="0" w:noHBand="0" w:noVBand="1"/>
      </w:tblPr>
      <w:tblGrid>
        <w:gridCol w:w="3397"/>
        <w:gridCol w:w="2694"/>
        <w:gridCol w:w="2835"/>
      </w:tblGrid>
      <w:tr w:rsidR="005E4B3A" w:rsidRPr="005E4B3A" w14:paraId="2D33CBBC" w14:textId="77777777" w:rsidTr="005E4B3A">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B0D51F" w14:textId="77777777" w:rsidR="005E4B3A" w:rsidRPr="005E4B3A" w:rsidRDefault="001978A0" w:rsidP="00524440">
            <w:pPr>
              <w:autoSpaceDE/>
              <w:autoSpaceDN/>
              <w:adjustRightInd/>
              <w:spacing w:before="0" w:after="0" w:line="360" w:lineRule="auto"/>
              <w:jc w:val="left"/>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Σ</w:t>
            </w:r>
            <w:r w:rsidR="005E4B3A" w:rsidRPr="005E4B3A">
              <w:rPr>
                <w:rFonts w:ascii="Calibri" w:eastAsia="Times New Roman" w:hAnsi="Calibri" w:cs="Times New Roman"/>
                <w:b/>
                <w:bCs/>
                <w:color w:val="000000"/>
                <w:lang w:eastAsia="el-GR"/>
              </w:rPr>
              <w:t>τόχο</w:t>
            </w:r>
            <w:r w:rsidR="005E4B3A">
              <w:rPr>
                <w:rFonts w:ascii="Calibri" w:eastAsia="Times New Roman" w:hAnsi="Calibri" w:cs="Times New Roman"/>
                <w:b/>
                <w:bCs/>
                <w:color w:val="000000"/>
                <w:lang w:eastAsia="el-GR"/>
              </w:rPr>
              <w:t>ι</w:t>
            </w:r>
            <w:r w:rsidR="005E4B3A" w:rsidRPr="005E4B3A">
              <w:rPr>
                <w:rFonts w:ascii="Calibri" w:eastAsia="Times New Roman" w:hAnsi="Calibri" w:cs="Times New Roman"/>
                <w:b/>
                <w:bCs/>
                <w:color w:val="000000"/>
                <w:lang w:eastAsia="el-GR"/>
              </w:rPr>
              <w:t xml:space="preserve"> 2030 </w:t>
            </w:r>
          </w:p>
        </w:tc>
        <w:tc>
          <w:tcPr>
            <w:tcW w:w="2694" w:type="dxa"/>
            <w:tcBorders>
              <w:top w:val="single" w:sz="4" w:space="0" w:color="auto"/>
              <w:left w:val="nil"/>
              <w:bottom w:val="single" w:sz="4" w:space="0" w:color="auto"/>
              <w:right w:val="single" w:sz="4" w:space="0" w:color="auto"/>
            </w:tcBorders>
            <w:shd w:val="clear" w:color="auto" w:fill="auto"/>
            <w:vAlign w:val="bottom"/>
            <w:hideMark/>
          </w:tcPr>
          <w:p w14:paraId="7AECF467" w14:textId="77777777" w:rsidR="005E4B3A" w:rsidRPr="005E4B3A" w:rsidRDefault="005E4B3A" w:rsidP="00524440">
            <w:pPr>
              <w:autoSpaceDE/>
              <w:autoSpaceDN/>
              <w:adjustRightInd/>
              <w:spacing w:before="0" w:after="0" w:line="360" w:lineRule="auto"/>
              <w:jc w:val="center"/>
              <w:rPr>
                <w:rFonts w:ascii="Calibri" w:eastAsia="Times New Roman" w:hAnsi="Calibri" w:cs="Times New Roman"/>
                <w:b/>
                <w:bCs/>
                <w:color w:val="000000"/>
                <w:lang w:eastAsia="el-GR"/>
              </w:rPr>
            </w:pPr>
            <w:r w:rsidRPr="005E4B3A">
              <w:rPr>
                <w:rFonts w:ascii="Calibri" w:eastAsia="Times New Roman" w:hAnsi="Calibri" w:cs="Times New Roman"/>
                <w:b/>
                <w:bCs/>
                <w:color w:val="000000"/>
                <w:lang w:eastAsia="el-GR"/>
              </w:rPr>
              <w:t xml:space="preserve">EΣΕΚ </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6F691411" w14:textId="77777777" w:rsidR="005E4B3A" w:rsidRPr="005E4B3A" w:rsidRDefault="005E4B3A" w:rsidP="00524440">
            <w:pPr>
              <w:autoSpaceDE/>
              <w:autoSpaceDN/>
              <w:adjustRightInd/>
              <w:spacing w:before="0" w:after="0" w:line="360" w:lineRule="auto"/>
              <w:jc w:val="center"/>
              <w:rPr>
                <w:rFonts w:ascii="Calibri" w:eastAsia="Times New Roman" w:hAnsi="Calibri" w:cs="Times New Roman"/>
                <w:b/>
                <w:bCs/>
                <w:color w:val="000000"/>
                <w:lang w:eastAsia="el-GR"/>
              </w:rPr>
            </w:pPr>
            <w:r w:rsidRPr="005E4B3A">
              <w:rPr>
                <w:rFonts w:ascii="Calibri" w:eastAsia="Times New Roman" w:hAnsi="Calibri" w:cs="Times New Roman"/>
                <w:b/>
                <w:bCs/>
                <w:color w:val="000000"/>
                <w:lang w:eastAsia="el-GR"/>
              </w:rPr>
              <w:t xml:space="preserve">Κεντρικοί Στόχοι </w:t>
            </w:r>
            <w:r w:rsidR="0062368F">
              <w:rPr>
                <w:rFonts w:ascii="Calibri" w:eastAsia="Times New Roman" w:hAnsi="Calibri" w:cs="Times New Roman"/>
                <w:b/>
                <w:bCs/>
                <w:color w:val="000000"/>
                <w:lang w:eastAsia="el-GR"/>
              </w:rPr>
              <w:t>Ε.Ε.</w:t>
            </w:r>
          </w:p>
        </w:tc>
      </w:tr>
      <w:tr w:rsidR="005E4B3A" w:rsidRPr="005E4B3A" w14:paraId="1D709C37" w14:textId="77777777" w:rsidTr="00A513AC">
        <w:trPr>
          <w:trHeight w:val="6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71BB301"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Μερίδιο ΑΠΕ στην Ακαθάριστη Τελική Κατανάλωση Ενέργειας</w:t>
            </w:r>
          </w:p>
        </w:tc>
        <w:tc>
          <w:tcPr>
            <w:tcW w:w="2694" w:type="dxa"/>
            <w:tcBorders>
              <w:top w:val="nil"/>
              <w:left w:val="nil"/>
              <w:bottom w:val="single" w:sz="4" w:space="0" w:color="auto"/>
              <w:right w:val="single" w:sz="4" w:space="0" w:color="auto"/>
            </w:tcBorders>
            <w:shd w:val="clear" w:color="auto" w:fill="auto"/>
            <w:vAlign w:val="center"/>
            <w:hideMark/>
          </w:tcPr>
          <w:p w14:paraId="3CAF00AF"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≥35%</w:t>
            </w:r>
          </w:p>
        </w:tc>
        <w:tc>
          <w:tcPr>
            <w:tcW w:w="2835" w:type="dxa"/>
            <w:tcBorders>
              <w:top w:val="nil"/>
              <w:left w:val="nil"/>
              <w:bottom w:val="single" w:sz="4" w:space="0" w:color="auto"/>
              <w:right w:val="single" w:sz="4" w:space="0" w:color="auto"/>
            </w:tcBorders>
            <w:shd w:val="clear" w:color="auto" w:fill="auto"/>
            <w:noWrap/>
            <w:vAlign w:val="center"/>
            <w:hideMark/>
          </w:tcPr>
          <w:p w14:paraId="20BA12D1"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32%</w:t>
            </w:r>
          </w:p>
        </w:tc>
      </w:tr>
      <w:tr w:rsidR="005E4B3A" w:rsidRPr="005E4B3A" w14:paraId="28BBAEE3" w14:textId="77777777" w:rsidTr="00A513AC">
        <w:trPr>
          <w:trHeight w:val="6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425BDFB"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Μερίδιο ΑΠΕ στην Ακαθάριστη Τελική Κατανάλωση Ηλεκτρικής Ενέργειας</w:t>
            </w:r>
          </w:p>
        </w:tc>
        <w:tc>
          <w:tcPr>
            <w:tcW w:w="2694" w:type="dxa"/>
            <w:tcBorders>
              <w:top w:val="nil"/>
              <w:left w:val="nil"/>
              <w:bottom w:val="single" w:sz="4" w:space="0" w:color="auto"/>
              <w:right w:val="single" w:sz="4" w:space="0" w:color="auto"/>
            </w:tcBorders>
            <w:shd w:val="clear" w:color="auto" w:fill="auto"/>
            <w:vAlign w:val="center"/>
            <w:hideMark/>
          </w:tcPr>
          <w:p w14:paraId="36F5EB0D"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~61-64%</w:t>
            </w:r>
          </w:p>
        </w:tc>
        <w:tc>
          <w:tcPr>
            <w:tcW w:w="2835" w:type="dxa"/>
            <w:tcBorders>
              <w:top w:val="nil"/>
              <w:left w:val="nil"/>
              <w:bottom w:val="single" w:sz="4" w:space="0" w:color="auto"/>
              <w:right w:val="single" w:sz="4" w:space="0" w:color="auto"/>
            </w:tcBorders>
            <w:shd w:val="clear" w:color="auto" w:fill="auto"/>
            <w:vAlign w:val="center"/>
            <w:hideMark/>
          </w:tcPr>
          <w:p w14:paraId="1347134A"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 </w:t>
            </w:r>
          </w:p>
        </w:tc>
      </w:tr>
      <w:tr w:rsidR="005E4B3A" w:rsidRPr="005E4B3A" w14:paraId="04B05BA2" w14:textId="77777777" w:rsidTr="00A513AC">
        <w:trPr>
          <w:trHeight w:val="6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3310C5D"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 xml:space="preserve">Τελική Κατανάλωση Ενέργειας (ΤΚΕ) </w:t>
            </w:r>
          </w:p>
        </w:tc>
        <w:tc>
          <w:tcPr>
            <w:tcW w:w="2694" w:type="dxa"/>
            <w:tcBorders>
              <w:top w:val="nil"/>
              <w:left w:val="nil"/>
              <w:bottom w:val="single" w:sz="4" w:space="0" w:color="auto"/>
              <w:right w:val="single" w:sz="4" w:space="0" w:color="auto"/>
            </w:tcBorders>
            <w:shd w:val="clear" w:color="auto" w:fill="auto"/>
            <w:vAlign w:val="center"/>
            <w:hideMark/>
          </w:tcPr>
          <w:p w14:paraId="4BB413B7"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~16.1-16.5Mtoe , (≥38%) ΤΚΕ2030&lt;ΤΚΕ2017</w:t>
            </w:r>
          </w:p>
        </w:tc>
        <w:tc>
          <w:tcPr>
            <w:tcW w:w="2835" w:type="dxa"/>
            <w:tcBorders>
              <w:top w:val="nil"/>
              <w:left w:val="nil"/>
              <w:bottom w:val="single" w:sz="4" w:space="0" w:color="auto"/>
              <w:right w:val="single" w:sz="4" w:space="0" w:color="auto"/>
            </w:tcBorders>
            <w:shd w:val="clear" w:color="auto" w:fill="auto"/>
            <w:vAlign w:val="center"/>
            <w:hideMark/>
          </w:tcPr>
          <w:p w14:paraId="56653BB4"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32.5% &amp; ΤΚΕ2030&lt;ΤΚΕ2017</w:t>
            </w:r>
          </w:p>
        </w:tc>
      </w:tr>
      <w:tr w:rsidR="005E4B3A" w:rsidRPr="005E4B3A" w14:paraId="12BD4FF5" w14:textId="77777777" w:rsidTr="00A513AC">
        <w:trPr>
          <w:trHeight w:val="6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CB81743"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Μερίδιο Λιγνίτη στην Ηλεκτροπαραγωγή</w:t>
            </w:r>
          </w:p>
        </w:tc>
        <w:tc>
          <w:tcPr>
            <w:tcW w:w="2694" w:type="dxa"/>
            <w:tcBorders>
              <w:top w:val="nil"/>
              <w:left w:val="nil"/>
              <w:bottom w:val="single" w:sz="4" w:space="0" w:color="auto"/>
              <w:right w:val="single" w:sz="4" w:space="0" w:color="auto"/>
            </w:tcBorders>
            <w:shd w:val="clear" w:color="auto" w:fill="auto"/>
            <w:vAlign w:val="center"/>
            <w:hideMark/>
          </w:tcPr>
          <w:p w14:paraId="3D615522"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0%</w:t>
            </w:r>
          </w:p>
        </w:tc>
        <w:tc>
          <w:tcPr>
            <w:tcW w:w="2835" w:type="dxa"/>
            <w:tcBorders>
              <w:top w:val="nil"/>
              <w:left w:val="nil"/>
              <w:bottom w:val="single" w:sz="4" w:space="0" w:color="auto"/>
              <w:right w:val="single" w:sz="4" w:space="0" w:color="auto"/>
            </w:tcBorders>
            <w:shd w:val="clear" w:color="auto" w:fill="auto"/>
            <w:vAlign w:val="center"/>
            <w:hideMark/>
          </w:tcPr>
          <w:p w14:paraId="5A0BD37D"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 </w:t>
            </w:r>
          </w:p>
        </w:tc>
      </w:tr>
      <w:tr w:rsidR="005E4B3A" w:rsidRPr="005E4B3A" w14:paraId="074D80FF" w14:textId="77777777" w:rsidTr="00A513AC">
        <w:trPr>
          <w:trHeight w:val="6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3B132EA"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 xml:space="preserve">Μείωση </w:t>
            </w:r>
            <w:proofErr w:type="spellStart"/>
            <w:r w:rsidRPr="005E4B3A">
              <w:rPr>
                <w:rFonts w:ascii="Calibri" w:eastAsia="Times New Roman" w:hAnsi="Calibri" w:cs="Times New Roman"/>
                <w:color w:val="000000"/>
                <w:sz w:val="20"/>
                <w:szCs w:val="20"/>
                <w:lang w:eastAsia="el-GR"/>
              </w:rPr>
              <w:t>ΑτΘ</w:t>
            </w:r>
            <w:proofErr w:type="spellEnd"/>
          </w:p>
        </w:tc>
        <w:tc>
          <w:tcPr>
            <w:tcW w:w="2694" w:type="dxa"/>
            <w:tcBorders>
              <w:top w:val="nil"/>
              <w:left w:val="nil"/>
              <w:bottom w:val="single" w:sz="4" w:space="0" w:color="auto"/>
              <w:right w:val="single" w:sz="4" w:space="0" w:color="auto"/>
            </w:tcBorders>
            <w:shd w:val="clear" w:color="auto" w:fill="auto"/>
            <w:vAlign w:val="center"/>
            <w:hideMark/>
          </w:tcPr>
          <w:p w14:paraId="3FFAE45E"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 xml:space="preserve">≥42% </w:t>
            </w:r>
            <w:proofErr w:type="spellStart"/>
            <w:r w:rsidRPr="005E4B3A">
              <w:rPr>
                <w:rFonts w:ascii="Calibri" w:eastAsia="Times New Roman" w:hAnsi="Calibri" w:cs="Times New Roman"/>
                <w:color w:val="000000"/>
                <w:sz w:val="20"/>
                <w:szCs w:val="20"/>
                <w:lang w:eastAsia="el-GR"/>
              </w:rPr>
              <w:t>vs</w:t>
            </w:r>
            <w:proofErr w:type="spellEnd"/>
            <w:r w:rsidRPr="005E4B3A">
              <w:rPr>
                <w:rFonts w:ascii="Calibri" w:eastAsia="Times New Roman" w:hAnsi="Calibri" w:cs="Times New Roman"/>
                <w:color w:val="000000"/>
                <w:sz w:val="20"/>
                <w:szCs w:val="20"/>
                <w:lang w:eastAsia="el-GR"/>
              </w:rPr>
              <w:t xml:space="preserve"> 1990,( ≥56% </w:t>
            </w:r>
            <w:proofErr w:type="spellStart"/>
            <w:r w:rsidRPr="005E4B3A">
              <w:rPr>
                <w:rFonts w:ascii="Calibri" w:eastAsia="Times New Roman" w:hAnsi="Calibri" w:cs="Times New Roman"/>
                <w:color w:val="000000"/>
                <w:sz w:val="20"/>
                <w:szCs w:val="20"/>
                <w:lang w:eastAsia="el-GR"/>
              </w:rPr>
              <w:t>vs</w:t>
            </w:r>
            <w:proofErr w:type="spellEnd"/>
            <w:r w:rsidRPr="005E4B3A">
              <w:rPr>
                <w:rFonts w:ascii="Calibri" w:eastAsia="Times New Roman" w:hAnsi="Calibri" w:cs="Times New Roman"/>
                <w:color w:val="000000"/>
                <w:sz w:val="20"/>
                <w:szCs w:val="20"/>
                <w:lang w:eastAsia="el-GR"/>
              </w:rPr>
              <w:t xml:space="preserve"> 2005, ≥75% ΣΕΔΕ, ≥33% εκτός ΣΕΔΕ)</w:t>
            </w:r>
          </w:p>
        </w:tc>
        <w:tc>
          <w:tcPr>
            <w:tcW w:w="2835" w:type="dxa"/>
            <w:tcBorders>
              <w:top w:val="nil"/>
              <w:left w:val="nil"/>
              <w:bottom w:val="single" w:sz="4" w:space="0" w:color="auto"/>
              <w:right w:val="single" w:sz="4" w:space="0" w:color="auto"/>
            </w:tcBorders>
            <w:shd w:val="clear" w:color="auto" w:fill="auto"/>
            <w:vAlign w:val="center"/>
            <w:hideMark/>
          </w:tcPr>
          <w:p w14:paraId="1717CE2E"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 xml:space="preserve">&gt;40% </w:t>
            </w:r>
            <w:proofErr w:type="spellStart"/>
            <w:r w:rsidRPr="005E4B3A">
              <w:rPr>
                <w:rFonts w:ascii="Calibri" w:eastAsia="Times New Roman" w:hAnsi="Calibri" w:cs="Times New Roman"/>
                <w:color w:val="000000"/>
                <w:sz w:val="20"/>
                <w:szCs w:val="20"/>
                <w:lang w:eastAsia="el-GR"/>
              </w:rPr>
              <w:t>vs</w:t>
            </w:r>
            <w:proofErr w:type="spellEnd"/>
            <w:r w:rsidRPr="005E4B3A">
              <w:rPr>
                <w:rFonts w:ascii="Calibri" w:eastAsia="Times New Roman" w:hAnsi="Calibri" w:cs="Times New Roman"/>
                <w:color w:val="000000"/>
                <w:sz w:val="20"/>
                <w:szCs w:val="20"/>
                <w:lang w:eastAsia="el-GR"/>
              </w:rPr>
              <w:t xml:space="preserve"> 1990, (50-55%) (&gt;43% ΣΕΔΕ, &gt;30% εκτός ΣΕΔΕ </w:t>
            </w:r>
            <w:proofErr w:type="spellStart"/>
            <w:r w:rsidRPr="005E4B3A">
              <w:rPr>
                <w:rFonts w:ascii="Calibri" w:eastAsia="Times New Roman" w:hAnsi="Calibri" w:cs="Times New Roman"/>
                <w:color w:val="000000"/>
                <w:sz w:val="20"/>
                <w:szCs w:val="20"/>
                <w:lang w:eastAsia="el-GR"/>
              </w:rPr>
              <w:t>vs</w:t>
            </w:r>
            <w:proofErr w:type="spellEnd"/>
            <w:r w:rsidRPr="005E4B3A">
              <w:rPr>
                <w:rFonts w:ascii="Calibri" w:eastAsia="Times New Roman" w:hAnsi="Calibri" w:cs="Times New Roman"/>
                <w:color w:val="000000"/>
                <w:sz w:val="20"/>
                <w:szCs w:val="20"/>
                <w:lang w:eastAsia="el-GR"/>
              </w:rPr>
              <w:t xml:space="preserve"> 2005)</w:t>
            </w:r>
          </w:p>
        </w:tc>
      </w:tr>
      <w:tr w:rsidR="005E4B3A" w:rsidRPr="005E4B3A" w14:paraId="1B93BD82" w14:textId="77777777" w:rsidTr="000467C7">
        <w:trPr>
          <w:trHeight w:val="615"/>
        </w:trPr>
        <w:tc>
          <w:tcPr>
            <w:tcW w:w="3397" w:type="dxa"/>
            <w:tcBorders>
              <w:top w:val="nil"/>
              <w:left w:val="single" w:sz="4" w:space="0" w:color="auto"/>
              <w:bottom w:val="nil"/>
              <w:right w:val="single" w:sz="4" w:space="0" w:color="auto"/>
            </w:tcBorders>
            <w:shd w:val="clear" w:color="auto" w:fill="auto"/>
            <w:vAlign w:val="center"/>
            <w:hideMark/>
          </w:tcPr>
          <w:p w14:paraId="435A78A6"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Εκτίμηση επενδύσεων</w:t>
            </w:r>
          </w:p>
        </w:tc>
        <w:tc>
          <w:tcPr>
            <w:tcW w:w="2694" w:type="dxa"/>
            <w:tcBorders>
              <w:top w:val="nil"/>
              <w:left w:val="nil"/>
              <w:bottom w:val="nil"/>
              <w:right w:val="single" w:sz="4" w:space="0" w:color="auto"/>
            </w:tcBorders>
            <w:shd w:val="clear" w:color="auto" w:fill="auto"/>
            <w:vAlign w:val="center"/>
            <w:hideMark/>
          </w:tcPr>
          <w:p w14:paraId="00D3531F"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~44 δις€</w:t>
            </w:r>
          </w:p>
        </w:tc>
        <w:tc>
          <w:tcPr>
            <w:tcW w:w="2835" w:type="dxa"/>
            <w:tcBorders>
              <w:top w:val="nil"/>
              <w:left w:val="nil"/>
              <w:bottom w:val="nil"/>
              <w:right w:val="single" w:sz="4" w:space="0" w:color="auto"/>
            </w:tcBorders>
            <w:shd w:val="clear" w:color="auto" w:fill="auto"/>
            <w:vAlign w:val="center"/>
            <w:hideMark/>
          </w:tcPr>
          <w:p w14:paraId="4628856F" w14:textId="77777777" w:rsidR="005E4B3A" w:rsidRPr="005E4B3A" w:rsidRDefault="005E4B3A"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r w:rsidRPr="005E4B3A">
              <w:rPr>
                <w:rFonts w:ascii="Calibri" w:eastAsia="Times New Roman" w:hAnsi="Calibri" w:cs="Times New Roman"/>
                <w:color w:val="000000"/>
                <w:sz w:val="20"/>
                <w:szCs w:val="20"/>
                <w:lang w:eastAsia="el-GR"/>
              </w:rPr>
              <w:t> </w:t>
            </w:r>
          </w:p>
        </w:tc>
      </w:tr>
      <w:tr w:rsidR="000467C7" w:rsidRPr="005E4B3A" w14:paraId="5516CEE4" w14:textId="77777777" w:rsidTr="000467C7">
        <w:trPr>
          <w:trHeight w:val="80"/>
        </w:trPr>
        <w:tc>
          <w:tcPr>
            <w:tcW w:w="3397" w:type="dxa"/>
            <w:tcBorders>
              <w:top w:val="nil"/>
              <w:left w:val="single" w:sz="4" w:space="0" w:color="auto"/>
              <w:bottom w:val="single" w:sz="4" w:space="0" w:color="auto"/>
              <w:right w:val="single" w:sz="4" w:space="0" w:color="auto"/>
            </w:tcBorders>
            <w:shd w:val="clear" w:color="auto" w:fill="auto"/>
            <w:vAlign w:val="center"/>
          </w:tcPr>
          <w:p w14:paraId="0DD9DC6D" w14:textId="77777777" w:rsidR="000467C7" w:rsidRPr="005E4B3A" w:rsidRDefault="000467C7"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p>
        </w:tc>
        <w:tc>
          <w:tcPr>
            <w:tcW w:w="2694" w:type="dxa"/>
            <w:tcBorders>
              <w:top w:val="nil"/>
              <w:left w:val="nil"/>
              <w:bottom w:val="single" w:sz="4" w:space="0" w:color="auto"/>
              <w:right w:val="single" w:sz="4" w:space="0" w:color="auto"/>
            </w:tcBorders>
            <w:shd w:val="clear" w:color="auto" w:fill="auto"/>
            <w:vAlign w:val="center"/>
          </w:tcPr>
          <w:p w14:paraId="79E9FDE9" w14:textId="77777777" w:rsidR="000467C7" w:rsidRPr="005E4B3A" w:rsidRDefault="000467C7"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p>
        </w:tc>
        <w:tc>
          <w:tcPr>
            <w:tcW w:w="2835" w:type="dxa"/>
            <w:tcBorders>
              <w:top w:val="nil"/>
              <w:left w:val="nil"/>
              <w:bottom w:val="single" w:sz="4" w:space="0" w:color="auto"/>
              <w:right w:val="single" w:sz="4" w:space="0" w:color="auto"/>
            </w:tcBorders>
            <w:shd w:val="clear" w:color="auto" w:fill="auto"/>
            <w:vAlign w:val="center"/>
          </w:tcPr>
          <w:p w14:paraId="20BEDC51" w14:textId="77777777" w:rsidR="000467C7" w:rsidRPr="005E4B3A" w:rsidRDefault="000467C7" w:rsidP="00524440">
            <w:pPr>
              <w:autoSpaceDE/>
              <w:autoSpaceDN/>
              <w:adjustRightInd/>
              <w:spacing w:before="0" w:after="0" w:line="360" w:lineRule="auto"/>
              <w:jc w:val="left"/>
              <w:rPr>
                <w:rFonts w:ascii="Calibri" w:eastAsia="Times New Roman" w:hAnsi="Calibri" w:cs="Times New Roman"/>
                <w:color w:val="000000"/>
                <w:sz w:val="20"/>
                <w:szCs w:val="20"/>
                <w:lang w:eastAsia="el-GR"/>
              </w:rPr>
            </w:pPr>
          </w:p>
        </w:tc>
      </w:tr>
    </w:tbl>
    <w:p w14:paraId="670BD4E5" w14:textId="77777777" w:rsidR="00A513AC" w:rsidRDefault="00A513AC" w:rsidP="00524440">
      <w:pPr>
        <w:spacing w:line="360" w:lineRule="auto"/>
      </w:pPr>
      <w:r>
        <w:t xml:space="preserve">Ειδικότερα η βελτίωση της ενεργειακής απόδοσης αποτελεί βασική οριζόντια προτεραιότητα και άξονας πάνω στον οποίο σχεδιάζονται σχεδόν όλες οι άλλες πολιτικές και όπου από το ΕΣΕΚ τίθεται ιδιαίτερα φιλόδοξος στόχος εξοικονόμησης ενέργειας. Επιδίωξη είναι ο συνδυασμός κανονιστικών παρεμβάσεων και </w:t>
      </w:r>
      <w:r w:rsidR="005E65CC">
        <w:t>Χρηματοοικονομικών Εργαλείων</w:t>
      </w:r>
      <w:r>
        <w:t xml:space="preserve"> ώστε η τελική κατανάλωση ενέργειας το 2030 </w:t>
      </w:r>
      <w:r>
        <w:lastRenderedPageBreak/>
        <w:t>να περιοριστεί στα επίπεδα του 2017, με στόχο να επιτευχθεί βελτίωση ενεργειακής απόδοσης της τάξης του 38%.</w:t>
      </w:r>
    </w:p>
    <w:p w14:paraId="4BF34DC0" w14:textId="77777777" w:rsidR="00A513AC" w:rsidRDefault="00A513AC" w:rsidP="00524440">
      <w:pPr>
        <w:spacing w:line="360" w:lineRule="auto"/>
      </w:pPr>
      <w:r>
        <w:t>Για να επιτευχθεί ο στόχος αυτός σχεδιάζονται ειδικά μέτρα για τον κτιριακό τομέα, τόσο για τα δημόσια κτίρια όσο και για τα ιδιωτικά</w:t>
      </w:r>
      <w:r w:rsidR="00524440">
        <w:t xml:space="preserve"> με συμμετοχή Επιχειρήσεων Ενεργειακών Υπηρεσιών</w:t>
      </w:r>
      <w:r>
        <w:t>. Στο πλαίσιο αυτό έχει τεθεί ως στόχος η ανακαίνιση και αντικατάσταση του 12-15% του αποθέματος των κτιρίων κατοικίας με νέα, σχεδόν μηδενικής ενεργειακής κατανάλωσης έως το 2030. Επιδιώκεται κάθε  χρόνο να αναβαθμίζονται ενεργειακά κατά μέσο όρο 60.000 κτίρια. Ο συγκεκριμένος στόχος θα συμβάλλει στην ριζική αναβάθμιση του κτιριακού αποθέματος δίνοντας παράλληλα σημαντική ώθηση στον κατασκευαστικό κλάδο. Συνολικά η βελτίωση της ενεργειακής απόδοσης του κτιριακού αποθέματος αναμένεται να οδηγήσει σε αύξηση της εγχώριας προστιθέμενης αξίας κατά 8 δις. ευρώ και στο να δημιουργηθούν και να διατηρηθούν πάνω από 22 χιλιάδες νέες θέσεις εργασίας πλήρους απασχόλησης.</w:t>
      </w:r>
    </w:p>
    <w:p w14:paraId="4FFAA28E" w14:textId="77777777" w:rsidR="001F6B3E" w:rsidRDefault="00524440" w:rsidP="00524440">
      <w:pPr>
        <w:spacing w:line="360" w:lineRule="auto"/>
      </w:pPr>
      <w:r>
        <w:t>Πρόσθετα με τα παραπάνω, προβλέπεται</w:t>
      </w:r>
      <w:r w:rsidR="00A513AC">
        <w:t xml:space="preserve"> η ίδρυση του Ταμείου Ενεργειακής Απόδοσης, </w:t>
      </w:r>
      <w:r>
        <w:t xml:space="preserve">το οποίο </w:t>
      </w:r>
      <w:r w:rsidR="00A513AC">
        <w:t>θα ενισχύσει σημαντικά την υλοποίηση μέτρων βελτίωσης της ενεργειακής απόδοσης σε όλους τους τομείς κατανάλωσης ενέργειας</w:t>
      </w:r>
      <w:r>
        <w:t xml:space="preserve"> καθώς </w:t>
      </w:r>
      <w:r w:rsidR="00A513AC">
        <w:t>αναμένεται να διευκολύνει την πρόσβαση σε χρηματοδότηση των εμπλεκομένων μερών, να συμβάλλει στη βελτίωση του δείκτη κόστους αποτελέσματος των υλοποιούμενων προγραμμάτων και στην αποτελεσματικότερη αξιοποίηση ανεκμετάλλευτου δυναμικού εξοικονόμησης ενέργειας σε συγκεκριμένους κλάδους.</w:t>
      </w:r>
    </w:p>
    <w:p w14:paraId="5D3AF953" w14:textId="77777777" w:rsidR="000F378A" w:rsidRPr="00840397" w:rsidRDefault="000F378A" w:rsidP="00D26E1F">
      <w:pPr>
        <w:pStyle w:val="2"/>
      </w:pPr>
      <w:bookmarkStart w:id="13" w:name="_Toc36639192"/>
      <w:r>
        <w:t xml:space="preserve">Επιχειρησιακά </w:t>
      </w:r>
      <w:r w:rsidR="00E5630E">
        <w:t>Προγράμματ</w:t>
      </w:r>
      <w:r>
        <w:t xml:space="preserve">α της </w:t>
      </w:r>
      <w:r w:rsidR="00E5630E">
        <w:t>Προγραμματ</w:t>
      </w:r>
      <w:r>
        <w:t xml:space="preserve">ικής </w:t>
      </w:r>
      <w:r w:rsidR="00EB38B3">
        <w:t>Περιόδου</w:t>
      </w:r>
      <w:r>
        <w:t xml:space="preserve"> 2014-2020</w:t>
      </w:r>
      <w:bookmarkEnd w:id="13"/>
    </w:p>
    <w:p w14:paraId="3A7BD9E4" w14:textId="77777777" w:rsidR="00DA61F6" w:rsidRPr="001A5251" w:rsidRDefault="00DA61F6" w:rsidP="00524440">
      <w:pPr>
        <w:spacing w:line="360" w:lineRule="auto"/>
      </w:pPr>
      <w:r w:rsidRPr="001A5251">
        <w:t xml:space="preserve">Στο πλαίσιο του Εταιρικού Συμφώνου για το Πλαίσιο Ανάπτυξης 2014-2020 ο θεματικός στόχος 4, που αφορά στη μετάβαση σε μια οικονομία χαμηλών εκπομπών ρύπων, καθίσταται ζωτικής σημασίας για τη χώρα, συμβάλλοντας τόσο στην επίτευξη των στόχων 20-20-20, όσο και στην αναζωογόνηση της ελληνικής οικονομίας με τη δημιουργία επενδυτικών ευκαιριών. </w:t>
      </w:r>
    </w:p>
    <w:p w14:paraId="3C62D985" w14:textId="77777777" w:rsidR="00DA61F6" w:rsidRPr="001A5251" w:rsidRDefault="00DA61F6" w:rsidP="00524440">
      <w:pPr>
        <w:spacing w:line="360" w:lineRule="auto"/>
      </w:pPr>
      <w:r w:rsidRPr="001A5251">
        <w:t xml:space="preserve">Με βάση στοιχεία για την τελική κατανάλωση ενέργειας στη χώρα, συμπεραίνεται ότι υπάρχουν δυνατότητες για σημαντική εξοικονόμηση ενέργειας και αύξηση της ενεργειακής αποδοτικότητας στον οικιακό τομέα, καθώς η πλειονότητα των υφιστάμενων κτιρίων είναι χαμηλής ενεργειακής απόδοσης και συνεπώς υπάρχει σημαντικό δυναμικό βελτίωσης. </w:t>
      </w:r>
    </w:p>
    <w:p w14:paraId="373F870D" w14:textId="77777777" w:rsidR="00DA61F6" w:rsidRPr="001A5251" w:rsidRDefault="00DA61F6" w:rsidP="00524440">
      <w:pPr>
        <w:spacing w:line="360" w:lineRule="auto"/>
      </w:pPr>
      <w:r w:rsidRPr="001A5251">
        <w:t xml:space="preserve">Στο πλαίσιο αυτό, οι κύριες προτεραιότητες χρηματοδότησης για την παρούσα </w:t>
      </w:r>
      <w:r w:rsidR="00E5630E">
        <w:t>Προγραμματ</w:t>
      </w:r>
      <w:r w:rsidRPr="001A5251">
        <w:t xml:space="preserve">ική </w:t>
      </w:r>
      <w:r w:rsidR="00EB38B3">
        <w:t>Περίοδο</w:t>
      </w:r>
      <w:r w:rsidRPr="001A5251">
        <w:t xml:space="preserve"> περιλαμβάνουν τη μετάβαση σε μια οικονομία φιλική προς το περιβάλλον, με βασικό στόχο, μεταξύ άλλων, τη βελτίωση της ενεργειακής αποδοτικότητας των κτιρίων.</w:t>
      </w:r>
    </w:p>
    <w:p w14:paraId="1B2CDF5B" w14:textId="77777777" w:rsidR="00A724B3" w:rsidRPr="00A724B3" w:rsidRDefault="00DA61F6" w:rsidP="00524440">
      <w:pPr>
        <w:spacing w:line="360" w:lineRule="auto"/>
      </w:pPr>
      <w:r w:rsidRPr="001A5251">
        <w:t xml:space="preserve">Δεδομένου ότι η βελτίωση της ενεργειακής αποδοτικότητας των κτιρίων αποτελεί σημαντική επενδυτική προτεραιότητα, οι χρηματοδοτικοί πόροι για την επίτευξη του στόχου αυτού </w:t>
      </w:r>
      <w:r w:rsidRPr="001A5251">
        <w:lastRenderedPageBreak/>
        <w:t xml:space="preserve">προέρχονται από το τομεακό </w:t>
      </w:r>
      <w:r w:rsidR="00971D9A">
        <w:t>Πρόγραμμα</w:t>
      </w:r>
      <w:r w:rsidRPr="001A5251">
        <w:t xml:space="preserve"> «Ανταγωνιστικότητα, Επιχειρηματικότητα και Καινοτομία» (</w:t>
      </w:r>
      <w:r w:rsidR="00B925F9">
        <w:t>ΕΠΑνΕΚ</w:t>
      </w:r>
      <w:r w:rsidRPr="001A5251">
        <w:t xml:space="preserve">) και από Περιφερειακά Επιχειρησιακά </w:t>
      </w:r>
      <w:r w:rsidR="00E5630E">
        <w:t>Προγράμματ</w:t>
      </w:r>
      <w:r w:rsidRPr="001A5251">
        <w:t>α</w:t>
      </w:r>
      <w:r w:rsidR="00A724B3" w:rsidRPr="00A724B3">
        <w:t>.</w:t>
      </w:r>
    </w:p>
    <w:p w14:paraId="23817389" w14:textId="77777777" w:rsidR="000F378A" w:rsidRPr="000F378A" w:rsidRDefault="000F378A" w:rsidP="00FA5CD9">
      <w:pPr>
        <w:pStyle w:val="3"/>
      </w:pPr>
      <w:bookmarkStart w:id="14" w:name="_Toc454363939"/>
      <w:bookmarkStart w:id="15" w:name="_Toc36639193"/>
      <w:r w:rsidRPr="00E90826">
        <w:t xml:space="preserve">Στόχοι και προτεραιότητες του </w:t>
      </w:r>
      <w:r w:rsidR="00B925F9">
        <w:t>ΕΠΑνΕΚ</w:t>
      </w:r>
      <w:r w:rsidRPr="00E90826">
        <w:t xml:space="preserve"> 2014-2020 για την εξοικονόμηση ενέργειας</w:t>
      </w:r>
      <w:r w:rsidRPr="000F378A">
        <w:t xml:space="preserve"> στον τομέα της στέγασης</w:t>
      </w:r>
      <w:bookmarkEnd w:id="14"/>
      <w:bookmarkEnd w:id="15"/>
    </w:p>
    <w:p w14:paraId="383A2191" w14:textId="77777777" w:rsidR="000F378A" w:rsidRPr="005F1F0A" w:rsidRDefault="000F378A" w:rsidP="00524440">
      <w:pPr>
        <w:spacing w:line="360" w:lineRule="auto"/>
      </w:pPr>
      <w:r w:rsidRPr="005F1F0A">
        <w:t xml:space="preserve">Το Επιχειρησιακό </w:t>
      </w:r>
      <w:r w:rsidR="00971D9A">
        <w:t>Πρόγραμμα</w:t>
      </w:r>
      <w:r w:rsidRPr="005F1F0A">
        <w:t xml:space="preserve"> «Ανταγωνιστικότητα, Επιχειρηματικότητα, Καινοτομία» (</w:t>
      </w:r>
      <w:r w:rsidR="00B925F9">
        <w:t>ΕΠΑνΕΚ</w:t>
      </w:r>
      <w:r w:rsidRPr="005F1F0A">
        <w:t xml:space="preserve">) αποτελεί ένα από τα πέντε τομεακά επιχειρησιακά </w:t>
      </w:r>
      <w:r w:rsidR="00E5630E">
        <w:t>Προγράμματ</w:t>
      </w:r>
      <w:r w:rsidRPr="005F1F0A">
        <w:t xml:space="preserve">α του Συμφώνου Εταιρικής Σχέσης (νέο ΕΣΠΑ) για την </w:t>
      </w:r>
      <w:r w:rsidR="00EB38B3">
        <w:t>Περίοδο</w:t>
      </w:r>
      <w:r w:rsidRPr="005F1F0A">
        <w:t xml:space="preserve"> 2014-2020, που υποβλήθηκαν μαζί με τα 13 Περιφερειακά Επιχειρησιακά </w:t>
      </w:r>
      <w:r w:rsidR="00E5630E">
        <w:t>Προγράμματ</w:t>
      </w:r>
      <w:r w:rsidRPr="005F1F0A">
        <w:t>α στις 17/7/2014 από το Υπουργείο Ανάπτυξης και Ανταγωνιστικότητας στην Ευρωπαϊκή Επιτροπή.</w:t>
      </w:r>
      <w:r w:rsidR="00B67AE6">
        <w:t xml:space="preserve"> </w:t>
      </w:r>
    </w:p>
    <w:p w14:paraId="29268681" w14:textId="77777777" w:rsidR="001978A0" w:rsidRPr="005F1F0A" w:rsidRDefault="001978A0" w:rsidP="001978A0">
      <w:pPr>
        <w:spacing w:line="360" w:lineRule="auto"/>
      </w:pPr>
      <w:r w:rsidRPr="005F1F0A">
        <w:t xml:space="preserve">Το </w:t>
      </w:r>
      <w:r>
        <w:t>ΕΠΑνΕΚ</w:t>
      </w:r>
      <w:r w:rsidRPr="005F1F0A">
        <w:t xml:space="preserve"> καλύπτει γεωγραφικά το σύνολο της </w:t>
      </w:r>
      <w:r>
        <w:t>χ</w:t>
      </w:r>
      <w:r w:rsidRPr="005F1F0A">
        <w:t>ώρας και διαθέτει προϋπολογισμό 4,6</w:t>
      </w:r>
      <w:r>
        <w:t>7</w:t>
      </w:r>
      <w:r w:rsidRPr="005F1F0A">
        <w:t xml:space="preserve"> δι</w:t>
      </w:r>
      <w:r>
        <w:t>σ.</w:t>
      </w:r>
      <w:r w:rsidRPr="005F1F0A">
        <w:t xml:space="preserve"> ευρώ δημόσιας δαπάνης (3,6</w:t>
      </w:r>
      <w:r>
        <w:t>5</w:t>
      </w:r>
      <w:r w:rsidRPr="005F1F0A">
        <w:t xml:space="preserve"> δι</w:t>
      </w:r>
      <w:r>
        <w:t>σ.</w:t>
      </w:r>
      <w:r w:rsidRPr="005F1F0A">
        <w:t xml:space="preserve"> </w:t>
      </w:r>
      <w:r>
        <w:t>ευρώ Στήριξη της Ένωσης</w:t>
      </w:r>
      <w:r w:rsidRPr="005F1F0A">
        <w:t>), έναντι προϋπολογισμού του συνόλου των Προγραμμάτων ύψους 24,79 δι</w:t>
      </w:r>
      <w:r>
        <w:t>σ.</w:t>
      </w:r>
      <w:r w:rsidRPr="005F1F0A">
        <w:t xml:space="preserve"> ευρώ δημόσιας δαπάνης (19,89 δι</w:t>
      </w:r>
      <w:r>
        <w:t>σ.</w:t>
      </w:r>
      <w:r w:rsidRPr="005F1F0A">
        <w:t xml:space="preserve"> ευρώ </w:t>
      </w:r>
      <w:proofErr w:type="spellStart"/>
      <w:r w:rsidRPr="005F1F0A">
        <w:t>Ενωσιακής</w:t>
      </w:r>
      <w:proofErr w:type="spellEnd"/>
      <w:r w:rsidRPr="005F1F0A">
        <w:t xml:space="preserve"> Συνδρομής).</w:t>
      </w:r>
    </w:p>
    <w:p w14:paraId="4602B9A3" w14:textId="77777777" w:rsidR="000F378A" w:rsidRPr="005F1F0A" w:rsidRDefault="000F378A" w:rsidP="00524440">
      <w:pPr>
        <w:spacing w:line="360" w:lineRule="auto"/>
      </w:pPr>
      <w:r w:rsidRPr="005F1F0A">
        <w:t xml:space="preserve">Κεντρικός στρατηγικός στόχος του </w:t>
      </w:r>
      <w:r w:rsidR="00B925F9">
        <w:t>ΕΠΑνΕΚ</w:t>
      </w:r>
      <w:r w:rsidRPr="005F1F0A">
        <w:t xml:space="preserve"> είναι η ενίσχυση της ανταγωνιστικότητας και της εξωστρέφειας των επιχειρήσεων, η μετάβαση στην ποιοτική επιχειρηματικότητα, με αιχμή την καινοτομία και την αύξηση της εγχώριας προστιθέμενης αξίας. </w:t>
      </w:r>
    </w:p>
    <w:p w14:paraId="71987396" w14:textId="77777777" w:rsidR="000F378A" w:rsidRPr="005F1F0A" w:rsidRDefault="000F378A" w:rsidP="00524440">
      <w:pPr>
        <w:spacing w:line="360" w:lineRule="auto"/>
      </w:pPr>
      <w:r w:rsidRPr="005F1F0A">
        <w:t xml:space="preserve">Το </w:t>
      </w:r>
      <w:r w:rsidR="00B925F9">
        <w:t>ΕΠΑνΕΚ</w:t>
      </w:r>
      <w:r w:rsidRPr="005F1F0A">
        <w:t xml:space="preserve"> δομείται στους παρακάτω Άξονες Προτεραιότητας (ανάλογα με το είδος των περιφερειών στις οποίες αφορούν):</w:t>
      </w:r>
    </w:p>
    <w:p w14:paraId="00972560" w14:textId="77777777" w:rsidR="000F378A" w:rsidRPr="005F1F0A" w:rsidRDefault="000F378A" w:rsidP="00524440">
      <w:pPr>
        <w:pStyle w:val="a3"/>
        <w:numPr>
          <w:ilvl w:val="0"/>
          <w:numId w:val="7"/>
        </w:numPr>
        <w:spacing w:line="360" w:lineRule="auto"/>
      </w:pPr>
      <w:r w:rsidRPr="005F1F0A">
        <w:t>Άξονας 01 &amp; 01Σ: «Ανάπτυξη επιχειρηματικότητας με Τομεακές προτεραιότητ</w:t>
      </w:r>
      <w:r w:rsidR="001978A0">
        <w:t>ες» (προϋπολογισμού 2.452,12</w:t>
      </w:r>
      <w:r w:rsidR="001978A0" w:rsidRPr="005F1F0A">
        <w:t xml:space="preserve"> </w:t>
      </w:r>
      <w:r w:rsidR="001978A0">
        <w:t>εκ.€</w:t>
      </w:r>
      <w:r w:rsidRPr="005F1F0A">
        <w:t>)</w:t>
      </w:r>
    </w:p>
    <w:p w14:paraId="41818C4C" w14:textId="77777777" w:rsidR="000F378A" w:rsidRPr="005F1F0A" w:rsidRDefault="000F378A" w:rsidP="00524440">
      <w:pPr>
        <w:pStyle w:val="a3"/>
        <w:numPr>
          <w:ilvl w:val="0"/>
          <w:numId w:val="7"/>
        </w:numPr>
        <w:spacing w:line="360" w:lineRule="auto"/>
      </w:pPr>
      <w:r w:rsidRPr="005F1F0A">
        <w:t xml:space="preserve">Άξονας 02 &amp; 02Σ: «Προσαρμογή εργαζομένων, επιχειρήσεων και επιχειρηματικού περιβάλλοντος στις νέες αναπτυξιακές απαιτήσεις» (προϋπολογισμού </w:t>
      </w:r>
      <w:r w:rsidR="0027412F">
        <w:t>683,84</w:t>
      </w:r>
      <w:r w:rsidRPr="005F1F0A">
        <w:t xml:space="preserve"> εκ</w:t>
      </w:r>
      <w:r w:rsidR="0027412F">
        <w:t>.</w:t>
      </w:r>
      <w:r w:rsidRPr="005F1F0A">
        <w:t xml:space="preserve"> </w:t>
      </w:r>
      <w:r w:rsidR="0027412F">
        <w:t>€</w:t>
      </w:r>
      <w:r w:rsidRPr="005F1F0A">
        <w:t>)</w:t>
      </w:r>
    </w:p>
    <w:p w14:paraId="21F010D6" w14:textId="77777777" w:rsidR="000F378A" w:rsidRPr="005F1F0A" w:rsidRDefault="000F378A" w:rsidP="00524440">
      <w:pPr>
        <w:pStyle w:val="a3"/>
        <w:numPr>
          <w:ilvl w:val="0"/>
          <w:numId w:val="7"/>
        </w:numPr>
        <w:spacing w:line="360" w:lineRule="auto"/>
      </w:pPr>
      <w:r w:rsidRPr="005F1F0A">
        <w:t>Άξονας 03 &amp; 03Σ: «Ανάπτυξη μηχανισμών στήριξης της επιχειρηματικότητας» (προϋπολογισμού 1.</w:t>
      </w:r>
      <w:r w:rsidR="0027412F">
        <w:t>438,60</w:t>
      </w:r>
      <w:r w:rsidRPr="005F1F0A">
        <w:t xml:space="preserve"> </w:t>
      </w:r>
      <w:r w:rsidR="0027412F" w:rsidRPr="005F1F0A">
        <w:t>εκ</w:t>
      </w:r>
      <w:r w:rsidR="0027412F">
        <w:t>.</w:t>
      </w:r>
      <w:r w:rsidR="0027412F" w:rsidRPr="005F1F0A">
        <w:t xml:space="preserve"> </w:t>
      </w:r>
      <w:r w:rsidR="0027412F">
        <w:t>€</w:t>
      </w:r>
      <w:r w:rsidR="0027412F" w:rsidRPr="005F1F0A">
        <w:t>)</w:t>
      </w:r>
    </w:p>
    <w:p w14:paraId="11C29CCA" w14:textId="77777777" w:rsidR="000F378A" w:rsidRPr="005F1F0A" w:rsidRDefault="000F378A" w:rsidP="00524440">
      <w:pPr>
        <w:pStyle w:val="a3"/>
        <w:numPr>
          <w:ilvl w:val="0"/>
          <w:numId w:val="7"/>
        </w:numPr>
        <w:spacing w:line="360" w:lineRule="auto"/>
      </w:pPr>
      <w:r w:rsidRPr="005F1F0A">
        <w:t>Άξονας 04 &amp; 04Σ: «Τεχνική Συνδρομή ΕΤΠΑ» (προϋπολογισμού 7</w:t>
      </w:r>
      <w:r w:rsidR="0027412F">
        <w:t>9</w:t>
      </w:r>
      <w:r w:rsidRPr="005F1F0A">
        <w:t>,4</w:t>
      </w:r>
      <w:r w:rsidR="0027412F">
        <w:t>8</w:t>
      </w:r>
      <w:r w:rsidRPr="005F1F0A">
        <w:t xml:space="preserve"> εκ</w:t>
      </w:r>
      <w:r w:rsidR="0027412F">
        <w:t>.</w:t>
      </w:r>
      <w:r w:rsidRPr="005F1F0A">
        <w:t xml:space="preserve"> </w:t>
      </w:r>
      <w:r w:rsidR="0027412F">
        <w:t>€</w:t>
      </w:r>
      <w:r w:rsidRPr="005F1F0A">
        <w:t>)</w:t>
      </w:r>
    </w:p>
    <w:p w14:paraId="7205A9F3" w14:textId="77777777" w:rsidR="000F378A" w:rsidRPr="005F1F0A" w:rsidRDefault="000F378A" w:rsidP="00524440">
      <w:pPr>
        <w:pStyle w:val="a3"/>
        <w:numPr>
          <w:ilvl w:val="0"/>
          <w:numId w:val="7"/>
        </w:numPr>
        <w:spacing w:line="360" w:lineRule="auto"/>
      </w:pPr>
      <w:r w:rsidRPr="005F1F0A">
        <w:t>Άξονας 05 &amp; 05Σ: «Τεχνική Συνδρομή ΕΚΤ» (προϋπολογισμού 16,05 εκ ευρώ)</w:t>
      </w:r>
    </w:p>
    <w:p w14:paraId="5E55D4CC" w14:textId="77777777" w:rsidR="000F378A" w:rsidRPr="005F1F0A" w:rsidRDefault="000F378A" w:rsidP="00524440">
      <w:pPr>
        <w:spacing w:line="360" w:lineRule="auto"/>
      </w:pPr>
      <w:r w:rsidRPr="005F1F0A">
        <w:t xml:space="preserve">Οι </w:t>
      </w:r>
      <w:r w:rsidR="0027412F">
        <w:t>Θ</w:t>
      </w:r>
      <w:r w:rsidRPr="005F1F0A">
        <w:t xml:space="preserve">εματικοί </w:t>
      </w:r>
      <w:r w:rsidR="0027412F">
        <w:t>Σ</w:t>
      </w:r>
      <w:r w:rsidRPr="005F1F0A">
        <w:t xml:space="preserve">τόχοι που εξυπηρετούνται μέσα από την υλοποίηση των αξόνων προτεραιότητας και υποστηρίζουν την επίτευξη των στόχων της Ε2020, στο πλαίσιο της υλοποίησης του </w:t>
      </w:r>
      <w:r w:rsidR="00B925F9">
        <w:t>ΕΠΑνΕΚ</w:t>
      </w:r>
      <w:r w:rsidRPr="005F1F0A">
        <w:t xml:space="preserve"> είναι οι ακόλουθοι: </w:t>
      </w:r>
    </w:p>
    <w:tbl>
      <w:tblPr>
        <w:tblStyle w:val="a6"/>
        <w:tblW w:w="0" w:type="auto"/>
        <w:tblInd w:w="108" w:type="dxa"/>
        <w:tblLook w:val="04A0" w:firstRow="1" w:lastRow="0" w:firstColumn="1" w:lastColumn="0" w:noHBand="0" w:noVBand="1"/>
      </w:tblPr>
      <w:tblGrid>
        <w:gridCol w:w="1183"/>
        <w:gridCol w:w="7487"/>
      </w:tblGrid>
      <w:tr w:rsidR="000F378A" w:rsidRPr="00E8446F" w14:paraId="450A732E" w14:textId="77777777" w:rsidTr="0089240A">
        <w:tc>
          <w:tcPr>
            <w:tcW w:w="1160" w:type="dxa"/>
          </w:tcPr>
          <w:p w14:paraId="1DD18A53" w14:textId="77777777" w:rsidR="000F378A" w:rsidRPr="00E8446F" w:rsidRDefault="000F378A" w:rsidP="00524440">
            <w:pPr>
              <w:spacing w:after="40" w:line="360" w:lineRule="auto"/>
              <w:rPr>
                <w:b/>
              </w:rPr>
            </w:pPr>
            <w:r w:rsidRPr="00E8446F">
              <w:rPr>
                <w:b/>
              </w:rPr>
              <w:t>Θεματικός Στόχος</w:t>
            </w:r>
          </w:p>
        </w:tc>
        <w:tc>
          <w:tcPr>
            <w:tcW w:w="7629" w:type="dxa"/>
            <w:vAlign w:val="center"/>
          </w:tcPr>
          <w:p w14:paraId="0AB4616E" w14:textId="77777777" w:rsidR="000F378A" w:rsidRPr="00E8446F" w:rsidRDefault="000F378A" w:rsidP="00524440">
            <w:pPr>
              <w:spacing w:after="40" w:line="360" w:lineRule="auto"/>
              <w:rPr>
                <w:b/>
              </w:rPr>
            </w:pPr>
            <w:r w:rsidRPr="00E8446F">
              <w:rPr>
                <w:b/>
              </w:rPr>
              <w:t>Ονομασία Θεματικού Στόχου</w:t>
            </w:r>
          </w:p>
        </w:tc>
      </w:tr>
      <w:tr w:rsidR="000F378A" w:rsidRPr="00B67AE6" w14:paraId="1D3D0C0A" w14:textId="77777777" w:rsidTr="0089240A">
        <w:tc>
          <w:tcPr>
            <w:tcW w:w="1160" w:type="dxa"/>
          </w:tcPr>
          <w:p w14:paraId="3CF18AB8" w14:textId="77777777" w:rsidR="000F378A" w:rsidRPr="00B67AE6" w:rsidRDefault="000F378A" w:rsidP="00524440">
            <w:pPr>
              <w:spacing w:after="40" w:line="360" w:lineRule="auto"/>
            </w:pPr>
            <w:r w:rsidRPr="00B67AE6">
              <w:lastRenderedPageBreak/>
              <w:t>1</w:t>
            </w:r>
          </w:p>
        </w:tc>
        <w:tc>
          <w:tcPr>
            <w:tcW w:w="7629" w:type="dxa"/>
          </w:tcPr>
          <w:p w14:paraId="19639AF9" w14:textId="77777777" w:rsidR="000F378A" w:rsidRPr="00B67AE6" w:rsidRDefault="000F378A" w:rsidP="00524440">
            <w:pPr>
              <w:spacing w:after="40" w:line="360" w:lineRule="auto"/>
            </w:pPr>
            <w:r w:rsidRPr="00B67AE6">
              <w:t>Ενίσχυση της έρευνας, της τεχνολογικής ανάπτυξης και της καινοτομίας</w:t>
            </w:r>
          </w:p>
        </w:tc>
      </w:tr>
      <w:tr w:rsidR="000F378A" w:rsidRPr="00B67AE6" w14:paraId="46C46DAC" w14:textId="77777777" w:rsidTr="0089240A">
        <w:tc>
          <w:tcPr>
            <w:tcW w:w="1160" w:type="dxa"/>
          </w:tcPr>
          <w:p w14:paraId="4A039D58" w14:textId="77777777" w:rsidR="000F378A" w:rsidRPr="00B67AE6" w:rsidRDefault="000F378A" w:rsidP="00524440">
            <w:pPr>
              <w:spacing w:after="40" w:line="360" w:lineRule="auto"/>
            </w:pPr>
            <w:r w:rsidRPr="00B67AE6">
              <w:t>2</w:t>
            </w:r>
          </w:p>
          <w:p w14:paraId="07B81E47" w14:textId="77777777" w:rsidR="000F378A" w:rsidRPr="00B67AE6" w:rsidRDefault="000F378A" w:rsidP="00524440">
            <w:pPr>
              <w:spacing w:after="40" w:line="360" w:lineRule="auto"/>
            </w:pPr>
          </w:p>
        </w:tc>
        <w:tc>
          <w:tcPr>
            <w:tcW w:w="7629" w:type="dxa"/>
          </w:tcPr>
          <w:p w14:paraId="3D6E2D16" w14:textId="77777777" w:rsidR="000F378A" w:rsidRPr="00B67AE6" w:rsidRDefault="000F378A" w:rsidP="00524440">
            <w:pPr>
              <w:spacing w:after="40" w:line="360" w:lineRule="auto"/>
            </w:pPr>
            <w:r w:rsidRPr="00B67AE6">
              <w:t>Ενίσχυση της πρόσβασης, χρήσης και ποιότητας, των τεχνολογιών πληροφορικής και επικοινωνιών</w:t>
            </w:r>
            <w:r w:rsidR="00B67AE6" w:rsidRPr="00B67AE6">
              <w:t xml:space="preserve"> </w:t>
            </w:r>
          </w:p>
        </w:tc>
      </w:tr>
      <w:tr w:rsidR="000F378A" w:rsidRPr="00B67AE6" w14:paraId="4D655F54" w14:textId="77777777" w:rsidTr="0089240A">
        <w:tc>
          <w:tcPr>
            <w:tcW w:w="1160" w:type="dxa"/>
          </w:tcPr>
          <w:p w14:paraId="78B040AA" w14:textId="77777777" w:rsidR="000F378A" w:rsidRPr="00B67AE6" w:rsidRDefault="000F378A" w:rsidP="00524440">
            <w:pPr>
              <w:spacing w:after="40" w:line="360" w:lineRule="auto"/>
            </w:pPr>
            <w:r w:rsidRPr="00B67AE6">
              <w:t>3</w:t>
            </w:r>
          </w:p>
        </w:tc>
        <w:tc>
          <w:tcPr>
            <w:tcW w:w="7629" w:type="dxa"/>
          </w:tcPr>
          <w:p w14:paraId="1CADAA27" w14:textId="77777777" w:rsidR="000F378A" w:rsidRPr="00B67AE6" w:rsidRDefault="000F378A" w:rsidP="00524440">
            <w:pPr>
              <w:spacing w:after="40" w:line="360" w:lineRule="auto"/>
            </w:pPr>
            <w:r w:rsidRPr="00B67AE6">
              <w:t>Ενίσχυση της ανταγωνιστικότητας των μικρών και μεσαίων επιχειρήσεων, του γεωργικού τομέα (για το ΕΓΤΑΑ), και της αλιείας και των υδατοκαλλιεργειών (για το ΕΤΘΑ)</w:t>
            </w:r>
          </w:p>
        </w:tc>
      </w:tr>
      <w:tr w:rsidR="000F378A" w:rsidRPr="00B67AE6" w14:paraId="2DACA07D" w14:textId="77777777" w:rsidTr="0089240A">
        <w:tc>
          <w:tcPr>
            <w:tcW w:w="1160" w:type="dxa"/>
          </w:tcPr>
          <w:p w14:paraId="4506E618" w14:textId="77777777" w:rsidR="000F378A" w:rsidRPr="00B67AE6" w:rsidRDefault="000F378A" w:rsidP="00524440">
            <w:pPr>
              <w:spacing w:after="40" w:line="360" w:lineRule="auto"/>
            </w:pPr>
            <w:r w:rsidRPr="00B67AE6">
              <w:t>4</w:t>
            </w:r>
          </w:p>
          <w:p w14:paraId="34B5F29F" w14:textId="77777777" w:rsidR="000F378A" w:rsidRPr="00B67AE6" w:rsidRDefault="000F378A" w:rsidP="00524440">
            <w:pPr>
              <w:spacing w:after="40" w:line="360" w:lineRule="auto"/>
            </w:pPr>
          </w:p>
        </w:tc>
        <w:tc>
          <w:tcPr>
            <w:tcW w:w="7629" w:type="dxa"/>
          </w:tcPr>
          <w:p w14:paraId="432997AD" w14:textId="77777777" w:rsidR="000F378A" w:rsidRPr="00B67AE6" w:rsidRDefault="000F378A" w:rsidP="00524440">
            <w:pPr>
              <w:spacing w:after="40" w:line="360" w:lineRule="auto"/>
            </w:pPr>
            <w:r w:rsidRPr="00B67AE6">
              <w:t xml:space="preserve">Ενίσχυση της μετάβασης προς την οικονομία χαμηλών εκπομπών ρύπων σε όλους τους τομείς </w:t>
            </w:r>
          </w:p>
        </w:tc>
      </w:tr>
      <w:tr w:rsidR="000F378A" w:rsidRPr="00B67AE6" w14:paraId="6828E0CB" w14:textId="77777777" w:rsidTr="0089240A">
        <w:tc>
          <w:tcPr>
            <w:tcW w:w="1160" w:type="dxa"/>
          </w:tcPr>
          <w:p w14:paraId="5295B0AE" w14:textId="77777777" w:rsidR="000F378A" w:rsidRPr="00B67AE6" w:rsidRDefault="000F378A" w:rsidP="00524440">
            <w:pPr>
              <w:spacing w:after="40" w:line="360" w:lineRule="auto"/>
            </w:pPr>
            <w:r w:rsidRPr="00B67AE6">
              <w:t>6</w:t>
            </w:r>
          </w:p>
        </w:tc>
        <w:tc>
          <w:tcPr>
            <w:tcW w:w="7629" w:type="dxa"/>
          </w:tcPr>
          <w:p w14:paraId="53A7D1CF" w14:textId="77777777" w:rsidR="000F378A" w:rsidRPr="00B67AE6" w:rsidRDefault="000F378A" w:rsidP="00524440">
            <w:pPr>
              <w:spacing w:after="40" w:line="360" w:lineRule="auto"/>
            </w:pPr>
            <w:r w:rsidRPr="00B67AE6">
              <w:t>Προστασία του περιβάλλοντος και προώθηση της αποδοτικότητας των πόρων</w:t>
            </w:r>
          </w:p>
        </w:tc>
      </w:tr>
      <w:tr w:rsidR="000F378A" w:rsidRPr="00B67AE6" w14:paraId="36040914" w14:textId="77777777" w:rsidTr="0089240A">
        <w:tc>
          <w:tcPr>
            <w:tcW w:w="1160" w:type="dxa"/>
          </w:tcPr>
          <w:p w14:paraId="0344A97C" w14:textId="77777777" w:rsidR="000F378A" w:rsidRPr="00B67AE6" w:rsidRDefault="000F378A" w:rsidP="00524440">
            <w:pPr>
              <w:spacing w:after="40" w:line="360" w:lineRule="auto"/>
            </w:pPr>
            <w:r w:rsidRPr="00B67AE6">
              <w:t>7</w:t>
            </w:r>
          </w:p>
          <w:p w14:paraId="7C26B670" w14:textId="77777777" w:rsidR="000F378A" w:rsidRPr="00B67AE6" w:rsidRDefault="000F378A" w:rsidP="00524440">
            <w:pPr>
              <w:spacing w:after="40" w:line="360" w:lineRule="auto"/>
            </w:pPr>
          </w:p>
        </w:tc>
        <w:tc>
          <w:tcPr>
            <w:tcW w:w="7629" w:type="dxa"/>
          </w:tcPr>
          <w:p w14:paraId="7431CFF6" w14:textId="77777777" w:rsidR="000F378A" w:rsidRPr="00B67AE6" w:rsidRDefault="000F378A" w:rsidP="00524440">
            <w:pPr>
              <w:spacing w:after="40" w:line="360" w:lineRule="auto"/>
            </w:pPr>
            <w:r w:rsidRPr="00B67AE6">
              <w:t>Προώθηση των βιώσιμων μεταφορών και απομάκρυνση των σημείων συμφόρησης σε σημαντικά δίκτυα υποδομών</w:t>
            </w:r>
          </w:p>
        </w:tc>
      </w:tr>
      <w:tr w:rsidR="000F378A" w:rsidRPr="00B67AE6" w14:paraId="3600B411" w14:textId="77777777" w:rsidTr="0089240A">
        <w:tc>
          <w:tcPr>
            <w:tcW w:w="1160" w:type="dxa"/>
          </w:tcPr>
          <w:p w14:paraId="53DD0FB8" w14:textId="77777777" w:rsidR="000F378A" w:rsidRPr="00B67AE6" w:rsidRDefault="000F378A" w:rsidP="00524440">
            <w:pPr>
              <w:spacing w:after="40" w:line="360" w:lineRule="auto"/>
            </w:pPr>
            <w:r w:rsidRPr="00B67AE6">
              <w:t>8</w:t>
            </w:r>
          </w:p>
        </w:tc>
        <w:tc>
          <w:tcPr>
            <w:tcW w:w="7629" w:type="dxa"/>
          </w:tcPr>
          <w:p w14:paraId="62B0DC4F" w14:textId="77777777" w:rsidR="000F378A" w:rsidRPr="00B67AE6" w:rsidRDefault="000F378A" w:rsidP="00524440">
            <w:pPr>
              <w:spacing w:after="40" w:line="360" w:lineRule="auto"/>
            </w:pPr>
            <w:r w:rsidRPr="00B67AE6">
              <w:t>Προώθηση της απασχόλησης και υποστήριξη της κινητικότητας των εργαζομένων</w:t>
            </w:r>
          </w:p>
        </w:tc>
      </w:tr>
      <w:tr w:rsidR="000F378A" w:rsidRPr="00B67AE6" w14:paraId="67D479F6" w14:textId="77777777" w:rsidTr="0089240A">
        <w:tc>
          <w:tcPr>
            <w:tcW w:w="1160" w:type="dxa"/>
          </w:tcPr>
          <w:p w14:paraId="5408C332" w14:textId="77777777" w:rsidR="000F378A" w:rsidRPr="00B67AE6" w:rsidRDefault="000F378A" w:rsidP="00524440">
            <w:pPr>
              <w:spacing w:after="40" w:line="360" w:lineRule="auto"/>
            </w:pPr>
            <w:r w:rsidRPr="00B67AE6">
              <w:t>10</w:t>
            </w:r>
          </w:p>
        </w:tc>
        <w:tc>
          <w:tcPr>
            <w:tcW w:w="7629" w:type="dxa"/>
          </w:tcPr>
          <w:p w14:paraId="6F3538E4" w14:textId="77777777" w:rsidR="000F378A" w:rsidRPr="00B67AE6" w:rsidRDefault="000F378A" w:rsidP="00524440">
            <w:pPr>
              <w:spacing w:after="40" w:line="360" w:lineRule="auto"/>
            </w:pPr>
            <w:r w:rsidRPr="00B67AE6">
              <w:t>Επένδυση στην εκπαίδευση, τις δεξιότητες και στη δια βίου μάθηση</w:t>
            </w:r>
          </w:p>
        </w:tc>
      </w:tr>
      <w:tr w:rsidR="000F378A" w:rsidRPr="00B67AE6" w14:paraId="10C4F602" w14:textId="77777777" w:rsidTr="0089240A">
        <w:tc>
          <w:tcPr>
            <w:tcW w:w="1160" w:type="dxa"/>
          </w:tcPr>
          <w:p w14:paraId="5D57CB60" w14:textId="77777777" w:rsidR="000F378A" w:rsidRPr="00B67AE6" w:rsidRDefault="000F378A" w:rsidP="00524440">
            <w:pPr>
              <w:spacing w:after="40" w:line="360" w:lineRule="auto"/>
            </w:pPr>
            <w:r w:rsidRPr="00B67AE6">
              <w:t>11</w:t>
            </w:r>
          </w:p>
        </w:tc>
        <w:tc>
          <w:tcPr>
            <w:tcW w:w="7629" w:type="dxa"/>
          </w:tcPr>
          <w:p w14:paraId="0C220921" w14:textId="77777777" w:rsidR="000F378A" w:rsidRPr="00B67AE6" w:rsidRDefault="000F378A" w:rsidP="00524440">
            <w:pPr>
              <w:spacing w:after="40" w:line="360" w:lineRule="auto"/>
            </w:pPr>
            <w:r w:rsidRPr="00B67AE6">
              <w:t>Βελτίωση της θεσμικής επάρκειας και της αποτελεσματικής δημόσιας διοίκησης.</w:t>
            </w:r>
          </w:p>
        </w:tc>
      </w:tr>
    </w:tbl>
    <w:p w14:paraId="6F1E54FC" w14:textId="77777777" w:rsidR="000F378A" w:rsidRDefault="000F378A" w:rsidP="00524440">
      <w:pPr>
        <w:spacing w:line="360" w:lineRule="auto"/>
      </w:pPr>
    </w:p>
    <w:p w14:paraId="79AF3277" w14:textId="77777777" w:rsidR="0027412F" w:rsidRPr="0027412F" w:rsidRDefault="0027412F" w:rsidP="0027412F">
      <w:pPr>
        <w:spacing w:before="160" w:line="360" w:lineRule="auto"/>
      </w:pPr>
      <w:r w:rsidRPr="0027412F">
        <w:t>Οι Άξονες Προτεραιότητας 03 &amp; 03Σ υλοποιούνται, μέσα από τις Επενδυτικές Προτεραιότητες:</w:t>
      </w:r>
    </w:p>
    <w:p w14:paraId="51300739" w14:textId="77777777" w:rsidR="0027412F" w:rsidRPr="0027412F" w:rsidRDefault="0027412F" w:rsidP="0027412F">
      <w:pPr>
        <w:pStyle w:val="a3"/>
        <w:numPr>
          <w:ilvl w:val="0"/>
          <w:numId w:val="8"/>
        </w:numPr>
        <w:spacing w:before="160" w:line="360" w:lineRule="auto"/>
      </w:pPr>
      <w:r w:rsidRPr="0027412F">
        <w:t>1</w:t>
      </w:r>
      <w:r w:rsidRPr="0027412F">
        <w:rPr>
          <w:lang w:val="en-US"/>
        </w:rPr>
        <w:t>a</w:t>
      </w:r>
      <w:r w:rsidRPr="0027412F">
        <w:t>: Ενίσχυση υποδομών έρευνας και καινοτομίας και ικανοτήτων ανάπτυξης αριστείας στον τομέα της έρευνας και καινοτομίας και προώθηση κέντρων ικανότητας, ιδίως των κέντρων ευρωπαϊκού ενδιαφέροντος.</w:t>
      </w:r>
    </w:p>
    <w:p w14:paraId="3A92099F" w14:textId="77777777" w:rsidR="0027412F" w:rsidRPr="0027412F" w:rsidRDefault="0027412F" w:rsidP="0027412F">
      <w:pPr>
        <w:pStyle w:val="a3"/>
        <w:numPr>
          <w:ilvl w:val="0"/>
          <w:numId w:val="8"/>
        </w:numPr>
        <w:spacing w:before="160" w:line="360" w:lineRule="auto"/>
      </w:pPr>
      <w:r w:rsidRPr="0027412F">
        <w:t>2</w:t>
      </w:r>
      <w:r w:rsidRPr="0027412F">
        <w:rPr>
          <w:lang w:val="en-US"/>
        </w:rPr>
        <w:t>a</w:t>
      </w:r>
      <w:r w:rsidRPr="0027412F">
        <w:t xml:space="preserve">: Περαιτέρω ανάπτυξη των </w:t>
      </w:r>
      <w:proofErr w:type="spellStart"/>
      <w:r w:rsidRPr="0027412F">
        <w:t>ευρυζωνικών</w:t>
      </w:r>
      <w:proofErr w:type="spellEnd"/>
      <w:r w:rsidRPr="0027412F">
        <w:t xml:space="preserve"> συνδέσεων και των δικτύων υψηλής ταχύτητας και υποστήριξη της υιοθέτησης αναδυόμενων τεχνολογιών και δικτύων στο πλαίσιο της ψηφιακής οικονομίας.</w:t>
      </w:r>
    </w:p>
    <w:p w14:paraId="0F87F287" w14:textId="77777777" w:rsidR="0027412F" w:rsidRPr="0027412F" w:rsidRDefault="0027412F" w:rsidP="0027412F">
      <w:pPr>
        <w:pStyle w:val="a3"/>
        <w:numPr>
          <w:ilvl w:val="0"/>
          <w:numId w:val="8"/>
        </w:numPr>
        <w:spacing w:before="160" w:line="360" w:lineRule="auto"/>
      </w:pPr>
      <w:r w:rsidRPr="0027412F">
        <w:t>4</w:t>
      </w:r>
      <w:r w:rsidRPr="0027412F">
        <w:rPr>
          <w:lang w:val="en-US"/>
        </w:rPr>
        <w:t>b</w:t>
      </w:r>
      <w:r w:rsidRPr="0027412F">
        <w:t>: Προώθηση της ενεργειακής απόδοσης και της χρήσης ανανεώσιμων πηγών ενέργειας στις επιχειρήσεις.</w:t>
      </w:r>
    </w:p>
    <w:p w14:paraId="6D6FEFBE" w14:textId="77777777" w:rsidR="0027412F" w:rsidRPr="0027412F" w:rsidRDefault="0027412F" w:rsidP="0027412F">
      <w:pPr>
        <w:pStyle w:val="a3"/>
        <w:numPr>
          <w:ilvl w:val="0"/>
          <w:numId w:val="8"/>
        </w:numPr>
        <w:spacing w:before="160" w:line="360" w:lineRule="auto"/>
      </w:pPr>
      <w:r w:rsidRPr="0027412F">
        <w:t>4c: Στήριξη της ενεργειακής απόδοσης, της έξυπνης διαχείρισης της ενέργειας και της χρήσης ανανεώσιμων πηγών ενέργειας στις δημόσιες υποδομές, συμπεριλαμβανομένων των δημόσιων κτιρίων, και στον τομέα της στέγασης.</w:t>
      </w:r>
    </w:p>
    <w:p w14:paraId="7A4D4FE5" w14:textId="77777777" w:rsidR="0027412F" w:rsidRPr="0027412F" w:rsidRDefault="0027412F" w:rsidP="0027412F">
      <w:pPr>
        <w:pStyle w:val="a3"/>
        <w:numPr>
          <w:ilvl w:val="0"/>
          <w:numId w:val="8"/>
        </w:numPr>
        <w:spacing w:before="160" w:line="360" w:lineRule="auto"/>
      </w:pPr>
      <w:r w:rsidRPr="0027412F">
        <w:t>6</w:t>
      </w:r>
      <w:r w:rsidRPr="0027412F">
        <w:rPr>
          <w:lang w:val="en-US"/>
        </w:rPr>
        <w:t>c</w:t>
      </w:r>
      <w:r w:rsidRPr="0027412F">
        <w:t>: Διατήρηση, προστασία, προώθηση και ανάπτυξη της φυσικής και πολιτιστικής κληρονομιάς.</w:t>
      </w:r>
    </w:p>
    <w:p w14:paraId="02FEF869" w14:textId="77777777" w:rsidR="0027412F" w:rsidRPr="0027412F" w:rsidRDefault="0027412F" w:rsidP="0027412F">
      <w:pPr>
        <w:pStyle w:val="a3"/>
        <w:numPr>
          <w:ilvl w:val="0"/>
          <w:numId w:val="8"/>
        </w:numPr>
        <w:spacing w:before="160" w:line="360" w:lineRule="auto"/>
      </w:pPr>
      <w:r w:rsidRPr="0027412F">
        <w:lastRenderedPageBreak/>
        <w:t>6</w:t>
      </w:r>
      <w:r w:rsidRPr="0027412F">
        <w:rPr>
          <w:lang w:val="en-US"/>
        </w:rPr>
        <w:t>g</w:t>
      </w:r>
      <w:r w:rsidRPr="0027412F">
        <w:t>: Στήριξη της βιομηχανικής μετάβασης προς μια οικονομία με αποδοτική χρήση των πόρων, προώθηση της πράσινης ανάπτυξης, της οικολογικής καινοτομίας και της διαχείρισης περιβαλλοντικών επιδόσεων στον δημόσιο και τον ιδιωτικό τομέα.</w:t>
      </w:r>
    </w:p>
    <w:p w14:paraId="0A8C7D22" w14:textId="77777777" w:rsidR="0027412F" w:rsidRPr="0027412F" w:rsidRDefault="0027412F" w:rsidP="0027412F">
      <w:pPr>
        <w:pStyle w:val="a3"/>
        <w:numPr>
          <w:ilvl w:val="0"/>
          <w:numId w:val="8"/>
        </w:numPr>
        <w:spacing w:before="160" w:line="360" w:lineRule="auto"/>
      </w:pPr>
      <w:r w:rsidRPr="0027412F">
        <w:t>7</w:t>
      </w:r>
      <w:r w:rsidRPr="0027412F">
        <w:rPr>
          <w:lang w:val="en-US"/>
        </w:rPr>
        <w:t>e</w:t>
      </w:r>
      <w:r w:rsidRPr="0027412F">
        <w:t>: Βελτίωση της ενεργειακής απόδοσης και της ασφάλειας του εφοδιασμού μέσω της ανάπτυξης έξυπνων συστημάτων διανομής, αποθήκευσης και μεταφοράς ενέργειας και μέσω της ενσωμάτωσης σε αυτά της διανεμόμενης ενέργειας από ανανεώσιμες πηγές.</w:t>
      </w:r>
    </w:p>
    <w:p w14:paraId="4AA9428B" w14:textId="77777777" w:rsidR="0027412F" w:rsidRPr="0027412F" w:rsidRDefault="0027412F" w:rsidP="0027412F">
      <w:pPr>
        <w:spacing w:before="160" w:line="360" w:lineRule="auto"/>
      </w:pPr>
      <w:r w:rsidRPr="0027412F">
        <w:t>Ειδικότερα, η Επενδυτική Προτεραιότητα 4c αφορά σε δράσεις ενεργειακής αναβάθμισης κατοικιών, οι οποίες πρόκειται να χρηματοδοτηθούν κυρίως από το ΕΠΑνΕΚ και συμπληρωματικά από τα ΠΕΠ. Ειδικός Στόχος της εν λόγω επενδυτικής προτεραιότητας είναι η εξοικονόμηση ενέργειας και η βελτίωση της ενεργειακής απόδοσης με αναβάθμιση του κτιριακού αποθέματος στις δημόσιες υποδομές και στον τομέα της στέγασης.</w:t>
      </w:r>
    </w:p>
    <w:p w14:paraId="5A6A9A03" w14:textId="77777777" w:rsidR="00EB2907" w:rsidRPr="0027412F" w:rsidRDefault="00EB2907" w:rsidP="0027412F">
      <w:pPr>
        <w:spacing w:before="160" w:line="360" w:lineRule="auto"/>
      </w:pPr>
      <w:r w:rsidRPr="0027412F">
        <w:t>Ο συγκεκριμένος Ειδικός Στόχος</w:t>
      </w:r>
      <w:r w:rsidR="00426ED0" w:rsidRPr="0027412F">
        <w:t xml:space="preserve"> του </w:t>
      </w:r>
      <w:r w:rsidR="00B925F9" w:rsidRPr="0027412F">
        <w:t>ΕΠΑνΕΚ</w:t>
      </w:r>
      <w:r w:rsidRPr="0027412F">
        <w:t xml:space="preserve"> αποσκοπεί στα εξής αποτελέσματα:</w:t>
      </w:r>
    </w:p>
    <w:p w14:paraId="46A3599A" w14:textId="77777777" w:rsidR="00EB2907" w:rsidRPr="0027412F" w:rsidRDefault="00EB2907" w:rsidP="0027412F">
      <w:pPr>
        <w:pStyle w:val="a3"/>
        <w:numPr>
          <w:ilvl w:val="0"/>
          <w:numId w:val="9"/>
        </w:numPr>
        <w:spacing w:before="160" w:line="360" w:lineRule="auto"/>
      </w:pPr>
      <w:r w:rsidRPr="0027412F">
        <w:t>Εξοικονόμηση τελικής ενέργειας από την ενεργειακή αναβάθμιση των κατοικιών</w:t>
      </w:r>
      <w:r w:rsidR="00B67AE6" w:rsidRPr="0027412F">
        <w:t xml:space="preserve"> </w:t>
      </w:r>
    </w:p>
    <w:p w14:paraId="03B15419" w14:textId="77777777" w:rsidR="00EB2907" w:rsidRPr="0027412F" w:rsidRDefault="00EB2907" w:rsidP="0027412F">
      <w:pPr>
        <w:pStyle w:val="a3"/>
        <w:numPr>
          <w:ilvl w:val="0"/>
          <w:numId w:val="9"/>
        </w:numPr>
        <w:spacing w:before="160" w:line="360" w:lineRule="auto"/>
      </w:pPr>
      <w:r w:rsidRPr="0027412F">
        <w:t>Εξοικονόμηση τελικής ενέργειας από την ενεργειακή αναβάθμιση των δημόσιων κτιρίων</w:t>
      </w:r>
      <w:r w:rsidR="00B67AE6" w:rsidRPr="0027412F">
        <w:t xml:space="preserve"> </w:t>
      </w:r>
    </w:p>
    <w:p w14:paraId="44F3ECD1" w14:textId="77777777" w:rsidR="003E0B72" w:rsidRPr="0027412F" w:rsidRDefault="00EB2907" w:rsidP="0027412F">
      <w:pPr>
        <w:spacing w:before="160" w:line="360" w:lineRule="auto"/>
      </w:pPr>
      <w:r w:rsidRPr="0027412F">
        <w:t xml:space="preserve">Συνεπώς, τα αποτελέσματα που επιδιώκονται μέσα από την επενδυτική προτεραιότητα έχουν </w:t>
      </w:r>
      <w:r w:rsidR="00426ED0" w:rsidRPr="0027412F">
        <w:t xml:space="preserve">ως στόχο </w:t>
      </w:r>
      <w:r w:rsidRPr="0027412F">
        <w:t xml:space="preserve">την αύξηση των παρεμβάσεων ενεργειακής αναβάθμισης στο υφιστάμενο κτηριακό απόθεμα </w:t>
      </w:r>
      <w:r w:rsidR="003029FE" w:rsidRPr="0027412F">
        <w:t>(</w:t>
      </w:r>
      <w:r w:rsidRPr="0027412F">
        <w:t xml:space="preserve">δημόσιων </w:t>
      </w:r>
      <w:r w:rsidR="003029FE" w:rsidRPr="0027412F">
        <w:t>κτιρίων</w:t>
      </w:r>
      <w:r w:rsidRPr="0027412F">
        <w:t xml:space="preserve"> και κατοικιών</w:t>
      </w:r>
      <w:r w:rsidR="003029FE" w:rsidRPr="0027412F">
        <w:t>)</w:t>
      </w:r>
      <w:r w:rsidRPr="0027412F">
        <w:t xml:space="preserve">, έτσι ώστε να μειωθεί η κατανάλωση της πρωτογενούς ενέργειας. </w:t>
      </w:r>
    </w:p>
    <w:p w14:paraId="5CD0EE6F" w14:textId="77777777" w:rsidR="00EB2907" w:rsidRPr="0027412F" w:rsidRDefault="00EB2907" w:rsidP="0027412F">
      <w:pPr>
        <w:spacing w:before="160" w:line="360" w:lineRule="auto"/>
      </w:pPr>
      <w:r w:rsidRPr="0027412F">
        <w:t xml:space="preserve">Οι δράσεις </w:t>
      </w:r>
      <w:r w:rsidR="003029FE" w:rsidRPr="0027412F">
        <w:t xml:space="preserve">που θα υλοποιηθούν </w:t>
      </w:r>
      <w:r w:rsidRPr="0027412F">
        <w:t>ομαδοποιούνται στις παρακάτω κατηγορί</w:t>
      </w:r>
      <w:r w:rsidR="003E0B72" w:rsidRPr="0027412F">
        <w:t>ε</w:t>
      </w:r>
      <w:r w:rsidRPr="0027412F">
        <w:t>ς:</w:t>
      </w:r>
    </w:p>
    <w:p w14:paraId="5657F05D" w14:textId="77777777" w:rsidR="00EB2907" w:rsidRPr="0027412F" w:rsidRDefault="00EB2907" w:rsidP="0027412F">
      <w:pPr>
        <w:pStyle w:val="a3"/>
        <w:numPr>
          <w:ilvl w:val="0"/>
          <w:numId w:val="10"/>
        </w:numPr>
        <w:spacing w:before="160" w:line="360" w:lineRule="auto"/>
      </w:pPr>
      <w:r w:rsidRPr="0027412F">
        <w:t xml:space="preserve">Ενεργειακή αναβάθμιση κατοικιών: Οι ενισχύσεις αφορούν σε παρεμβάσεις βελτίωσης της ενεργειακής απόδοσης των κτιρίων μέσω της εγκατάστασης ενεργειακά αποδοτικών συστημάτων </w:t>
      </w:r>
      <w:r w:rsidR="00F00900" w:rsidRPr="0027412F">
        <w:t xml:space="preserve">και συστημάτων ΑΠΕ </w:t>
      </w:r>
      <w:r w:rsidRPr="0027412F">
        <w:t xml:space="preserve">για την ψύξη, τη θέρμανση χώρων και την παραγωγή ζεστού νερού χρήσης (ΖΝΧ), καθώς και τεχνολογιών εξοικονόμησης ενέργειας. Είναι σημαντικό να δοθεί προτεραιότητα, όπου αυτό είναι εφικτό, στην προώθηση </w:t>
      </w:r>
      <w:r w:rsidR="009F5C3E" w:rsidRPr="0027412F">
        <w:t xml:space="preserve">τεχνολογιών υψηλής απόδοσης (π.χ. αντλίες </w:t>
      </w:r>
      <w:r w:rsidRPr="0027412F">
        <w:t>θερμότητας</w:t>
      </w:r>
      <w:r w:rsidR="009F5C3E" w:rsidRPr="0027412F">
        <w:t>)</w:t>
      </w:r>
      <w:r w:rsidRPr="0027412F">
        <w:t>, την παραγωγή ΖΝΧ μέσω της αξιοποίησης της ηλιακής ενέργειας, την αντικατάσταση κουφωμάτων και τη θερμομόνωση του κελύφους των κτιρίων (τοιχοποιία, οροφή, πιλοτή), τα οποία συμβάλλουν σημαντικά στην εξοικονόμηση ενέργειας, παρέχοντας παράλληλα τη δυνατότητα για τόνωση της εγχώριας επιχειρηματικότητας που δραστηριοποιείται στους παραπάνω τομείς. Παράλληλα, κρίνεται ιδιαίτερα καθοριστική η αντικατάσταση παλαιών, μη αποδοτικών, λεβήτων πετρελαίου για θέρμανση και σύνδεση των κτιρίων του οικιακού τομέα με το δίκτυο Φυσικού Αερίου, όπου αυτό είναι εφικτό.</w:t>
      </w:r>
    </w:p>
    <w:p w14:paraId="06AD0A0A" w14:textId="77777777" w:rsidR="00EB2907" w:rsidRPr="0027412F" w:rsidRDefault="00EB2907" w:rsidP="0027412F">
      <w:pPr>
        <w:spacing w:before="160" w:line="360" w:lineRule="auto"/>
      </w:pPr>
      <w:r w:rsidRPr="0027412F">
        <w:lastRenderedPageBreak/>
        <w:t xml:space="preserve">Στο πλαίσιο της </w:t>
      </w:r>
      <w:r w:rsidR="0027412F" w:rsidRPr="0027412F">
        <w:t>Δ</w:t>
      </w:r>
      <w:r w:rsidRPr="0027412F">
        <w:t xml:space="preserve">ράσης προτείνεται να περιληφθούν ειδικά κριτήρια για παρεμβάσεις σε πολυκατοικίες ή και εργατικές κατοικίες, καθώς και η προώθηση της κατασκευής κτιρίων με Σχεδόν Μηδενική Κατανάλωση Ενέργειας ή με εξαιρετικά χαμηλό </w:t>
      </w:r>
      <w:r w:rsidR="003E0B72" w:rsidRPr="0027412F">
        <w:t xml:space="preserve">ενεργειακό </w:t>
      </w:r>
      <w:r w:rsidRPr="0027412F">
        <w:t xml:space="preserve">αποτύπωμα (χρήση οικολογικών προϊόντων), καθώς και να δοθεί έμφαση στην προώθηση καινοτόμων τεχνολογιών εξοικονόμησης ενέργειας και βελτίωσης της ενεργειακής απόδοσης κτιρίων (π.χ. έξυπνα συστήματα, έξυπνοι μετρητές, συστήματα αποθήκευσης ενέργειας, συστήματα διαχείρισης ενέργειας </w:t>
      </w:r>
      <w:proofErr w:type="spellStart"/>
      <w:r w:rsidRPr="0027412F">
        <w:t>κλπ</w:t>
      </w:r>
      <w:proofErr w:type="spellEnd"/>
      <w:r w:rsidRPr="0027412F">
        <w:t>).</w:t>
      </w:r>
    </w:p>
    <w:p w14:paraId="3766C47A" w14:textId="77777777" w:rsidR="00EB2907" w:rsidRPr="0027412F" w:rsidRDefault="00EB2907" w:rsidP="0027412F">
      <w:pPr>
        <w:pStyle w:val="a3"/>
        <w:numPr>
          <w:ilvl w:val="0"/>
          <w:numId w:val="10"/>
        </w:numPr>
        <w:spacing w:before="160" w:line="360" w:lineRule="auto"/>
      </w:pPr>
      <w:r w:rsidRPr="0027412F">
        <w:t xml:space="preserve">Ενεργειακή αναβάθμιση στα δημόσια κτίρια: Ο δημόσιος τομέας δύναται να παίξει καθοριστικό ρόλο για την επίτευξη των στόχων βελτίωσης της ενεργειακής απόδοσης καθώς μπορεί να αποτελέσει καλό παράδειγμα για τους πολίτες αναδεικνύοντας τη συμβολή των προτεινόμενων παρεμβάσεων στην εξοικονόμηση ενέργειας και δαπανών. Στο πλαίσιο αυτό είναι σημαντική η ένταξη δράσεων αντίστοιχων με αυτών που εντοπίζονται στον οικιακό τομέα, με έμφαση αφενός σε ιδιαίτερα </w:t>
      </w:r>
      <w:proofErr w:type="spellStart"/>
      <w:r w:rsidRPr="0027412F">
        <w:t>ενεργοβόρα</w:t>
      </w:r>
      <w:proofErr w:type="spellEnd"/>
      <w:r w:rsidRPr="0027412F">
        <w:t xml:space="preserve"> κτίρια, όπως τα νοσοκομεία και τα κολυμβητήρια, καθώς επίσης και σε σχολεία και κτίρια γραφείων.</w:t>
      </w:r>
    </w:p>
    <w:p w14:paraId="7C8C418D" w14:textId="77777777" w:rsidR="00EB2907" w:rsidRPr="0027412F" w:rsidRDefault="00EB2907" w:rsidP="0027412F">
      <w:pPr>
        <w:spacing w:before="160" w:line="360" w:lineRule="auto"/>
      </w:pPr>
      <w:r w:rsidRPr="0027412F">
        <w:t xml:space="preserve">Εκτός από δράσεις αντίστοιχες με αυτές του οικιακού τομέα (αντικατάσταση παλιών και </w:t>
      </w:r>
      <w:proofErr w:type="spellStart"/>
      <w:r w:rsidRPr="0027412F">
        <w:t>ενεργοβόρων</w:t>
      </w:r>
      <w:proofErr w:type="spellEnd"/>
      <w:r w:rsidRPr="0027412F">
        <w:t xml:space="preserve"> συστημάτων θέρμανσης και ψύξης από ενεργειακά αποδοτικότερα συστήματα και τεχνολογίες ΑΠΕ και </w:t>
      </w:r>
      <w:proofErr w:type="spellStart"/>
      <w:r w:rsidRPr="0027412F">
        <w:t>στοχευμένες</w:t>
      </w:r>
      <w:proofErr w:type="spellEnd"/>
      <w:r w:rsidRPr="0027412F">
        <w:t xml:space="preserve"> παρεμβάσεις ενεργειακής αναβάθμισης του κελύφους των κτιρίων), στη συγκεκριμένη κατηγορία εντοπίζονται ιδιαίτερα σημεία της αλυσίδας αξίας</w:t>
      </w:r>
      <w:r w:rsidR="009F5C3E" w:rsidRPr="0027412F">
        <w:t xml:space="preserve"> τεχνολογιών</w:t>
      </w:r>
      <w:r w:rsidR="00D659A9" w:rsidRPr="0027412F">
        <w:t xml:space="preserve"> εξοικονόμησης και διαχείρισης ενέργειας</w:t>
      </w:r>
      <w:r w:rsidRPr="0027412F">
        <w:t xml:space="preserve"> προς ενίσχυση, όπως:</w:t>
      </w:r>
    </w:p>
    <w:p w14:paraId="2BBBB822" w14:textId="77777777" w:rsidR="00EB2907" w:rsidRPr="0027412F" w:rsidRDefault="00EB2907" w:rsidP="0027412F">
      <w:pPr>
        <w:pStyle w:val="a3"/>
        <w:numPr>
          <w:ilvl w:val="0"/>
          <w:numId w:val="10"/>
        </w:numPr>
        <w:spacing w:before="160" w:line="360" w:lineRule="auto"/>
      </w:pPr>
      <w:r w:rsidRPr="0027412F">
        <w:t>η εγκατάσταση αντλιών θερμότητας και μονάδων Συμπαραγωγής Ηλεκτρισμού &amp; Θερμότητας (ή/και ψύξης) με Υψηλή Απόδοση (ΣΗΘΥΑ) ,</w:t>
      </w:r>
    </w:p>
    <w:p w14:paraId="5B93B835" w14:textId="77777777" w:rsidR="00EB2907" w:rsidRPr="0027412F" w:rsidRDefault="00EB2907" w:rsidP="0027412F">
      <w:pPr>
        <w:pStyle w:val="a3"/>
        <w:numPr>
          <w:ilvl w:val="0"/>
          <w:numId w:val="10"/>
        </w:numPr>
        <w:spacing w:before="160" w:line="360" w:lineRule="auto"/>
      </w:pPr>
      <w:r w:rsidRPr="0027412F">
        <w:t>η ενσωμάτωση συστημάτων ΑΠΕ</w:t>
      </w:r>
    </w:p>
    <w:p w14:paraId="4D0EAA83" w14:textId="77777777" w:rsidR="00EB2907" w:rsidRPr="0027412F" w:rsidRDefault="00EB2907" w:rsidP="0027412F">
      <w:pPr>
        <w:pStyle w:val="a3"/>
        <w:numPr>
          <w:ilvl w:val="0"/>
          <w:numId w:val="10"/>
        </w:numPr>
        <w:spacing w:before="160" w:line="360" w:lineRule="auto"/>
      </w:pPr>
      <w:r w:rsidRPr="0027412F">
        <w:t>η εγκατάσταση/χρήση συστημάτων BEMS και</w:t>
      </w:r>
    </w:p>
    <w:p w14:paraId="46B03496" w14:textId="77777777" w:rsidR="00EB2907" w:rsidRPr="0027412F" w:rsidRDefault="00EB2907" w:rsidP="0027412F">
      <w:pPr>
        <w:pStyle w:val="a3"/>
        <w:numPr>
          <w:ilvl w:val="0"/>
          <w:numId w:val="10"/>
        </w:numPr>
        <w:spacing w:before="160" w:line="360" w:lineRule="auto"/>
      </w:pPr>
      <w:r w:rsidRPr="0027412F">
        <w:t>η εφαρμογή συστημάτων ενεργειακής διαχείρισης σε επιχειρήσεις, όπως το πρότυπο ISO 50001.</w:t>
      </w:r>
    </w:p>
    <w:p w14:paraId="70DE45E4" w14:textId="77777777" w:rsidR="00FD1224" w:rsidRPr="0027412F" w:rsidRDefault="00EB2907" w:rsidP="0027412F">
      <w:pPr>
        <w:spacing w:before="160" w:line="360" w:lineRule="auto"/>
      </w:pPr>
      <w:r w:rsidRPr="0027412F">
        <w:t>Επιπλέον, συνυπολογίζοντας τον υποδειγματικό ρόλο του δημόσιου τομέα, κάτω από τη συγκεκριμένη κατηγορία παρέμβασης μπορούν να ενταχθούν και άλλες δράσεις προώθησης της ενεργειακής απόδοσης, όπως η δημιουργία κτιρίων Σχεδόν Μηδενικής Ενεργειακής Κατανάλωσης και η εφαρμογή πιλοτικών δράσεων ουσιαστικής ανακαίνισης κτιρίων.</w:t>
      </w:r>
    </w:p>
    <w:p w14:paraId="2C1966E6" w14:textId="77777777" w:rsidR="00FD1224" w:rsidRPr="0027412F" w:rsidRDefault="00FD1224" w:rsidP="00FA5CD9">
      <w:pPr>
        <w:pStyle w:val="3"/>
      </w:pPr>
      <w:bookmarkStart w:id="16" w:name="_Toc36639194"/>
      <w:r w:rsidRPr="0027412F">
        <w:t xml:space="preserve">Συνέργειες με Περιφερειακά Επιχειρησιακά </w:t>
      </w:r>
      <w:r w:rsidR="00E5630E" w:rsidRPr="0027412F">
        <w:t>Προγράμματ</w:t>
      </w:r>
      <w:r w:rsidRPr="0027412F">
        <w:t>α (ΠΕΠ)</w:t>
      </w:r>
      <w:bookmarkEnd w:id="16"/>
    </w:p>
    <w:p w14:paraId="658D51D4" w14:textId="77777777" w:rsidR="00907C76" w:rsidRPr="0027412F" w:rsidRDefault="00907C76" w:rsidP="0027412F">
      <w:pPr>
        <w:spacing w:before="160" w:line="360" w:lineRule="auto"/>
      </w:pPr>
      <w:r w:rsidRPr="0027412F">
        <w:lastRenderedPageBreak/>
        <w:t xml:space="preserve">Τα δεκατρία Περιφερειακά Επιχειρησιακά </w:t>
      </w:r>
      <w:r w:rsidR="00E5630E" w:rsidRPr="0027412F">
        <w:t>Προγράμματ</w:t>
      </w:r>
      <w:r w:rsidRPr="0027412F">
        <w:t xml:space="preserve">α (ΠΕΠ) του νέου ΕΣΠΑ είναι προσαρμοσμένα στις ανάγκες και στις αναπτυξιακές προτεραιότητες κάθε </w:t>
      </w:r>
      <w:r w:rsidR="00E5630E" w:rsidRPr="0027412F">
        <w:t>Περιφέρ</w:t>
      </w:r>
      <w:r w:rsidRPr="0027412F">
        <w:t xml:space="preserve">ειας, περιλαμβάνουν αναπτυξιακούς άξονες και επενδυτικές προτεραιότητες για την εξυπηρέτηση της έξυπνης και βιώσιμης ανάπτυξης χωρίς αποκλεισμούς σε κάθε </w:t>
      </w:r>
      <w:r w:rsidR="00E5630E" w:rsidRPr="0027412F">
        <w:t>Περιφέρ</w:t>
      </w:r>
      <w:r w:rsidRPr="0027412F">
        <w:t xml:space="preserve">εια, εξυπηρετώντας συμπληρωματικά με τα τομεακά επιχειρησιακά </w:t>
      </w:r>
      <w:r w:rsidR="00E5630E" w:rsidRPr="0027412F">
        <w:t>Προγράμματ</w:t>
      </w:r>
      <w:r w:rsidRPr="0027412F">
        <w:t xml:space="preserve">α, τους στρατηγικούς στόχους της χώρας. Την τρέχουσα </w:t>
      </w:r>
      <w:r w:rsidR="00E5630E" w:rsidRPr="0027412F">
        <w:t>Προγραμματ</w:t>
      </w:r>
      <w:r w:rsidRPr="0027412F">
        <w:t xml:space="preserve">ική </w:t>
      </w:r>
      <w:r w:rsidR="00EB38B3">
        <w:t>Περίοδο</w:t>
      </w:r>
      <w:r w:rsidRPr="0027412F">
        <w:t xml:space="preserve"> 2014-2020, θα διατεθεί για τα ΠΕΠ από τα διαρθρωτικά ταμεία το ποσό των €</w:t>
      </w:r>
      <w:r w:rsidR="00B67AE6" w:rsidRPr="0027412F">
        <w:t xml:space="preserve"> </w:t>
      </w:r>
      <w:r w:rsidRPr="0027412F">
        <w:t>4,49 δισεκατομμυρίων, ως εξής:</w:t>
      </w:r>
    </w:p>
    <w:p w14:paraId="79892EC5" w14:textId="77777777" w:rsidR="00907C76" w:rsidRPr="0027412F" w:rsidRDefault="00907C76" w:rsidP="0027412F">
      <w:pPr>
        <w:pStyle w:val="a3"/>
        <w:numPr>
          <w:ilvl w:val="0"/>
          <w:numId w:val="11"/>
        </w:numPr>
        <w:spacing w:before="160" w:line="360" w:lineRule="auto"/>
      </w:pPr>
      <w:r w:rsidRPr="0027412F">
        <w:t xml:space="preserve">€ 2,152 δισεκατομμύρια για τις λιγότερο ανεπτυγμένες </w:t>
      </w:r>
      <w:r w:rsidR="00E5630E" w:rsidRPr="0027412F">
        <w:t>Περιφέρ</w:t>
      </w:r>
      <w:r w:rsidRPr="0027412F">
        <w:t>ειες (Ανατολική Μακεδονία και Θράκη, Κεντρική Μακεδονία, Θεσσαλία, Ήπειρος, Δυτική Ελλάδα).</w:t>
      </w:r>
    </w:p>
    <w:p w14:paraId="1ED425F8" w14:textId="77777777" w:rsidR="00907C76" w:rsidRPr="0027412F" w:rsidRDefault="00907C76" w:rsidP="0027412F">
      <w:pPr>
        <w:pStyle w:val="a3"/>
        <w:numPr>
          <w:ilvl w:val="0"/>
          <w:numId w:val="11"/>
        </w:numPr>
        <w:spacing w:before="160" w:line="360" w:lineRule="auto"/>
      </w:pPr>
      <w:r w:rsidRPr="0027412F">
        <w:t xml:space="preserve">€ 1,346 δισεκατομμύρια για τις </w:t>
      </w:r>
      <w:r w:rsidR="00E5630E" w:rsidRPr="0027412F">
        <w:t>Περιφέρ</w:t>
      </w:r>
      <w:r w:rsidRPr="0027412F">
        <w:t>ειες μετάβασης (Δυτική Μακεδονία, Στερεά Ελλάδα, Νήσοι Ιόνιου, Πελοπόννησος, Κρήτη, Νήσοι Βορείου Αιγαίου).</w:t>
      </w:r>
    </w:p>
    <w:p w14:paraId="4BC14BDF" w14:textId="77777777" w:rsidR="00907C76" w:rsidRPr="0027412F" w:rsidRDefault="00907C76" w:rsidP="0027412F">
      <w:pPr>
        <w:pStyle w:val="a3"/>
        <w:numPr>
          <w:ilvl w:val="0"/>
          <w:numId w:val="11"/>
        </w:numPr>
        <w:spacing w:before="160" w:line="360" w:lineRule="auto"/>
      </w:pPr>
      <w:r w:rsidRPr="0027412F">
        <w:t xml:space="preserve">€ 0,996 δισεκατομμύρια για τις περισσότερο ανεπτυγμένες </w:t>
      </w:r>
      <w:r w:rsidR="00E5630E" w:rsidRPr="0027412F">
        <w:t>Περιφέρ</w:t>
      </w:r>
      <w:r w:rsidRPr="0027412F">
        <w:t>ειες (Αττική, Νήσοι Νοτίου Αιγαίου).</w:t>
      </w:r>
    </w:p>
    <w:p w14:paraId="51888D5E" w14:textId="77777777" w:rsidR="00907C76" w:rsidRPr="0027412F" w:rsidRDefault="00907C76" w:rsidP="0027412F">
      <w:pPr>
        <w:spacing w:before="160" w:line="360" w:lineRule="auto"/>
      </w:pPr>
      <w:r w:rsidRPr="0027412F">
        <w:t>Η κατηγοριοποίηση των περιφερειών σε λιγότερο ανεπτυγμένες, περισσότερο ανεπτυγμένες και στο στάδιο της μετάβασης, γίνεται σύμφωνα με το επίπεδο του κατά κεφαλή ακαθάριστου εγχώριου προϊόντος (</w:t>
      </w:r>
      <w:proofErr w:type="spellStart"/>
      <w:r w:rsidRPr="0027412F">
        <w:t>ΑΕγχΠ</w:t>
      </w:r>
      <w:proofErr w:type="spellEnd"/>
      <w:r w:rsidRPr="0027412F">
        <w:t>) σε σχέση με το μέσο όρο των είκοσι επτά κρατών μελών της Ευρωπαϊκής Ένωσης. Οι τρείς κατηγορίες διαμορφώνονται ως εξής:</w:t>
      </w:r>
    </w:p>
    <w:p w14:paraId="7EA42370" w14:textId="77777777" w:rsidR="00907C76" w:rsidRPr="0027412F" w:rsidRDefault="00907C76" w:rsidP="0027412F">
      <w:pPr>
        <w:pStyle w:val="a3"/>
        <w:numPr>
          <w:ilvl w:val="0"/>
          <w:numId w:val="12"/>
        </w:numPr>
        <w:spacing w:before="160" w:line="360" w:lineRule="auto"/>
        <w:ind w:left="426"/>
      </w:pPr>
      <w:r w:rsidRPr="0027412F">
        <w:t xml:space="preserve">Λιγότερο ανεπτυγμένες </w:t>
      </w:r>
      <w:r w:rsidR="00E5630E" w:rsidRPr="0027412F">
        <w:t>Περιφέρ</w:t>
      </w:r>
      <w:r w:rsidRPr="0027412F">
        <w:t>ειες (</w:t>
      </w:r>
      <w:proofErr w:type="spellStart"/>
      <w:r w:rsidRPr="0027412F">
        <w:t>ΑΕγχΠ</w:t>
      </w:r>
      <w:proofErr w:type="spellEnd"/>
      <w:r w:rsidRPr="0027412F">
        <w:t>/κεφαλή &lt; 75 % του μέσου όρου της EU-27)</w:t>
      </w:r>
    </w:p>
    <w:p w14:paraId="79F08D26" w14:textId="77777777" w:rsidR="00907C76" w:rsidRPr="0027412F" w:rsidRDefault="00E5630E" w:rsidP="0027412F">
      <w:pPr>
        <w:pStyle w:val="a3"/>
        <w:numPr>
          <w:ilvl w:val="0"/>
          <w:numId w:val="12"/>
        </w:numPr>
        <w:spacing w:before="160" w:line="360" w:lineRule="auto"/>
        <w:ind w:left="426"/>
      </w:pPr>
      <w:r w:rsidRPr="0027412F">
        <w:t>Περιφέρ</w:t>
      </w:r>
      <w:r w:rsidR="00907C76" w:rsidRPr="0027412F">
        <w:t>ειες μετάβασης (</w:t>
      </w:r>
      <w:proofErr w:type="spellStart"/>
      <w:r w:rsidR="00907C76" w:rsidRPr="0027412F">
        <w:t>ΑΕγχΠ</w:t>
      </w:r>
      <w:proofErr w:type="spellEnd"/>
      <w:r w:rsidR="00907C76" w:rsidRPr="0027412F">
        <w:t xml:space="preserve">/κεφαλή μεταξύ &gt;= 75 % και &lt; 90 % του μέσου όρου της </w:t>
      </w:r>
      <w:r w:rsidR="0062368F" w:rsidRPr="0027412F">
        <w:t>Ε.Ε.</w:t>
      </w:r>
      <w:r w:rsidR="00907C76" w:rsidRPr="0027412F">
        <w:t>-27)</w:t>
      </w:r>
    </w:p>
    <w:p w14:paraId="1C63E89D" w14:textId="77777777" w:rsidR="00907C76" w:rsidRPr="0027412F" w:rsidRDefault="00907C76" w:rsidP="0027412F">
      <w:pPr>
        <w:pStyle w:val="a3"/>
        <w:numPr>
          <w:ilvl w:val="0"/>
          <w:numId w:val="12"/>
        </w:numPr>
        <w:spacing w:before="160" w:line="360" w:lineRule="auto"/>
        <w:ind w:left="426"/>
      </w:pPr>
      <w:r w:rsidRPr="0027412F">
        <w:t xml:space="preserve">Περισσότερο ανεπτυγμένες </w:t>
      </w:r>
      <w:r w:rsidR="00E5630E" w:rsidRPr="0027412F">
        <w:t>Περιφέρ</w:t>
      </w:r>
      <w:r w:rsidRPr="0027412F">
        <w:t>ειες (</w:t>
      </w:r>
      <w:proofErr w:type="spellStart"/>
      <w:r w:rsidRPr="0027412F">
        <w:t>ΑΕγχΠ</w:t>
      </w:r>
      <w:proofErr w:type="spellEnd"/>
      <w:r w:rsidRPr="0027412F">
        <w:t>/κεφαλή &gt;= 90 % του μέσου όρου της EU-27)</w:t>
      </w:r>
    </w:p>
    <w:p w14:paraId="3FDF819D" w14:textId="77777777" w:rsidR="00907C76" w:rsidRDefault="00907C76" w:rsidP="0027412F">
      <w:pPr>
        <w:spacing w:before="160" w:line="360" w:lineRule="auto"/>
      </w:pPr>
      <w:r w:rsidRPr="0027412F">
        <w:t xml:space="preserve">Τα εννέα από τα δεκατρία Περιφερειακά Επιχειρησιακά </w:t>
      </w:r>
      <w:r w:rsidR="00E5630E" w:rsidRPr="0027412F">
        <w:t>Προγράμματ</w:t>
      </w:r>
      <w:r w:rsidRPr="0027412F">
        <w:t xml:space="preserve">α της νέας </w:t>
      </w:r>
      <w:r w:rsidR="00E5630E" w:rsidRPr="0027412F">
        <w:t>Προγραμματ</w:t>
      </w:r>
      <w:r w:rsidRPr="0027412F">
        <w:t xml:space="preserve">ικής </w:t>
      </w:r>
      <w:r w:rsidR="00EB38B3">
        <w:t>Περιόδου</w:t>
      </w:r>
      <w:r w:rsidRPr="0027412F">
        <w:t xml:space="preserve"> </w:t>
      </w:r>
      <w:r w:rsidR="00D06335" w:rsidRPr="0027412F">
        <w:t>δέσμευσαν,</w:t>
      </w:r>
      <w:r w:rsidRPr="0027412F">
        <w:t xml:space="preserve"> πόρους για την υλοποίηση δράσεων που αφορούν στην ενεργειακή αναβάθμιση των κτιρίων στον τομέα της στέγασης.</w:t>
      </w:r>
    </w:p>
    <w:p w14:paraId="7C7C2ECF" w14:textId="77777777" w:rsidR="0027412F" w:rsidRPr="0027412F" w:rsidRDefault="0027412F" w:rsidP="0027412F">
      <w:pPr>
        <w:spacing w:before="160" w:line="360" w:lineRule="auto"/>
      </w:pPr>
    </w:p>
    <w:tbl>
      <w:tblPr>
        <w:tblStyle w:val="a6"/>
        <w:tblW w:w="0" w:type="auto"/>
        <w:tblInd w:w="250" w:type="dxa"/>
        <w:tblLook w:val="04A0" w:firstRow="1" w:lastRow="0" w:firstColumn="1" w:lastColumn="0" w:noHBand="0" w:noVBand="1"/>
      </w:tblPr>
      <w:tblGrid>
        <w:gridCol w:w="551"/>
        <w:gridCol w:w="2383"/>
        <w:gridCol w:w="1543"/>
        <w:gridCol w:w="1581"/>
        <w:gridCol w:w="1187"/>
        <w:gridCol w:w="1283"/>
      </w:tblGrid>
      <w:tr w:rsidR="00E8446F" w:rsidRPr="00B67AE6" w14:paraId="4EF10B71" w14:textId="77777777" w:rsidTr="00E8446F">
        <w:trPr>
          <w:trHeight w:val="303"/>
        </w:trPr>
        <w:tc>
          <w:tcPr>
            <w:tcW w:w="551" w:type="dxa"/>
            <w:vMerge w:val="restart"/>
            <w:shd w:val="clear" w:color="auto" w:fill="D9D9D9" w:themeFill="background1" w:themeFillShade="D9"/>
            <w:vAlign w:val="center"/>
          </w:tcPr>
          <w:p w14:paraId="431CC60B" w14:textId="77777777" w:rsidR="00E8446F" w:rsidRPr="00B67AE6" w:rsidRDefault="00E8446F" w:rsidP="001303BB">
            <w:pPr>
              <w:spacing w:beforeLines="40" w:before="96" w:afterLines="40" w:after="96" w:line="360" w:lineRule="auto"/>
            </w:pPr>
            <w:r w:rsidRPr="00B67AE6">
              <w:t>α/α</w:t>
            </w:r>
          </w:p>
        </w:tc>
        <w:tc>
          <w:tcPr>
            <w:tcW w:w="2454" w:type="dxa"/>
            <w:vMerge w:val="restart"/>
            <w:shd w:val="clear" w:color="auto" w:fill="D9D9D9" w:themeFill="background1" w:themeFillShade="D9"/>
          </w:tcPr>
          <w:p w14:paraId="41E65DCD" w14:textId="77777777" w:rsidR="00E8446F" w:rsidRPr="00B67AE6" w:rsidRDefault="00E8446F" w:rsidP="001303BB">
            <w:pPr>
              <w:spacing w:beforeLines="40" w:before="96" w:afterLines="40" w:after="96" w:line="360" w:lineRule="auto"/>
            </w:pPr>
            <w:r w:rsidRPr="00B67AE6">
              <w:t xml:space="preserve">Περιφερειακό Επιχειρησιακό </w:t>
            </w:r>
            <w:r w:rsidR="00971D9A">
              <w:t>Πρόγραμμα</w:t>
            </w:r>
            <w:r w:rsidRPr="00B67AE6">
              <w:t xml:space="preserve"> 2014 – 2020</w:t>
            </w:r>
          </w:p>
        </w:tc>
        <w:tc>
          <w:tcPr>
            <w:tcW w:w="3162" w:type="dxa"/>
            <w:gridSpan w:val="2"/>
            <w:shd w:val="clear" w:color="auto" w:fill="D9D9D9" w:themeFill="background1" w:themeFillShade="D9"/>
            <w:vAlign w:val="center"/>
          </w:tcPr>
          <w:p w14:paraId="3DA95817" w14:textId="77777777" w:rsidR="00E8446F" w:rsidRPr="00B67AE6" w:rsidRDefault="00E8446F" w:rsidP="001303BB">
            <w:pPr>
              <w:spacing w:beforeLines="40" w:before="96" w:afterLines="40" w:after="96" w:line="360" w:lineRule="auto"/>
            </w:pPr>
            <w:r w:rsidRPr="00B67AE6">
              <w:t xml:space="preserve">Διατιθέμενοι πόροι </w:t>
            </w:r>
            <w:r w:rsidR="00167EB6">
              <w:t>ΔΔ</w:t>
            </w:r>
          </w:p>
        </w:tc>
        <w:tc>
          <w:tcPr>
            <w:tcW w:w="1187" w:type="dxa"/>
            <w:vMerge w:val="restart"/>
            <w:shd w:val="clear" w:color="auto" w:fill="D9D9D9" w:themeFill="background1" w:themeFillShade="D9"/>
            <w:vAlign w:val="center"/>
          </w:tcPr>
          <w:p w14:paraId="24A5434C" w14:textId="77777777" w:rsidR="00E8446F" w:rsidRPr="00B67AE6" w:rsidRDefault="0008653C" w:rsidP="001303BB">
            <w:pPr>
              <w:spacing w:beforeLines="40" w:before="96" w:afterLines="40" w:after="96" w:line="360" w:lineRule="auto"/>
            </w:pPr>
            <w:r>
              <w:t xml:space="preserve">Αρχικός </w:t>
            </w:r>
            <w:r w:rsidR="00E8446F" w:rsidRPr="00B67AE6">
              <w:t>Στόχος (κατοικίες)</w:t>
            </w:r>
          </w:p>
        </w:tc>
        <w:tc>
          <w:tcPr>
            <w:tcW w:w="1174" w:type="dxa"/>
            <w:vMerge w:val="restart"/>
            <w:shd w:val="clear" w:color="auto" w:fill="D9D9D9" w:themeFill="background1" w:themeFillShade="D9"/>
            <w:vAlign w:val="center"/>
          </w:tcPr>
          <w:p w14:paraId="73138563" w14:textId="77777777" w:rsidR="00E8446F" w:rsidRPr="00B67AE6" w:rsidRDefault="00E8446F" w:rsidP="001303BB">
            <w:pPr>
              <w:spacing w:beforeLines="40" w:before="96" w:afterLines="40" w:after="96" w:line="360" w:lineRule="auto"/>
              <w:jc w:val="center"/>
            </w:pPr>
            <w:r w:rsidRPr="00B67AE6">
              <w:t xml:space="preserve">Πρόβλεψη </w:t>
            </w:r>
            <w:r w:rsidR="0027412F">
              <w:t>Υλοποίησης</w:t>
            </w:r>
          </w:p>
        </w:tc>
      </w:tr>
      <w:tr w:rsidR="00E8446F" w:rsidRPr="00B67AE6" w14:paraId="35BB7B8A" w14:textId="77777777" w:rsidTr="00E8446F">
        <w:trPr>
          <w:trHeight w:val="267"/>
        </w:trPr>
        <w:tc>
          <w:tcPr>
            <w:tcW w:w="551" w:type="dxa"/>
            <w:vMerge/>
            <w:shd w:val="clear" w:color="auto" w:fill="D9D9D9" w:themeFill="background1" w:themeFillShade="D9"/>
            <w:vAlign w:val="center"/>
          </w:tcPr>
          <w:p w14:paraId="1050DE39" w14:textId="77777777" w:rsidR="00E8446F" w:rsidRPr="00B67AE6" w:rsidRDefault="00E8446F" w:rsidP="00524440">
            <w:pPr>
              <w:spacing w:beforeLines="40" w:before="96" w:afterLines="40" w:after="96" w:line="360" w:lineRule="auto"/>
            </w:pPr>
          </w:p>
        </w:tc>
        <w:tc>
          <w:tcPr>
            <w:tcW w:w="2454" w:type="dxa"/>
            <w:vMerge/>
            <w:shd w:val="clear" w:color="auto" w:fill="D9D9D9" w:themeFill="background1" w:themeFillShade="D9"/>
          </w:tcPr>
          <w:p w14:paraId="0969E0F7" w14:textId="77777777" w:rsidR="00E8446F" w:rsidRPr="00B67AE6" w:rsidRDefault="00E8446F" w:rsidP="00524440">
            <w:pPr>
              <w:spacing w:beforeLines="40" w:before="96" w:afterLines="40" w:after="96" w:line="360" w:lineRule="auto"/>
            </w:pPr>
          </w:p>
        </w:tc>
        <w:tc>
          <w:tcPr>
            <w:tcW w:w="1560" w:type="dxa"/>
            <w:shd w:val="clear" w:color="auto" w:fill="D9D9D9" w:themeFill="background1" w:themeFillShade="D9"/>
            <w:vAlign w:val="center"/>
          </w:tcPr>
          <w:p w14:paraId="3DE8164F" w14:textId="77777777" w:rsidR="00E8446F" w:rsidRPr="00B67AE6" w:rsidRDefault="00E8446F" w:rsidP="00524440">
            <w:pPr>
              <w:spacing w:beforeLines="40" w:before="96" w:afterLines="40" w:after="96" w:line="360" w:lineRule="auto"/>
            </w:pPr>
            <w:proofErr w:type="spellStart"/>
            <w:r>
              <w:t>Α’Κύκλος</w:t>
            </w:r>
            <w:proofErr w:type="spellEnd"/>
          </w:p>
        </w:tc>
        <w:tc>
          <w:tcPr>
            <w:tcW w:w="1602" w:type="dxa"/>
            <w:shd w:val="clear" w:color="auto" w:fill="D9D9D9" w:themeFill="background1" w:themeFillShade="D9"/>
            <w:vAlign w:val="center"/>
          </w:tcPr>
          <w:p w14:paraId="0BAC9F7B" w14:textId="77777777" w:rsidR="00E8446F" w:rsidRPr="00B67AE6" w:rsidRDefault="00E8446F" w:rsidP="00524440">
            <w:pPr>
              <w:spacing w:beforeLines="40" w:before="96" w:afterLines="40" w:after="96" w:line="360" w:lineRule="auto"/>
            </w:pPr>
            <w:proofErr w:type="spellStart"/>
            <w:r>
              <w:t>Β’Κύκλος</w:t>
            </w:r>
            <w:proofErr w:type="spellEnd"/>
          </w:p>
        </w:tc>
        <w:tc>
          <w:tcPr>
            <w:tcW w:w="1187" w:type="dxa"/>
            <w:vMerge/>
            <w:shd w:val="clear" w:color="auto" w:fill="D9D9D9" w:themeFill="background1" w:themeFillShade="D9"/>
            <w:vAlign w:val="center"/>
          </w:tcPr>
          <w:p w14:paraId="786EEFCC" w14:textId="77777777" w:rsidR="00E8446F" w:rsidRPr="00B67AE6" w:rsidRDefault="00E8446F" w:rsidP="00524440">
            <w:pPr>
              <w:spacing w:beforeLines="40" w:before="96" w:afterLines="40" w:after="96" w:line="360" w:lineRule="auto"/>
            </w:pPr>
          </w:p>
        </w:tc>
        <w:tc>
          <w:tcPr>
            <w:tcW w:w="1174" w:type="dxa"/>
            <w:vMerge/>
            <w:shd w:val="clear" w:color="auto" w:fill="D9D9D9" w:themeFill="background1" w:themeFillShade="D9"/>
            <w:vAlign w:val="center"/>
          </w:tcPr>
          <w:p w14:paraId="52F25534" w14:textId="77777777" w:rsidR="00E8446F" w:rsidRPr="00B67AE6" w:rsidRDefault="00E8446F" w:rsidP="00524440">
            <w:pPr>
              <w:spacing w:beforeLines="40" w:before="96" w:afterLines="40" w:after="96" w:line="360" w:lineRule="auto"/>
              <w:jc w:val="center"/>
            </w:pPr>
          </w:p>
        </w:tc>
      </w:tr>
      <w:tr w:rsidR="00E8446F" w:rsidRPr="00B67AE6" w14:paraId="1763D493" w14:textId="77777777" w:rsidTr="00E8446F">
        <w:tc>
          <w:tcPr>
            <w:tcW w:w="551" w:type="dxa"/>
          </w:tcPr>
          <w:p w14:paraId="747F3A31" w14:textId="77777777" w:rsidR="00E8446F" w:rsidRPr="00B67AE6" w:rsidRDefault="00E8446F" w:rsidP="00524440">
            <w:pPr>
              <w:spacing w:beforeLines="40" w:before="96" w:afterLines="40" w:after="96" w:line="360" w:lineRule="auto"/>
            </w:pPr>
            <w:r w:rsidRPr="00B67AE6">
              <w:t>1</w:t>
            </w:r>
          </w:p>
        </w:tc>
        <w:tc>
          <w:tcPr>
            <w:tcW w:w="2454" w:type="dxa"/>
          </w:tcPr>
          <w:p w14:paraId="4FE85A91" w14:textId="77777777" w:rsidR="00E8446F" w:rsidRPr="00B67AE6" w:rsidRDefault="00E8446F" w:rsidP="00E8446F">
            <w:pPr>
              <w:spacing w:beforeLines="40" w:before="96" w:afterLines="40" w:after="96" w:line="240" w:lineRule="auto"/>
            </w:pPr>
            <w:r w:rsidRPr="00B67AE6">
              <w:t xml:space="preserve">Αττική </w:t>
            </w:r>
          </w:p>
        </w:tc>
        <w:tc>
          <w:tcPr>
            <w:tcW w:w="1560" w:type="dxa"/>
          </w:tcPr>
          <w:p w14:paraId="1FE754C1" w14:textId="77777777" w:rsidR="00E8446F" w:rsidRPr="00B67AE6" w:rsidRDefault="00E8446F" w:rsidP="00524440">
            <w:pPr>
              <w:spacing w:beforeLines="40" w:before="96" w:afterLines="40" w:after="96" w:line="360" w:lineRule="auto"/>
            </w:pPr>
            <w:r w:rsidRPr="00B67AE6">
              <w:t>11.790.272€</w:t>
            </w:r>
          </w:p>
        </w:tc>
        <w:tc>
          <w:tcPr>
            <w:tcW w:w="1602" w:type="dxa"/>
          </w:tcPr>
          <w:p w14:paraId="08AB2F0F" w14:textId="77777777" w:rsidR="00E8446F" w:rsidRPr="00B67AE6" w:rsidRDefault="00167EB6" w:rsidP="00E8446F">
            <w:pPr>
              <w:spacing w:beforeLines="40" w:before="96" w:afterLines="40" w:after="96" w:line="360" w:lineRule="auto"/>
            </w:pPr>
            <w:r>
              <w:t>1</w:t>
            </w:r>
            <w:r w:rsidRPr="00167EB6">
              <w:t>4.737.840</w:t>
            </w:r>
            <w:r>
              <w:t>€</w:t>
            </w:r>
          </w:p>
        </w:tc>
        <w:tc>
          <w:tcPr>
            <w:tcW w:w="1187" w:type="dxa"/>
          </w:tcPr>
          <w:p w14:paraId="2A38F5BE" w14:textId="77777777" w:rsidR="00E8446F" w:rsidRPr="00B67AE6" w:rsidRDefault="00E8446F" w:rsidP="00524440">
            <w:pPr>
              <w:spacing w:beforeLines="40" w:before="96" w:afterLines="40" w:after="96" w:line="360" w:lineRule="auto"/>
            </w:pPr>
            <w:r w:rsidRPr="00B67AE6">
              <w:t>1700</w:t>
            </w:r>
          </w:p>
        </w:tc>
        <w:tc>
          <w:tcPr>
            <w:tcW w:w="1174" w:type="dxa"/>
          </w:tcPr>
          <w:p w14:paraId="663842B4" w14:textId="77777777" w:rsidR="00E8446F" w:rsidRPr="00B67AE6" w:rsidRDefault="00E8446F" w:rsidP="00524440">
            <w:pPr>
              <w:spacing w:beforeLines="40" w:before="96" w:afterLines="40" w:after="96" w:line="360" w:lineRule="auto"/>
              <w:jc w:val="center"/>
            </w:pPr>
          </w:p>
        </w:tc>
      </w:tr>
      <w:tr w:rsidR="00E8446F" w:rsidRPr="00B67AE6" w14:paraId="41231603" w14:textId="77777777" w:rsidTr="00E8446F">
        <w:tc>
          <w:tcPr>
            <w:tcW w:w="551" w:type="dxa"/>
          </w:tcPr>
          <w:p w14:paraId="6BDED56E" w14:textId="77777777" w:rsidR="00E8446F" w:rsidRPr="00B67AE6" w:rsidRDefault="00E8446F" w:rsidP="00524440">
            <w:pPr>
              <w:spacing w:beforeLines="40" w:before="96" w:afterLines="40" w:after="96" w:line="360" w:lineRule="auto"/>
            </w:pPr>
            <w:r w:rsidRPr="00B67AE6">
              <w:lastRenderedPageBreak/>
              <w:t>2</w:t>
            </w:r>
          </w:p>
        </w:tc>
        <w:tc>
          <w:tcPr>
            <w:tcW w:w="2454" w:type="dxa"/>
          </w:tcPr>
          <w:p w14:paraId="5EAEC87B" w14:textId="77777777" w:rsidR="00E8446F" w:rsidRPr="00B67AE6" w:rsidRDefault="00E8446F" w:rsidP="00E8446F">
            <w:pPr>
              <w:spacing w:beforeLines="40" w:before="96" w:afterLines="40" w:after="96" w:line="240" w:lineRule="auto"/>
            </w:pPr>
            <w:r w:rsidRPr="00B67AE6">
              <w:t>Ανατολική Μακεδονία Θράκη</w:t>
            </w:r>
          </w:p>
        </w:tc>
        <w:tc>
          <w:tcPr>
            <w:tcW w:w="1560" w:type="dxa"/>
          </w:tcPr>
          <w:p w14:paraId="724E09B2" w14:textId="77777777" w:rsidR="00E8446F" w:rsidRPr="00B67AE6" w:rsidRDefault="00E8446F" w:rsidP="00524440">
            <w:pPr>
              <w:spacing w:beforeLines="40" w:before="96" w:afterLines="40" w:after="96" w:line="360" w:lineRule="auto"/>
            </w:pPr>
          </w:p>
        </w:tc>
        <w:tc>
          <w:tcPr>
            <w:tcW w:w="1602" w:type="dxa"/>
          </w:tcPr>
          <w:p w14:paraId="36D6EAE6" w14:textId="77777777" w:rsidR="00E8446F" w:rsidRPr="00B67AE6" w:rsidRDefault="00167EB6" w:rsidP="00524440">
            <w:pPr>
              <w:spacing w:beforeLines="40" w:before="96" w:afterLines="40" w:after="96" w:line="360" w:lineRule="auto"/>
            </w:pPr>
            <w:r w:rsidRPr="00167EB6">
              <w:t>5.000.000</w:t>
            </w:r>
            <w:r>
              <w:t>€</w:t>
            </w:r>
          </w:p>
        </w:tc>
        <w:tc>
          <w:tcPr>
            <w:tcW w:w="1187" w:type="dxa"/>
          </w:tcPr>
          <w:p w14:paraId="6DFE4F7F" w14:textId="77777777" w:rsidR="00E8446F" w:rsidRPr="00B67AE6" w:rsidRDefault="00E8446F" w:rsidP="00524440">
            <w:pPr>
              <w:spacing w:beforeLines="40" w:before="96" w:afterLines="40" w:after="96" w:line="360" w:lineRule="auto"/>
            </w:pPr>
          </w:p>
        </w:tc>
        <w:tc>
          <w:tcPr>
            <w:tcW w:w="1174" w:type="dxa"/>
          </w:tcPr>
          <w:p w14:paraId="503CA216" w14:textId="77777777" w:rsidR="00E8446F" w:rsidRPr="00B67AE6" w:rsidRDefault="00E8446F" w:rsidP="00524440">
            <w:pPr>
              <w:spacing w:beforeLines="40" w:before="96" w:afterLines="40" w:after="96" w:line="360" w:lineRule="auto"/>
              <w:jc w:val="center"/>
            </w:pPr>
          </w:p>
        </w:tc>
      </w:tr>
      <w:tr w:rsidR="00E8446F" w:rsidRPr="00B67AE6" w14:paraId="5702ADA3" w14:textId="77777777" w:rsidTr="00E8446F">
        <w:tc>
          <w:tcPr>
            <w:tcW w:w="551" w:type="dxa"/>
          </w:tcPr>
          <w:p w14:paraId="7A1039C4" w14:textId="77777777" w:rsidR="00E8446F" w:rsidRPr="00B67AE6" w:rsidRDefault="00E8446F" w:rsidP="00524440">
            <w:pPr>
              <w:spacing w:beforeLines="40" w:before="96" w:afterLines="40" w:after="96" w:line="360" w:lineRule="auto"/>
            </w:pPr>
            <w:r w:rsidRPr="00B67AE6">
              <w:t>3</w:t>
            </w:r>
          </w:p>
        </w:tc>
        <w:tc>
          <w:tcPr>
            <w:tcW w:w="2454" w:type="dxa"/>
          </w:tcPr>
          <w:p w14:paraId="5B851BBF" w14:textId="77777777" w:rsidR="00E8446F" w:rsidRPr="00B67AE6" w:rsidRDefault="00E8446F" w:rsidP="00E8446F">
            <w:pPr>
              <w:spacing w:beforeLines="40" w:before="96" w:afterLines="40" w:after="96" w:line="240" w:lineRule="auto"/>
            </w:pPr>
            <w:r w:rsidRPr="00B67AE6">
              <w:t>Νότιο Αιγαίο</w:t>
            </w:r>
          </w:p>
        </w:tc>
        <w:tc>
          <w:tcPr>
            <w:tcW w:w="1560" w:type="dxa"/>
          </w:tcPr>
          <w:p w14:paraId="1C865EDB" w14:textId="77777777" w:rsidR="00E8446F" w:rsidRPr="00B67AE6" w:rsidRDefault="00E8446F" w:rsidP="00524440">
            <w:pPr>
              <w:spacing w:beforeLines="40" w:before="96" w:afterLines="40" w:after="96" w:line="360" w:lineRule="auto"/>
            </w:pPr>
            <w:r w:rsidRPr="00B67AE6">
              <w:t>2.097.189€</w:t>
            </w:r>
          </w:p>
        </w:tc>
        <w:tc>
          <w:tcPr>
            <w:tcW w:w="1602" w:type="dxa"/>
          </w:tcPr>
          <w:p w14:paraId="69F1C3AF" w14:textId="77777777" w:rsidR="00E8446F" w:rsidRPr="00B67AE6" w:rsidRDefault="00167EB6" w:rsidP="00E8446F">
            <w:pPr>
              <w:spacing w:beforeLines="40" w:before="96" w:afterLines="40" w:after="96" w:line="360" w:lineRule="auto"/>
            </w:pPr>
            <w:r w:rsidRPr="00167EB6">
              <w:t>4.194.378</w:t>
            </w:r>
            <w:r>
              <w:t>€</w:t>
            </w:r>
          </w:p>
        </w:tc>
        <w:tc>
          <w:tcPr>
            <w:tcW w:w="1187" w:type="dxa"/>
          </w:tcPr>
          <w:p w14:paraId="7AECFF64" w14:textId="77777777" w:rsidR="00E8446F" w:rsidRPr="00B67AE6" w:rsidRDefault="00E8446F" w:rsidP="00524440">
            <w:pPr>
              <w:spacing w:beforeLines="40" w:before="96" w:afterLines="40" w:after="96" w:line="360" w:lineRule="auto"/>
            </w:pPr>
            <w:r w:rsidRPr="00B67AE6">
              <w:t>320</w:t>
            </w:r>
          </w:p>
        </w:tc>
        <w:tc>
          <w:tcPr>
            <w:tcW w:w="1174" w:type="dxa"/>
          </w:tcPr>
          <w:p w14:paraId="710E91F7" w14:textId="77777777" w:rsidR="00E8446F" w:rsidRPr="00B67AE6" w:rsidRDefault="00E8446F" w:rsidP="00524440">
            <w:pPr>
              <w:spacing w:beforeLines="40" w:before="96" w:afterLines="40" w:after="96" w:line="360" w:lineRule="auto"/>
              <w:jc w:val="center"/>
            </w:pPr>
          </w:p>
        </w:tc>
      </w:tr>
      <w:tr w:rsidR="00E8446F" w:rsidRPr="00B67AE6" w14:paraId="24A579B3" w14:textId="77777777" w:rsidTr="00E8446F">
        <w:tc>
          <w:tcPr>
            <w:tcW w:w="551" w:type="dxa"/>
          </w:tcPr>
          <w:p w14:paraId="1CCC1844" w14:textId="77777777" w:rsidR="00E8446F" w:rsidRPr="00B67AE6" w:rsidRDefault="00E8446F" w:rsidP="00524440">
            <w:pPr>
              <w:spacing w:beforeLines="40" w:before="96" w:afterLines="40" w:after="96" w:line="360" w:lineRule="auto"/>
            </w:pPr>
            <w:r w:rsidRPr="00B67AE6">
              <w:t>4</w:t>
            </w:r>
          </w:p>
        </w:tc>
        <w:tc>
          <w:tcPr>
            <w:tcW w:w="2454" w:type="dxa"/>
          </w:tcPr>
          <w:p w14:paraId="5CCB9835" w14:textId="77777777" w:rsidR="00E8446F" w:rsidRPr="00B67AE6" w:rsidRDefault="00E8446F" w:rsidP="00E8446F">
            <w:pPr>
              <w:spacing w:beforeLines="40" w:before="96" w:afterLines="40" w:after="96" w:line="240" w:lineRule="auto"/>
            </w:pPr>
            <w:r w:rsidRPr="00B67AE6">
              <w:t>Βόρειο Αιγαίο</w:t>
            </w:r>
          </w:p>
        </w:tc>
        <w:tc>
          <w:tcPr>
            <w:tcW w:w="1560" w:type="dxa"/>
          </w:tcPr>
          <w:p w14:paraId="099B093E" w14:textId="77777777" w:rsidR="00E8446F" w:rsidRPr="00B67AE6" w:rsidRDefault="00E8446F" w:rsidP="00524440">
            <w:pPr>
              <w:spacing w:beforeLines="40" w:before="96" w:afterLines="40" w:after="96" w:line="360" w:lineRule="auto"/>
            </w:pPr>
            <w:r w:rsidRPr="00B67AE6">
              <w:t>5.000.000€</w:t>
            </w:r>
          </w:p>
        </w:tc>
        <w:tc>
          <w:tcPr>
            <w:tcW w:w="1602" w:type="dxa"/>
          </w:tcPr>
          <w:p w14:paraId="1BBE36CA" w14:textId="77777777" w:rsidR="00E8446F" w:rsidRPr="00B67AE6" w:rsidRDefault="00167EB6" w:rsidP="00E8446F">
            <w:pPr>
              <w:spacing w:beforeLines="40" w:before="96" w:afterLines="40" w:after="96" w:line="360" w:lineRule="auto"/>
            </w:pPr>
            <w:r w:rsidRPr="00167EB6">
              <w:t>7.500.000</w:t>
            </w:r>
            <w:r>
              <w:t>€</w:t>
            </w:r>
          </w:p>
        </w:tc>
        <w:tc>
          <w:tcPr>
            <w:tcW w:w="1187" w:type="dxa"/>
          </w:tcPr>
          <w:p w14:paraId="6B489DC0" w14:textId="77777777" w:rsidR="00E8446F" w:rsidRPr="00B67AE6" w:rsidRDefault="00E8446F" w:rsidP="00524440">
            <w:pPr>
              <w:spacing w:beforeLines="40" w:before="96" w:afterLines="40" w:after="96" w:line="360" w:lineRule="auto"/>
            </w:pPr>
            <w:r w:rsidRPr="00B67AE6">
              <w:t>310</w:t>
            </w:r>
          </w:p>
        </w:tc>
        <w:tc>
          <w:tcPr>
            <w:tcW w:w="1174" w:type="dxa"/>
          </w:tcPr>
          <w:p w14:paraId="5BD8BBB2" w14:textId="77777777" w:rsidR="00E8446F" w:rsidRPr="00B67AE6" w:rsidRDefault="00E8446F" w:rsidP="00524440">
            <w:pPr>
              <w:spacing w:beforeLines="40" w:before="96" w:afterLines="40" w:after="96" w:line="360" w:lineRule="auto"/>
              <w:jc w:val="center"/>
            </w:pPr>
          </w:p>
        </w:tc>
      </w:tr>
      <w:tr w:rsidR="00E8446F" w:rsidRPr="00B67AE6" w14:paraId="46544B0D" w14:textId="77777777" w:rsidTr="00E8446F">
        <w:tc>
          <w:tcPr>
            <w:tcW w:w="551" w:type="dxa"/>
          </w:tcPr>
          <w:p w14:paraId="7B3AA04A" w14:textId="77777777" w:rsidR="00E8446F" w:rsidRPr="00B67AE6" w:rsidRDefault="00E8446F" w:rsidP="00524440">
            <w:pPr>
              <w:spacing w:beforeLines="40" w:before="96" w:afterLines="40" w:after="96" w:line="360" w:lineRule="auto"/>
            </w:pPr>
            <w:r w:rsidRPr="00B67AE6">
              <w:t>5</w:t>
            </w:r>
          </w:p>
        </w:tc>
        <w:tc>
          <w:tcPr>
            <w:tcW w:w="2454" w:type="dxa"/>
          </w:tcPr>
          <w:p w14:paraId="1324360A" w14:textId="77777777" w:rsidR="00E8446F" w:rsidRPr="00B67AE6" w:rsidRDefault="00E8446F" w:rsidP="00E8446F">
            <w:pPr>
              <w:spacing w:beforeLines="40" w:before="96" w:afterLines="40" w:after="96" w:line="240" w:lineRule="auto"/>
            </w:pPr>
            <w:r w:rsidRPr="00B67AE6">
              <w:t>Θεσσαλία</w:t>
            </w:r>
          </w:p>
        </w:tc>
        <w:tc>
          <w:tcPr>
            <w:tcW w:w="1560" w:type="dxa"/>
          </w:tcPr>
          <w:p w14:paraId="6F39DA8C" w14:textId="77777777" w:rsidR="00E8446F" w:rsidRPr="00B67AE6" w:rsidRDefault="00E8446F" w:rsidP="00524440">
            <w:pPr>
              <w:spacing w:beforeLines="40" w:before="96" w:afterLines="40" w:after="96" w:line="360" w:lineRule="auto"/>
            </w:pPr>
          </w:p>
        </w:tc>
        <w:tc>
          <w:tcPr>
            <w:tcW w:w="1602" w:type="dxa"/>
          </w:tcPr>
          <w:p w14:paraId="1982208D" w14:textId="77777777" w:rsidR="00E8446F" w:rsidRPr="00B67AE6" w:rsidRDefault="00167EB6" w:rsidP="00524440">
            <w:pPr>
              <w:spacing w:beforeLines="40" w:before="96" w:afterLines="40" w:after="96" w:line="360" w:lineRule="auto"/>
            </w:pPr>
            <w:r w:rsidRPr="00167EB6">
              <w:t>6.000.000</w:t>
            </w:r>
            <w:r>
              <w:t>€</w:t>
            </w:r>
          </w:p>
        </w:tc>
        <w:tc>
          <w:tcPr>
            <w:tcW w:w="1187" w:type="dxa"/>
          </w:tcPr>
          <w:p w14:paraId="30278615" w14:textId="77777777" w:rsidR="00E8446F" w:rsidRPr="00B67AE6" w:rsidRDefault="00E8446F" w:rsidP="00524440">
            <w:pPr>
              <w:spacing w:beforeLines="40" w:before="96" w:afterLines="40" w:after="96" w:line="360" w:lineRule="auto"/>
            </w:pPr>
          </w:p>
        </w:tc>
        <w:tc>
          <w:tcPr>
            <w:tcW w:w="1174" w:type="dxa"/>
          </w:tcPr>
          <w:p w14:paraId="774FAAB1" w14:textId="77777777" w:rsidR="00E8446F" w:rsidRPr="00B67AE6" w:rsidRDefault="00E8446F" w:rsidP="00524440">
            <w:pPr>
              <w:spacing w:beforeLines="40" w:before="96" w:afterLines="40" w:after="96" w:line="360" w:lineRule="auto"/>
              <w:jc w:val="center"/>
            </w:pPr>
          </w:p>
        </w:tc>
      </w:tr>
      <w:tr w:rsidR="00E8446F" w:rsidRPr="00B67AE6" w14:paraId="7DE3A686" w14:textId="77777777" w:rsidTr="00E8446F">
        <w:tc>
          <w:tcPr>
            <w:tcW w:w="551" w:type="dxa"/>
          </w:tcPr>
          <w:p w14:paraId="2AD00A37" w14:textId="77777777" w:rsidR="00E8446F" w:rsidRPr="00B67AE6" w:rsidRDefault="00E8446F" w:rsidP="00524440">
            <w:pPr>
              <w:spacing w:beforeLines="40" w:before="96" w:afterLines="40" w:after="96" w:line="360" w:lineRule="auto"/>
            </w:pPr>
            <w:r w:rsidRPr="00B67AE6">
              <w:t>6</w:t>
            </w:r>
          </w:p>
        </w:tc>
        <w:tc>
          <w:tcPr>
            <w:tcW w:w="2454" w:type="dxa"/>
          </w:tcPr>
          <w:p w14:paraId="0A24A751" w14:textId="77777777" w:rsidR="00E8446F" w:rsidRPr="00B67AE6" w:rsidRDefault="00E8446F" w:rsidP="00E8446F">
            <w:pPr>
              <w:spacing w:beforeLines="40" w:before="96" w:afterLines="40" w:after="96" w:line="240" w:lineRule="auto"/>
            </w:pPr>
            <w:r w:rsidRPr="00B67AE6">
              <w:t>Κρήτη</w:t>
            </w:r>
          </w:p>
        </w:tc>
        <w:tc>
          <w:tcPr>
            <w:tcW w:w="1560" w:type="dxa"/>
          </w:tcPr>
          <w:p w14:paraId="3B337EE8" w14:textId="77777777" w:rsidR="00E8446F" w:rsidRPr="00B67AE6" w:rsidRDefault="00E8446F" w:rsidP="00524440">
            <w:pPr>
              <w:spacing w:beforeLines="40" w:before="96" w:afterLines="40" w:after="96" w:line="360" w:lineRule="auto"/>
            </w:pPr>
            <w:r w:rsidRPr="00B67AE6">
              <w:t>4.800.000€</w:t>
            </w:r>
          </w:p>
        </w:tc>
        <w:tc>
          <w:tcPr>
            <w:tcW w:w="1602" w:type="dxa"/>
          </w:tcPr>
          <w:p w14:paraId="419851C3" w14:textId="77777777" w:rsidR="00E8446F" w:rsidRPr="00B67AE6" w:rsidRDefault="00167EB6" w:rsidP="00E8446F">
            <w:pPr>
              <w:spacing w:beforeLines="40" w:before="96" w:afterLines="40" w:after="96" w:line="360" w:lineRule="auto"/>
            </w:pPr>
            <w:r w:rsidRPr="00167EB6">
              <w:t>6.000.000</w:t>
            </w:r>
            <w:r>
              <w:t>€</w:t>
            </w:r>
          </w:p>
        </w:tc>
        <w:tc>
          <w:tcPr>
            <w:tcW w:w="1187" w:type="dxa"/>
          </w:tcPr>
          <w:p w14:paraId="0B858A9F" w14:textId="77777777" w:rsidR="00E8446F" w:rsidRPr="00B67AE6" w:rsidRDefault="00E8446F" w:rsidP="00524440">
            <w:pPr>
              <w:spacing w:beforeLines="40" w:before="96" w:afterLines="40" w:after="96" w:line="360" w:lineRule="auto"/>
            </w:pPr>
            <w:r w:rsidRPr="00B67AE6">
              <w:t>720</w:t>
            </w:r>
          </w:p>
        </w:tc>
        <w:tc>
          <w:tcPr>
            <w:tcW w:w="1174" w:type="dxa"/>
          </w:tcPr>
          <w:p w14:paraId="1D23B501" w14:textId="77777777" w:rsidR="00E8446F" w:rsidRPr="00B67AE6" w:rsidRDefault="00E8446F" w:rsidP="00524440">
            <w:pPr>
              <w:spacing w:beforeLines="40" w:before="96" w:afterLines="40" w:after="96" w:line="360" w:lineRule="auto"/>
              <w:jc w:val="center"/>
            </w:pPr>
          </w:p>
        </w:tc>
      </w:tr>
      <w:tr w:rsidR="00E8446F" w:rsidRPr="00B67AE6" w14:paraId="133E1FDD" w14:textId="77777777" w:rsidTr="00E8446F">
        <w:tc>
          <w:tcPr>
            <w:tcW w:w="551" w:type="dxa"/>
          </w:tcPr>
          <w:p w14:paraId="2178679B" w14:textId="77777777" w:rsidR="00E8446F" w:rsidRPr="00B67AE6" w:rsidRDefault="00E8446F" w:rsidP="00524440">
            <w:pPr>
              <w:spacing w:beforeLines="40" w:before="96" w:afterLines="40" w:after="96" w:line="360" w:lineRule="auto"/>
            </w:pPr>
            <w:r w:rsidRPr="00B67AE6">
              <w:t>7</w:t>
            </w:r>
          </w:p>
        </w:tc>
        <w:tc>
          <w:tcPr>
            <w:tcW w:w="2454" w:type="dxa"/>
          </w:tcPr>
          <w:p w14:paraId="232B61C7" w14:textId="77777777" w:rsidR="00E8446F" w:rsidRPr="00B67AE6" w:rsidRDefault="00E8446F" w:rsidP="00E8446F">
            <w:pPr>
              <w:spacing w:beforeLines="40" w:before="96" w:afterLines="40" w:after="96" w:line="240" w:lineRule="auto"/>
            </w:pPr>
            <w:r w:rsidRPr="00B67AE6">
              <w:t>Ήπειρος</w:t>
            </w:r>
          </w:p>
        </w:tc>
        <w:tc>
          <w:tcPr>
            <w:tcW w:w="1560" w:type="dxa"/>
          </w:tcPr>
          <w:p w14:paraId="5252D92C" w14:textId="77777777" w:rsidR="00E8446F" w:rsidRPr="00B67AE6" w:rsidRDefault="00E8446F" w:rsidP="00524440">
            <w:pPr>
              <w:spacing w:beforeLines="40" w:before="96" w:afterLines="40" w:after="96" w:line="360" w:lineRule="auto"/>
            </w:pPr>
            <w:r w:rsidRPr="00B67AE6">
              <w:t>3.600.000€</w:t>
            </w:r>
          </w:p>
        </w:tc>
        <w:tc>
          <w:tcPr>
            <w:tcW w:w="1602" w:type="dxa"/>
          </w:tcPr>
          <w:p w14:paraId="4F624A92" w14:textId="77777777" w:rsidR="00E8446F" w:rsidRPr="00B67AE6" w:rsidRDefault="00167EB6" w:rsidP="00E8446F">
            <w:pPr>
              <w:spacing w:beforeLines="40" w:before="96" w:afterLines="40" w:after="96" w:line="360" w:lineRule="auto"/>
            </w:pPr>
            <w:r w:rsidRPr="00167EB6">
              <w:t>4.500.000</w:t>
            </w:r>
            <w:r>
              <w:t>€</w:t>
            </w:r>
          </w:p>
        </w:tc>
        <w:tc>
          <w:tcPr>
            <w:tcW w:w="1187" w:type="dxa"/>
          </w:tcPr>
          <w:p w14:paraId="08D397DD" w14:textId="77777777" w:rsidR="00E8446F" w:rsidRPr="00B67AE6" w:rsidRDefault="00E8446F" w:rsidP="00524440">
            <w:pPr>
              <w:spacing w:beforeLines="40" w:before="96" w:afterLines="40" w:after="96" w:line="360" w:lineRule="auto"/>
            </w:pPr>
            <w:r w:rsidRPr="00B67AE6">
              <w:t>672</w:t>
            </w:r>
          </w:p>
        </w:tc>
        <w:tc>
          <w:tcPr>
            <w:tcW w:w="1174" w:type="dxa"/>
          </w:tcPr>
          <w:p w14:paraId="38759E13" w14:textId="77777777" w:rsidR="00E8446F" w:rsidRPr="00B67AE6" w:rsidRDefault="00E8446F" w:rsidP="00524440">
            <w:pPr>
              <w:spacing w:beforeLines="40" w:before="96" w:afterLines="40" w:after="96" w:line="360" w:lineRule="auto"/>
              <w:jc w:val="center"/>
            </w:pPr>
          </w:p>
        </w:tc>
      </w:tr>
      <w:tr w:rsidR="00E8446F" w:rsidRPr="00B67AE6" w14:paraId="3F7C02B0" w14:textId="77777777" w:rsidTr="00E8446F">
        <w:tc>
          <w:tcPr>
            <w:tcW w:w="551" w:type="dxa"/>
          </w:tcPr>
          <w:p w14:paraId="51591669" w14:textId="77777777" w:rsidR="00E8446F" w:rsidRPr="00B67AE6" w:rsidRDefault="00E8446F" w:rsidP="00524440">
            <w:pPr>
              <w:spacing w:beforeLines="40" w:before="96" w:afterLines="40" w:after="96" w:line="360" w:lineRule="auto"/>
            </w:pPr>
            <w:r w:rsidRPr="00B67AE6">
              <w:t>8</w:t>
            </w:r>
          </w:p>
        </w:tc>
        <w:tc>
          <w:tcPr>
            <w:tcW w:w="2454" w:type="dxa"/>
          </w:tcPr>
          <w:p w14:paraId="61BD8BAA" w14:textId="77777777" w:rsidR="00E8446F" w:rsidRPr="00B67AE6" w:rsidRDefault="00E8446F" w:rsidP="00E8446F">
            <w:pPr>
              <w:spacing w:beforeLines="40" w:before="96" w:afterLines="40" w:after="96" w:line="240" w:lineRule="auto"/>
            </w:pPr>
            <w:r w:rsidRPr="00B67AE6">
              <w:t>Ιόνιο</w:t>
            </w:r>
          </w:p>
        </w:tc>
        <w:tc>
          <w:tcPr>
            <w:tcW w:w="1560" w:type="dxa"/>
          </w:tcPr>
          <w:p w14:paraId="3FA3EA93" w14:textId="77777777" w:rsidR="00E8446F" w:rsidRPr="00B67AE6" w:rsidRDefault="00E8446F" w:rsidP="00524440">
            <w:pPr>
              <w:spacing w:beforeLines="40" w:before="96" w:afterLines="40" w:after="96" w:line="360" w:lineRule="auto"/>
            </w:pPr>
            <w:r w:rsidRPr="00B67AE6">
              <w:t>2.350.000€</w:t>
            </w:r>
          </w:p>
        </w:tc>
        <w:tc>
          <w:tcPr>
            <w:tcW w:w="1602" w:type="dxa"/>
          </w:tcPr>
          <w:p w14:paraId="0E6ADFDF" w14:textId="77777777" w:rsidR="00E8446F" w:rsidRPr="00B67AE6" w:rsidRDefault="00167EB6" w:rsidP="00E8446F">
            <w:pPr>
              <w:spacing w:beforeLines="40" w:before="96" w:afterLines="40" w:after="96" w:line="360" w:lineRule="auto"/>
            </w:pPr>
            <w:r w:rsidRPr="00167EB6">
              <w:t>2.937.500</w:t>
            </w:r>
            <w:r>
              <w:t>€</w:t>
            </w:r>
          </w:p>
        </w:tc>
        <w:tc>
          <w:tcPr>
            <w:tcW w:w="1187" w:type="dxa"/>
          </w:tcPr>
          <w:p w14:paraId="351B3904" w14:textId="77777777" w:rsidR="00E8446F" w:rsidRPr="00B67AE6" w:rsidRDefault="00E8446F" w:rsidP="00524440">
            <w:pPr>
              <w:spacing w:beforeLines="40" w:before="96" w:afterLines="40" w:after="96" w:line="360" w:lineRule="auto"/>
            </w:pPr>
            <w:r w:rsidRPr="00B67AE6">
              <w:t>275</w:t>
            </w:r>
          </w:p>
        </w:tc>
        <w:tc>
          <w:tcPr>
            <w:tcW w:w="1174" w:type="dxa"/>
          </w:tcPr>
          <w:p w14:paraId="70672179" w14:textId="77777777" w:rsidR="00E8446F" w:rsidRPr="00B67AE6" w:rsidRDefault="00E8446F" w:rsidP="00524440">
            <w:pPr>
              <w:spacing w:beforeLines="40" w:before="96" w:afterLines="40" w:after="96" w:line="360" w:lineRule="auto"/>
              <w:jc w:val="center"/>
            </w:pPr>
          </w:p>
        </w:tc>
      </w:tr>
      <w:tr w:rsidR="00E8446F" w:rsidRPr="00B67AE6" w14:paraId="120C744C" w14:textId="77777777" w:rsidTr="00E8446F">
        <w:tc>
          <w:tcPr>
            <w:tcW w:w="551" w:type="dxa"/>
          </w:tcPr>
          <w:p w14:paraId="137FEACA" w14:textId="77777777" w:rsidR="00E8446F" w:rsidRPr="00B67AE6" w:rsidRDefault="00E8446F" w:rsidP="00524440">
            <w:pPr>
              <w:spacing w:beforeLines="40" w:before="96" w:afterLines="40" w:after="96" w:line="360" w:lineRule="auto"/>
            </w:pPr>
            <w:r w:rsidRPr="00B67AE6">
              <w:t>9</w:t>
            </w:r>
          </w:p>
        </w:tc>
        <w:tc>
          <w:tcPr>
            <w:tcW w:w="2454" w:type="dxa"/>
          </w:tcPr>
          <w:p w14:paraId="2D5EFA7C" w14:textId="77777777" w:rsidR="00E8446F" w:rsidRPr="00B67AE6" w:rsidRDefault="00E8446F" w:rsidP="00E8446F">
            <w:pPr>
              <w:spacing w:beforeLines="40" w:before="96" w:afterLines="40" w:after="96" w:line="240" w:lineRule="auto"/>
            </w:pPr>
            <w:r w:rsidRPr="00B67AE6">
              <w:t>Πελοπόννησος</w:t>
            </w:r>
          </w:p>
        </w:tc>
        <w:tc>
          <w:tcPr>
            <w:tcW w:w="1560" w:type="dxa"/>
          </w:tcPr>
          <w:p w14:paraId="2FBC3C3E" w14:textId="77777777" w:rsidR="00E8446F" w:rsidRPr="00B67AE6" w:rsidRDefault="00E8446F" w:rsidP="00524440">
            <w:pPr>
              <w:spacing w:beforeLines="40" w:before="96" w:afterLines="40" w:after="96" w:line="360" w:lineRule="auto"/>
            </w:pPr>
            <w:r w:rsidRPr="00B67AE6">
              <w:t>2.000.000€</w:t>
            </w:r>
          </w:p>
        </w:tc>
        <w:tc>
          <w:tcPr>
            <w:tcW w:w="1602" w:type="dxa"/>
          </w:tcPr>
          <w:p w14:paraId="635FDE27" w14:textId="77777777" w:rsidR="00E8446F" w:rsidRPr="00B67AE6" w:rsidRDefault="00167EB6" w:rsidP="00E8446F">
            <w:pPr>
              <w:spacing w:beforeLines="40" w:before="96" w:afterLines="40" w:after="96" w:line="360" w:lineRule="auto"/>
            </w:pPr>
            <w:r w:rsidRPr="00167EB6">
              <w:t>1.500.000</w:t>
            </w:r>
            <w:r>
              <w:t>€</w:t>
            </w:r>
          </w:p>
        </w:tc>
        <w:tc>
          <w:tcPr>
            <w:tcW w:w="1187" w:type="dxa"/>
          </w:tcPr>
          <w:p w14:paraId="6FDA70E1" w14:textId="77777777" w:rsidR="00E8446F" w:rsidRPr="00B67AE6" w:rsidRDefault="00E8446F" w:rsidP="00524440">
            <w:pPr>
              <w:spacing w:beforeLines="40" w:before="96" w:afterLines="40" w:after="96" w:line="360" w:lineRule="auto"/>
            </w:pPr>
            <w:r w:rsidRPr="00B67AE6">
              <w:t>120</w:t>
            </w:r>
          </w:p>
        </w:tc>
        <w:tc>
          <w:tcPr>
            <w:tcW w:w="1174" w:type="dxa"/>
          </w:tcPr>
          <w:p w14:paraId="2A296B77" w14:textId="77777777" w:rsidR="00E8446F" w:rsidRPr="00B67AE6" w:rsidRDefault="00E8446F" w:rsidP="00524440">
            <w:pPr>
              <w:spacing w:beforeLines="40" w:before="96" w:afterLines="40" w:after="96" w:line="360" w:lineRule="auto"/>
              <w:jc w:val="center"/>
            </w:pPr>
          </w:p>
        </w:tc>
      </w:tr>
      <w:tr w:rsidR="00167EB6" w:rsidRPr="00B67AE6" w14:paraId="3E04DBF4" w14:textId="77777777" w:rsidTr="00E8446F">
        <w:tc>
          <w:tcPr>
            <w:tcW w:w="551" w:type="dxa"/>
          </w:tcPr>
          <w:p w14:paraId="02D646B4" w14:textId="77777777" w:rsidR="00167EB6" w:rsidRPr="00B67AE6" w:rsidRDefault="00167EB6" w:rsidP="00167EB6">
            <w:pPr>
              <w:spacing w:beforeLines="40" w:before="96" w:afterLines="40" w:after="96" w:line="360" w:lineRule="auto"/>
            </w:pPr>
            <w:r w:rsidRPr="00B67AE6">
              <w:t>10</w:t>
            </w:r>
          </w:p>
        </w:tc>
        <w:tc>
          <w:tcPr>
            <w:tcW w:w="2454" w:type="dxa"/>
          </w:tcPr>
          <w:p w14:paraId="7163189E" w14:textId="77777777" w:rsidR="00167EB6" w:rsidRPr="00B67AE6" w:rsidRDefault="00167EB6" w:rsidP="00167EB6">
            <w:pPr>
              <w:spacing w:beforeLines="40" w:before="96" w:afterLines="40" w:after="96" w:line="240" w:lineRule="auto"/>
            </w:pPr>
            <w:r w:rsidRPr="00B67AE6">
              <w:t>Δυτική Ελλάδα</w:t>
            </w:r>
          </w:p>
        </w:tc>
        <w:tc>
          <w:tcPr>
            <w:tcW w:w="1560" w:type="dxa"/>
          </w:tcPr>
          <w:p w14:paraId="01B44C35" w14:textId="77777777" w:rsidR="00167EB6" w:rsidRPr="00B67AE6" w:rsidRDefault="00167EB6" w:rsidP="00167EB6">
            <w:pPr>
              <w:spacing w:beforeLines="40" w:before="96" w:afterLines="40" w:after="96" w:line="360" w:lineRule="auto"/>
            </w:pPr>
            <w:r w:rsidRPr="00B67AE6">
              <w:t>800.000€</w:t>
            </w:r>
          </w:p>
        </w:tc>
        <w:tc>
          <w:tcPr>
            <w:tcW w:w="1602" w:type="dxa"/>
          </w:tcPr>
          <w:p w14:paraId="7CDC3988" w14:textId="77777777" w:rsidR="00167EB6" w:rsidRPr="00B67AE6" w:rsidRDefault="00167EB6" w:rsidP="00167EB6">
            <w:pPr>
              <w:spacing w:beforeLines="40" w:before="96" w:afterLines="40" w:after="96" w:line="360" w:lineRule="auto"/>
            </w:pPr>
            <w:r>
              <w:t>1</w:t>
            </w:r>
            <w:r w:rsidRPr="00167EB6">
              <w:t>.000.000</w:t>
            </w:r>
            <w:r>
              <w:t>€</w:t>
            </w:r>
          </w:p>
        </w:tc>
        <w:tc>
          <w:tcPr>
            <w:tcW w:w="1187" w:type="dxa"/>
          </w:tcPr>
          <w:p w14:paraId="27982406" w14:textId="77777777" w:rsidR="00167EB6" w:rsidRPr="00B67AE6" w:rsidRDefault="00167EB6" w:rsidP="00167EB6">
            <w:pPr>
              <w:spacing w:beforeLines="40" w:before="96" w:afterLines="40" w:after="96" w:line="360" w:lineRule="auto"/>
            </w:pPr>
            <w:r w:rsidRPr="00B67AE6">
              <w:t>143</w:t>
            </w:r>
          </w:p>
        </w:tc>
        <w:tc>
          <w:tcPr>
            <w:tcW w:w="1174" w:type="dxa"/>
          </w:tcPr>
          <w:p w14:paraId="12AAD046" w14:textId="77777777" w:rsidR="00167EB6" w:rsidRPr="00B67AE6" w:rsidRDefault="00167EB6" w:rsidP="00167EB6">
            <w:pPr>
              <w:spacing w:beforeLines="40" w:before="96" w:afterLines="40" w:after="96" w:line="360" w:lineRule="auto"/>
              <w:jc w:val="center"/>
            </w:pPr>
          </w:p>
        </w:tc>
      </w:tr>
      <w:tr w:rsidR="00167EB6" w:rsidRPr="00B67AE6" w14:paraId="11C5DCB0" w14:textId="77777777" w:rsidTr="00E8446F">
        <w:tc>
          <w:tcPr>
            <w:tcW w:w="551" w:type="dxa"/>
          </w:tcPr>
          <w:p w14:paraId="5B770744" w14:textId="77777777" w:rsidR="00167EB6" w:rsidRPr="00B67AE6" w:rsidRDefault="00167EB6" w:rsidP="00167EB6">
            <w:pPr>
              <w:spacing w:beforeLines="40" w:before="96" w:afterLines="40" w:after="96" w:line="360" w:lineRule="auto"/>
            </w:pPr>
            <w:r w:rsidRPr="00B67AE6">
              <w:t>11</w:t>
            </w:r>
          </w:p>
        </w:tc>
        <w:tc>
          <w:tcPr>
            <w:tcW w:w="2454" w:type="dxa"/>
          </w:tcPr>
          <w:p w14:paraId="005E9D90" w14:textId="77777777" w:rsidR="00167EB6" w:rsidRPr="00B67AE6" w:rsidRDefault="00167EB6" w:rsidP="00167EB6">
            <w:pPr>
              <w:spacing w:beforeLines="40" w:before="96" w:afterLines="40" w:after="96" w:line="240" w:lineRule="auto"/>
            </w:pPr>
            <w:r w:rsidRPr="00B67AE6">
              <w:t>Κεντρική Μακεδονία</w:t>
            </w:r>
          </w:p>
        </w:tc>
        <w:tc>
          <w:tcPr>
            <w:tcW w:w="1560" w:type="dxa"/>
          </w:tcPr>
          <w:p w14:paraId="48CF5954" w14:textId="77777777" w:rsidR="00167EB6" w:rsidRPr="00B67AE6" w:rsidRDefault="00167EB6" w:rsidP="00167EB6">
            <w:pPr>
              <w:spacing w:beforeLines="40" w:before="96" w:afterLines="40" w:after="96" w:line="360" w:lineRule="auto"/>
            </w:pPr>
          </w:p>
        </w:tc>
        <w:tc>
          <w:tcPr>
            <w:tcW w:w="1602" w:type="dxa"/>
          </w:tcPr>
          <w:p w14:paraId="55A2D850" w14:textId="77777777" w:rsidR="00167EB6" w:rsidRPr="00B67AE6" w:rsidRDefault="00167EB6" w:rsidP="00167EB6">
            <w:pPr>
              <w:spacing w:beforeLines="40" w:before="96" w:afterLines="40" w:after="96" w:line="360" w:lineRule="auto"/>
            </w:pPr>
          </w:p>
        </w:tc>
        <w:tc>
          <w:tcPr>
            <w:tcW w:w="1187" w:type="dxa"/>
          </w:tcPr>
          <w:p w14:paraId="63515365" w14:textId="77777777" w:rsidR="00167EB6" w:rsidRPr="00B67AE6" w:rsidRDefault="00167EB6" w:rsidP="00167EB6">
            <w:pPr>
              <w:spacing w:beforeLines="40" w:before="96" w:afterLines="40" w:after="96" w:line="360" w:lineRule="auto"/>
            </w:pPr>
          </w:p>
        </w:tc>
        <w:tc>
          <w:tcPr>
            <w:tcW w:w="1174" w:type="dxa"/>
          </w:tcPr>
          <w:p w14:paraId="41F93DD5" w14:textId="77777777" w:rsidR="00167EB6" w:rsidRPr="00B67AE6" w:rsidRDefault="00167EB6" w:rsidP="00167EB6">
            <w:pPr>
              <w:spacing w:beforeLines="40" w:before="96" w:afterLines="40" w:after="96" w:line="360" w:lineRule="auto"/>
              <w:jc w:val="center"/>
            </w:pPr>
          </w:p>
        </w:tc>
      </w:tr>
      <w:tr w:rsidR="00167EB6" w:rsidRPr="00B67AE6" w14:paraId="65491790" w14:textId="77777777" w:rsidTr="00E8446F">
        <w:tc>
          <w:tcPr>
            <w:tcW w:w="551" w:type="dxa"/>
          </w:tcPr>
          <w:p w14:paraId="6EB00A46" w14:textId="77777777" w:rsidR="00167EB6" w:rsidRPr="00B67AE6" w:rsidRDefault="00167EB6" w:rsidP="00167EB6">
            <w:pPr>
              <w:spacing w:beforeLines="40" w:before="96" w:afterLines="40" w:after="96" w:line="360" w:lineRule="auto"/>
            </w:pPr>
            <w:r w:rsidRPr="00B67AE6">
              <w:t>12</w:t>
            </w:r>
          </w:p>
        </w:tc>
        <w:tc>
          <w:tcPr>
            <w:tcW w:w="2454" w:type="dxa"/>
          </w:tcPr>
          <w:p w14:paraId="7287246D" w14:textId="77777777" w:rsidR="00167EB6" w:rsidRPr="00B67AE6" w:rsidRDefault="00167EB6" w:rsidP="00167EB6">
            <w:pPr>
              <w:spacing w:beforeLines="40" w:before="96" w:afterLines="40" w:after="96" w:line="240" w:lineRule="auto"/>
            </w:pPr>
            <w:r w:rsidRPr="00B67AE6">
              <w:t>Δυτική Μακεδονία</w:t>
            </w:r>
          </w:p>
        </w:tc>
        <w:tc>
          <w:tcPr>
            <w:tcW w:w="1560" w:type="dxa"/>
          </w:tcPr>
          <w:p w14:paraId="458D5352" w14:textId="77777777" w:rsidR="00167EB6" w:rsidRPr="00B67AE6" w:rsidRDefault="00167EB6" w:rsidP="00167EB6">
            <w:pPr>
              <w:spacing w:beforeLines="40" w:before="96" w:afterLines="40" w:after="96" w:line="360" w:lineRule="auto"/>
            </w:pPr>
          </w:p>
        </w:tc>
        <w:tc>
          <w:tcPr>
            <w:tcW w:w="1602" w:type="dxa"/>
          </w:tcPr>
          <w:p w14:paraId="59C25604" w14:textId="77777777" w:rsidR="00167EB6" w:rsidRPr="00B67AE6" w:rsidRDefault="00167EB6" w:rsidP="00167EB6">
            <w:pPr>
              <w:spacing w:beforeLines="40" w:before="96" w:afterLines="40" w:after="96" w:line="360" w:lineRule="auto"/>
            </w:pPr>
            <w:r w:rsidRPr="00167EB6">
              <w:t>4.500.000</w:t>
            </w:r>
            <w:r>
              <w:t>€</w:t>
            </w:r>
          </w:p>
        </w:tc>
        <w:tc>
          <w:tcPr>
            <w:tcW w:w="1187" w:type="dxa"/>
          </w:tcPr>
          <w:p w14:paraId="0F6AC082" w14:textId="77777777" w:rsidR="00167EB6" w:rsidRPr="00B67AE6" w:rsidRDefault="00167EB6" w:rsidP="00167EB6">
            <w:pPr>
              <w:spacing w:beforeLines="40" w:before="96" w:afterLines="40" w:after="96" w:line="360" w:lineRule="auto"/>
            </w:pPr>
          </w:p>
        </w:tc>
        <w:tc>
          <w:tcPr>
            <w:tcW w:w="1174" w:type="dxa"/>
          </w:tcPr>
          <w:p w14:paraId="0D67E1AB" w14:textId="77777777" w:rsidR="00167EB6" w:rsidRPr="00B67AE6" w:rsidRDefault="00167EB6" w:rsidP="00167EB6">
            <w:pPr>
              <w:spacing w:beforeLines="40" w:before="96" w:afterLines="40" w:after="96" w:line="360" w:lineRule="auto"/>
              <w:jc w:val="center"/>
            </w:pPr>
          </w:p>
        </w:tc>
      </w:tr>
      <w:tr w:rsidR="00167EB6" w:rsidRPr="00B67AE6" w14:paraId="473F92CE" w14:textId="77777777" w:rsidTr="00E8446F">
        <w:tc>
          <w:tcPr>
            <w:tcW w:w="551" w:type="dxa"/>
          </w:tcPr>
          <w:p w14:paraId="4019E33A" w14:textId="77777777" w:rsidR="00167EB6" w:rsidRPr="00B67AE6" w:rsidRDefault="00167EB6" w:rsidP="00167EB6">
            <w:pPr>
              <w:spacing w:beforeLines="40" w:before="96" w:afterLines="40" w:after="96" w:line="360" w:lineRule="auto"/>
            </w:pPr>
            <w:r w:rsidRPr="00B67AE6">
              <w:t>13</w:t>
            </w:r>
          </w:p>
        </w:tc>
        <w:tc>
          <w:tcPr>
            <w:tcW w:w="2454" w:type="dxa"/>
          </w:tcPr>
          <w:p w14:paraId="3C2F01D6" w14:textId="77777777" w:rsidR="00167EB6" w:rsidRPr="00B67AE6" w:rsidRDefault="00167EB6" w:rsidP="00167EB6">
            <w:pPr>
              <w:spacing w:beforeLines="40" w:before="96" w:afterLines="40" w:after="96" w:line="240" w:lineRule="auto"/>
            </w:pPr>
            <w:r w:rsidRPr="00B67AE6">
              <w:t>Στερεά Ελλάδα</w:t>
            </w:r>
          </w:p>
        </w:tc>
        <w:tc>
          <w:tcPr>
            <w:tcW w:w="1560" w:type="dxa"/>
          </w:tcPr>
          <w:p w14:paraId="72663971" w14:textId="77777777" w:rsidR="00167EB6" w:rsidRPr="00B67AE6" w:rsidRDefault="00167EB6" w:rsidP="00167EB6">
            <w:pPr>
              <w:spacing w:beforeLines="40" w:before="96" w:afterLines="40" w:after="96" w:line="360" w:lineRule="auto"/>
            </w:pPr>
            <w:r w:rsidRPr="00B67AE6">
              <w:t>1.000.000€</w:t>
            </w:r>
          </w:p>
        </w:tc>
        <w:tc>
          <w:tcPr>
            <w:tcW w:w="1602" w:type="dxa"/>
          </w:tcPr>
          <w:p w14:paraId="56B6A7EC" w14:textId="77777777" w:rsidR="00167EB6" w:rsidRPr="00B67AE6" w:rsidRDefault="00167EB6" w:rsidP="00167EB6">
            <w:pPr>
              <w:spacing w:beforeLines="40" w:before="96" w:afterLines="40" w:after="96" w:line="360" w:lineRule="auto"/>
            </w:pPr>
            <w:r w:rsidRPr="00167EB6">
              <w:t>3.100.000</w:t>
            </w:r>
            <w:r>
              <w:t>€</w:t>
            </w:r>
          </w:p>
        </w:tc>
        <w:tc>
          <w:tcPr>
            <w:tcW w:w="1187" w:type="dxa"/>
          </w:tcPr>
          <w:p w14:paraId="3854FCF3" w14:textId="77777777" w:rsidR="00167EB6" w:rsidRPr="00B67AE6" w:rsidRDefault="00167EB6" w:rsidP="00167EB6">
            <w:pPr>
              <w:spacing w:beforeLines="40" w:before="96" w:afterLines="40" w:after="96" w:line="360" w:lineRule="auto"/>
            </w:pPr>
            <w:r w:rsidRPr="00B67AE6">
              <w:t>400</w:t>
            </w:r>
          </w:p>
        </w:tc>
        <w:tc>
          <w:tcPr>
            <w:tcW w:w="1174" w:type="dxa"/>
          </w:tcPr>
          <w:p w14:paraId="2F78C58E" w14:textId="77777777" w:rsidR="00167EB6" w:rsidRPr="00B67AE6" w:rsidRDefault="00167EB6" w:rsidP="00167EB6">
            <w:pPr>
              <w:spacing w:beforeLines="40" w:before="96" w:afterLines="40" w:after="96" w:line="360" w:lineRule="auto"/>
              <w:jc w:val="center"/>
            </w:pPr>
          </w:p>
        </w:tc>
      </w:tr>
      <w:tr w:rsidR="00167EB6" w:rsidRPr="00A724B3" w14:paraId="50833D2A" w14:textId="77777777" w:rsidTr="00E8446F">
        <w:tc>
          <w:tcPr>
            <w:tcW w:w="551" w:type="dxa"/>
          </w:tcPr>
          <w:p w14:paraId="6CEFC7D8" w14:textId="77777777" w:rsidR="00167EB6" w:rsidRPr="00A724B3" w:rsidRDefault="00167EB6" w:rsidP="00167EB6">
            <w:pPr>
              <w:spacing w:beforeLines="40" w:before="96" w:afterLines="40" w:after="96" w:line="360" w:lineRule="auto"/>
              <w:rPr>
                <w:b/>
              </w:rPr>
            </w:pPr>
          </w:p>
        </w:tc>
        <w:tc>
          <w:tcPr>
            <w:tcW w:w="2454" w:type="dxa"/>
          </w:tcPr>
          <w:p w14:paraId="45D28F99" w14:textId="77777777" w:rsidR="00167EB6" w:rsidRPr="00A724B3" w:rsidRDefault="00167EB6" w:rsidP="00167EB6">
            <w:pPr>
              <w:spacing w:beforeLines="40" w:before="96" w:afterLines="40" w:after="96" w:line="240" w:lineRule="auto"/>
              <w:rPr>
                <w:b/>
              </w:rPr>
            </w:pPr>
            <w:r w:rsidRPr="00A724B3">
              <w:rPr>
                <w:b/>
              </w:rPr>
              <w:t>Σύνολα</w:t>
            </w:r>
          </w:p>
        </w:tc>
        <w:tc>
          <w:tcPr>
            <w:tcW w:w="1560" w:type="dxa"/>
          </w:tcPr>
          <w:p w14:paraId="39DBAA3D" w14:textId="77777777" w:rsidR="00167EB6" w:rsidRPr="00A724B3" w:rsidRDefault="00167EB6" w:rsidP="00167EB6">
            <w:pPr>
              <w:spacing w:beforeLines="40" w:before="96" w:afterLines="40" w:after="96" w:line="360" w:lineRule="auto"/>
              <w:rPr>
                <w:b/>
              </w:rPr>
            </w:pPr>
            <w:r w:rsidRPr="00A724B3">
              <w:rPr>
                <w:b/>
              </w:rPr>
              <w:t>33.437.461€</w:t>
            </w:r>
          </w:p>
        </w:tc>
        <w:tc>
          <w:tcPr>
            <w:tcW w:w="1602" w:type="dxa"/>
          </w:tcPr>
          <w:p w14:paraId="3B1EAED7" w14:textId="77777777" w:rsidR="00167EB6" w:rsidRPr="00A724B3" w:rsidRDefault="00167EB6" w:rsidP="00167EB6">
            <w:pPr>
              <w:spacing w:beforeLines="40" w:before="96" w:afterLines="40" w:after="96" w:line="360" w:lineRule="auto"/>
              <w:rPr>
                <w:b/>
              </w:rPr>
            </w:pPr>
            <w:r w:rsidRPr="00167EB6">
              <w:rPr>
                <w:b/>
              </w:rPr>
              <w:t>60.969.718</w:t>
            </w:r>
            <w:r>
              <w:rPr>
                <w:b/>
              </w:rPr>
              <w:t>€</w:t>
            </w:r>
          </w:p>
        </w:tc>
        <w:tc>
          <w:tcPr>
            <w:tcW w:w="1187" w:type="dxa"/>
          </w:tcPr>
          <w:p w14:paraId="23264F4A" w14:textId="77777777" w:rsidR="00167EB6" w:rsidRPr="00A724B3" w:rsidRDefault="00167EB6" w:rsidP="00167EB6">
            <w:pPr>
              <w:spacing w:beforeLines="40" w:before="96" w:afterLines="40" w:after="96" w:line="360" w:lineRule="auto"/>
              <w:rPr>
                <w:b/>
              </w:rPr>
            </w:pPr>
            <w:r w:rsidRPr="00A724B3">
              <w:rPr>
                <w:b/>
              </w:rPr>
              <w:t>4.660</w:t>
            </w:r>
          </w:p>
        </w:tc>
        <w:tc>
          <w:tcPr>
            <w:tcW w:w="1174" w:type="dxa"/>
          </w:tcPr>
          <w:p w14:paraId="0FBC93EA" w14:textId="77777777" w:rsidR="00167EB6" w:rsidRPr="00A724B3" w:rsidRDefault="00167EB6" w:rsidP="00167EB6">
            <w:pPr>
              <w:spacing w:beforeLines="40" w:before="96" w:afterLines="40" w:after="96" w:line="360" w:lineRule="auto"/>
              <w:jc w:val="center"/>
              <w:rPr>
                <w:b/>
              </w:rPr>
            </w:pPr>
          </w:p>
        </w:tc>
      </w:tr>
    </w:tbl>
    <w:p w14:paraId="55CE6732" w14:textId="77777777" w:rsidR="00907C76" w:rsidRPr="00AF433D" w:rsidRDefault="004F2F64" w:rsidP="001303BB">
      <w:pPr>
        <w:pStyle w:val="af6"/>
        <w:spacing w:before="240" w:line="360" w:lineRule="auto"/>
      </w:pPr>
      <w:r w:rsidRPr="00AF433D">
        <w:t>Εποπτικός πίνακας διαθέσιμων πόρων Περιφερειακών Προγραμμάτων</w:t>
      </w:r>
    </w:p>
    <w:p w14:paraId="1443E4E1" w14:textId="77777777" w:rsidR="00701036" w:rsidRPr="001A5251" w:rsidRDefault="00701036" w:rsidP="00FA5CD9">
      <w:pPr>
        <w:pStyle w:val="3"/>
      </w:pPr>
      <w:bookmarkStart w:id="17" w:name="_Toc36639195"/>
      <w:r w:rsidRPr="001A5251">
        <w:t xml:space="preserve">Συνέργειες με άλλα τομεακά </w:t>
      </w:r>
      <w:r w:rsidR="00E5630E">
        <w:t>Προγράμματ</w:t>
      </w:r>
      <w:r w:rsidRPr="001A5251">
        <w:t>α</w:t>
      </w:r>
      <w:bookmarkEnd w:id="17"/>
      <w:r w:rsidRPr="001A5251">
        <w:t xml:space="preserve"> </w:t>
      </w:r>
    </w:p>
    <w:p w14:paraId="0BB03E05" w14:textId="77777777" w:rsidR="00701036" w:rsidRPr="001A5251" w:rsidRDefault="00701036" w:rsidP="00524440">
      <w:pPr>
        <w:spacing w:line="360" w:lineRule="auto"/>
      </w:pPr>
      <w:r w:rsidRPr="001A5251">
        <w:t xml:space="preserve">Δεν </w:t>
      </w:r>
      <w:r w:rsidR="00E8446F">
        <w:t>έχει διαμορφωθεί κάποια</w:t>
      </w:r>
      <w:r w:rsidR="00FF7DF8" w:rsidRPr="001A5251">
        <w:t xml:space="preserve"> </w:t>
      </w:r>
      <w:r w:rsidR="00E5630E">
        <w:t>Προγραμματ</w:t>
      </w:r>
      <w:r w:rsidR="00E8446F">
        <w:t xml:space="preserve">ική </w:t>
      </w:r>
      <w:r w:rsidR="00FF7DF8" w:rsidRPr="001A5251">
        <w:t xml:space="preserve">δυνατότητα χρηματοδότησης ενεργειακών παρεμβάσεων σε κατοικίες από άλλα επιχειρησιακά </w:t>
      </w:r>
      <w:r w:rsidR="00E5630E">
        <w:t>Προγράμματ</w:t>
      </w:r>
      <w:r w:rsidR="00FF7DF8" w:rsidRPr="001A5251">
        <w:t xml:space="preserve">α όπως </w:t>
      </w:r>
      <w:r w:rsidRPr="001A5251">
        <w:t>το Ε</w:t>
      </w:r>
      <w:r w:rsidR="00FF7DF8" w:rsidRPr="001A5251">
        <w:t>.</w:t>
      </w:r>
      <w:r w:rsidRPr="001A5251">
        <w:t>Π</w:t>
      </w:r>
      <w:r w:rsidR="00FF7DF8" w:rsidRPr="001A5251">
        <w:t>.</w:t>
      </w:r>
      <w:r w:rsidRPr="001A5251">
        <w:t xml:space="preserve"> </w:t>
      </w:r>
      <w:r w:rsidR="00FF7DF8" w:rsidRPr="001A5251">
        <w:t>«</w:t>
      </w:r>
      <w:r w:rsidRPr="001A5251">
        <w:t>Υποδομές Μεταφορών, Περιβάλλον και Αειφόρος Ανάπτυξη</w:t>
      </w:r>
      <w:r w:rsidR="00FF7DF8" w:rsidRPr="001A5251">
        <w:t>», το οποίο θα ενισχύσει</w:t>
      </w:r>
      <w:r w:rsidR="00E8446F">
        <w:t xml:space="preserve"> όμως</w:t>
      </w:r>
      <w:r w:rsidR="00FF7DF8" w:rsidRPr="001A5251">
        <w:t xml:space="preserve"> παρεμβάσεις σε δημόσια κτίρια.</w:t>
      </w:r>
    </w:p>
    <w:p w14:paraId="0347F4BA" w14:textId="77777777" w:rsidR="002F03F8" w:rsidRDefault="00E8446F" w:rsidP="00FA5CD9">
      <w:pPr>
        <w:pStyle w:val="3"/>
      </w:pPr>
      <w:bookmarkStart w:id="18" w:name="_Toc36639196"/>
      <w:r>
        <w:t>Σύστημα Διαχείρισης και Ελέγχου</w:t>
      </w:r>
      <w:bookmarkEnd w:id="18"/>
    </w:p>
    <w:p w14:paraId="7A842BCE" w14:textId="77777777" w:rsidR="009C5DC3" w:rsidRDefault="009C5DC3" w:rsidP="009C5DC3">
      <w:pPr>
        <w:spacing w:line="360" w:lineRule="auto"/>
      </w:pPr>
      <w:r>
        <w:t xml:space="preserve">Οι </w:t>
      </w:r>
      <w:r w:rsidR="00C808D0">
        <w:t>Δ</w:t>
      </w:r>
      <w:r>
        <w:t xml:space="preserve">ιαχειριστικές </w:t>
      </w:r>
      <w:r w:rsidR="00C808D0">
        <w:t>Α</w:t>
      </w:r>
      <w:r>
        <w:t xml:space="preserve">ρχές </w:t>
      </w:r>
      <w:r>
        <w:rPr>
          <w:rStyle w:val="ac"/>
        </w:rPr>
        <w:footnoteReference w:id="4"/>
      </w:r>
      <w:r w:rsidR="00C808D0">
        <w:t xml:space="preserve"> (ΔΑ) </w:t>
      </w:r>
      <w:r>
        <w:t xml:space="preserve">που θα χρησιμοποιήσουν </w:t>
      </w:r>
      <w:r w:rsidR="004C42EA">
        <w:t>Χ</w:t>
      </w:r>
      <w:r>
        <w:t>ρηματο</w:t>
      </w:r>
      <w:r w:rsidR="004C42EA">
        <w:t>οικονομικά Εργαλεία</w:t>
      </w:r>
      <w:r>
        <w:t xml:space="preserve"> μέσα (</w:t>
      </w:r>
      <w:r w:rsidR="004C42EA">
        <w:rPr>
          <w:lang w:val="en-US"/>
        </w:rPr>
        <w:t>FI</w:t>
      </w:r>
      <w:r>
        <w:t xml:space="preserve">) ως εργαλεία για την επίτευξη των στόχων </w:t>
      </w:r>
      <w:r w:rsidR="00C808D0">
        <w:t>Ε</w:t>
      </w:r>
      <w:r>
        <w:t xml:space="preserve">πιχειρησιακού </w:t>
      </w:r>
      <w:r w:rsidR="00971D9A">
        <w:t>Προγράμματος</w:t>
      </w:r>
      <w:r>
        <w:t xml:space="preserve"> (ΕΠ) μπορούν είτε να χορηγούν χρηματοδοτική συνδρομή σε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t xml:space="preserve"> που θεσπίζονται στο </w:t>
      </w:r>
      <w:r>
        <w:lastRenderedPageBreak/>
        <w:t xml:space="preserve">επίπεδο της Ένωσης υπό την άμεση ή έμμεση διαχείριση της Επιτροπής, είτε σε </w:t>
      </w:r>
      <w:r w:rsidR="004C42EA" w:rsidRPr="004C42EA">
        <w:t>FI</w:t>
      </w:r>
      <w:r>
        <w:t xml:space="preserve"> που συνδυάζουν την εν λόγω συνεισφορά με χρηματοδοτικά προϊόντα της </w:t>
      </w:r>
      <w:proofErr w:type="spellStart"/>
      <w:r>
        <w:t>ΕΤΕπ</w:t>
      </w:r>
      <w:proofErr w:type="spellEnd"/>
      <w:r>
        <w:t xml:space="preserve"> στο πλαίσιο του Ευρωπαϊκού Ταμείου Στρατηγικών Επενδύσεων, είτε σε </w:t>
      </w:r>
      <w:r w:rsidR="004C42EA" w:rsidRPr="004C42EA">
        <w:t>FI</w:t>
      </w:r>
      <w:r>
        <w:t xml:space="preserve"> που δημιουργούνται σε εθνικό, περιφερειακό, διακρατικό ή διασυνοριακό επίπεδο, υπό τη διαχείριση ή την ευθύνη της ΔΑ. Στην τελευταία περίπτωση, οι ΔΑ μπορούν είτε να αναλάβουν άμεσα εκτελεστικά καθήκοντα, σε περίπτωση </w:t>
      </w:r>
      <w:r w:rsidR="004C42EA" w:rsidRPr="004C42EA">
        <w:t>FI</w:t>
      </w:r>
      <w:r>
        <w:t xml:space="preserve"> που αφορούν αποκλειστικά δάνεια ή εγγυήσεις, είτε να επενδύσουν στο κεφάλαιο νεοσύστατου ή υφιστάμενου νομικού προσώπου, είτε να αναθέσουν καθήκοντα </w:t>
      </w:r>
      <w:r w:rsidR="004F576E">
        <w:t>Εφαρμογής</w:t>
      </w:r>
      <w:r>
        <w:t xml:space="preserve"> σε άλλους φορείς. Το άρθρο 38 παράγραφος 4 στοιχείο β) του ΚΚΔ προβλέπει διάφορα είδη οντοτήτων στις οποίες οι ΔΑ μπορούν να αναθέτουν καθήκοντα </w:t>
      </w:r>
      <w:r w:rsidR="004F576E">
        <w:t>Εφαρμογής</w:t>
      </w:r>
      <w:r>
        <w:t xml:space="preserve"> </w:t>
      </w:r>
      <w:r w:rsidR="004C42EA" w:rsidRPr="004C42EA">
        <w:t>FI</w:t>
      </w:r>
      <w:r>
        <w:t xml:space="preserve"> με απευθείας ανάθεση.</w:t>
      </w:r>
    </w:p>
    <w:p w14:paraId="3B916C6F" w14:textId="77777777" w:rsidR="009C5DC3" w:rsidRDefault="009C5DC3" w:rsidP="009C5DC3">
      <w:pPr>
        <w:spacing w:line="360" w:lineRule="auto"/>
      </w:pPr>
      <w:r>
        <w:t xml:space="preserve">Τα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rsidR="004C42EA">
        <w:t xml:space="preserve"> </w:t>
      </w:r>
      <w:r>
        <w:t xml:space="preserve">μπορούν να εφαρμοστούν μέσω δομής με ή χωρίς ταμείο χαρτοφυλακίου. Σε περίπτωση που τα </w:t>
      </w:r>
      <w:r w:rsidR="001E5965" w:rsidRPr="004C42EA">
        <w:t>Χρηματοοικονομικ</w:t>
      </w:r>
      <w:r w:rsidR="001E5965">
        <w:t>ά</w:t>
      </w:r>
      <w:r w:rsidR="001E5965" w:rsidRPr="004C42EA">
        <w:t xml:space="preserve"> Εργαλεί</w:t>
      </w:r>
      <w:r w:rsidR="001E5965">
        <w:t>α</w:t>
      </w:r>
      <w:r w:rsidR="001E5965" w:rsidRPr="004C42EA">
        <w:t xml:space="preserve"> (FI)</w:t>
      </w:r>
      <w:r>
        <w:t xml:space="preserve"> εφαρμόζονται μέσω δομής που περιλαμβάνει ταμείο χαρτοφυλακίου – </w:t>
      </w:r>
      <w:r w:rsidR="00022493">
        <w:t xml:space="preserve">όπως </w:t>
      </w:r>
      <w:r>
        <w:t xml:space="preserve">συμβαίνει στο Ταμείο ΕΞΟΙΚΟΝΟΜΩ ΙΙ - επιλέγονται δύο επίπεδα φορέων: του φορέα </w:t>
      </w:r>
      <w:r w:rsidR="004F576E">
        <w:t>Εφαρμογής</w:t>
      </w:r>
      <w:r>
        <w:t xml:space="preserve"> του ταμείου χαρτοφυλακίου και των φορέων </w:t>
      </w:r>
      <w:r w:rsidR="004F576E">
        <w:t>Εφαρμογής</w:t>
      </w:r>
      <w:r>
        <w:t xml:space="preserve"> των </w:t>
      </w:r>
      <w:r w:rsidR="004C42EA">
        <w:rPr>
          <w:lang w:val="en-US"/>
        </w:rPr>
        <w:t>FI</w:t>
      </w:r>
      <w:r>
        <w:t>, δηλαδή των ενδιάμεσων χρηματοδοτικών οργανισμών (ΕΧΟ).</w:t>
      </w:r>
    </w:p>
    <w:p w14:paraId="54F9ACC6" w14:textId="77777777" w:rsidR="009C5DC3" w:rsidRDefault="009C5DC3" w:rsidP="009C5DC3">
      <w:pPr>
        <w:spacing w:line="360" w:lineRule="auto"/>
      </w:pPr>
      <w:r>
        <w:t xml:space="preserve">Σύμφωνα με το άρθρο 38 παρ. 4 του ΚΚΔ, η επιλογή των εν λόγω οντοτήτων (είτε είναι φορείς </w:t>
      </w:r>
      <w:r w:rsidR="004F576E">
        <w:t>Εφαρμογής</w:t>
      </w:r>
      <w:r>
        <w:t xml:space="preserve"> ταμείων χαρτοφυλακίου είτε ΕΧΟ) πρέπει να συμμορφώνεται με την ισχύουσα νομοθεσία. Το άρθρο 38 παρ. 5 του ΚΚΔ προβλέπει επίσης ότι η επιλογή των ΕΧΟ πρέπει να γίνεται με βάση ανοικτές, διαφανείς, αναλογικές και χωρίς διακρίσεις διαδικασίες, με την αποφυγή σύγκρουσης συμφερόντων.</w:t>
      </w:r>
    </w:p>
    <w:p w14:paraId="09660897" w14:textId="77777777" w:rsidR="009C5DC3" w:rsidRDefault="009C5DC3" w:rsidP="009C5DC3">
      <w:pPr>
        <w:spacing w:line="360" w:lineRule="auto"/>
      </w:pPr>
      <w:r>
        <w:t xml:space="preserve">Το άρθρο 7 του Καν. 480/2014 καθορίζει τα κριτήρια που πρέπει να εφαρμόζονται από τη ΔΑ κατά την επιλογή των φορέων </w:t>
      </w:r>
      <w:r w:rsidR="004F576E">
        <w:t>Εφαρμογής</w:t>
      </w:r>
      <w:r>
        <w:t xml:space="preserve"> </w:t>
      </w:r>
      <w:r w:rsidR="004C42EA" w:rsidRPr="004C42EA">
        <w:t>Χρηματοοικονομικ</w:t>
      </w:r>
      <w:r w:rsidR="004C42EA">
        <w:t>ών</w:t>
      </w:r>
      <w:r w:rsidR="004C42EA" w:rsidRPr="004C42EA">
        <w:t xml:space="preserve"> Εργαλεί</w:t>
      </w:r>
      <w:r w:rsidR="004C42EA">
        <w:t>ων</w:t>
      </w:r>
      <w:r w:rsidR="004C42EA" w:rsidRPr="004C42EA">
        <w:t xml:space="preserve"> (FI)</w:t>
      </w:r>
      <w:r>
        <w:t xml:space="preserve">. Οι κανόνες του άρθρου 7 παράγραφοι 1 και 2 ισχύουν για την επιλογή των φορέων </w:t>
      </w:r>
      <w:r w:rsidR="004F576E">
        <w:t>Εφαρμογής</w:t>
      </w:r>
      <w:r>
        <w:t xml:space="preserve"> </w:t>
      </w:r>
      <w:r w:rsidR="004C42EA" w:rsidRPr="004C42EA">
        <w:t>FI</w:t>
      </w:r>
      <w:r>
        <w:t xml:space="preserve"> (με την εξαίρεση της επιλογής της </w:t>
      </w:r>
      <w:proofErr w:type="spellStart"/>
      <w:r>
        <w:t>ΕΤΕπ</w:t>
      </w:r>
      <w:proofErr w:type="spellEnd"/>
      <w:r>
        <w:t xml:space="preserve"> και του ΕΤΕ), ανεξάρτητα από το ύψος της σύμβασης και ανεξάρτητα από τη διαδικασία επιλογής των ενδιαφερόμενων φορέων (ανοικτή πρόσκληση, διαδικασία με διαπραγμάτευση, ανταγωνιστική διαδικασία, απευθείας ανάθεση). Οι διατάξεις του άρθρου 7 παράγραφος 3 του Καν. 480/2014 ισχύουν για την επιλογή των ΕΧΟ από τους φορείς </w:t>
      </w:r>
      <w:r w:rsidR="004F576E">
        <w:t>Εφαρμογής</w:t>
      </w:r>
      <w:r>
        <w:t xml:space="preserve"> ταμείου χαρτοφυλακίου (συμπεριλαμβανομένης της </w:t>
      </w:r>
      <w:proofErr w:type="spellStart"/>
      <w:r>
        <w:t>ΕΤΕπ</w:t>
      </w:r>
      <w:proofErr w:type="spellEnd"/>
      <w:r>
        <w:t xml:space="preserve"> και του ΕΤΕ).</w:t>
      </w:r>
    </w:p>
    <w:p w14:paraId="2A644879" w14:textId="77777777" w:rsidR="009C5DC3" w:rsidRDefault="009C5DC3" w:rsidP="009C5DC3">
      <w:pPr>
        <w:spacing w:line="360" w:lineRule="auto"/>
      </w:pPr>
      <w:r>
        <w:t xml:space="preserve">Στο πλαίσιο των </w:t>
      </w:r>
      <w:r w:rsidR="004C42EA" w:rsidRPr="004C42EA">
        <w:t>Χρηματοοικονομικ</w:t>
      </w:r>
      <w:r w:rsidR="004C42EA">
        <w:t>ών</w:t>
      </w:r>
      <w:r w:rsidR="004C42EA" w:rsidRPr="004C42EA">
        <w:t xml:space="preserve"> Εργαλεί</w:t>
      </w:r>
      <w:r w:rsidR="004C42EA">
        <w:t>ων</w:t>
      </w:r>
      <w:r w:rsidR="004C42EA" w:rsidRPr="004C42EA">
        <w:t xml:space="preserve"> (FI)</w:t>
      </w:r>
      <w:r>
        <w:t>:</w:t>
      </w:r>
    </w:p>
    <w:p w14:paraId="643D0599" w14:textId="77777777" w:rsidR="009C5DC3" w:rsidRDefault="009C5DC3" w:rsidP="003663F4">
      <w:pPr>
        <w:pStyle w:val="a3"/>
        <w:numPr>
          <w:ilvl w:val="0"/>
          <w:numId w:val="26"/>
        </w:numPr>
        <w:spacing w:line="360" w:lineRule="auto"/>
        <w:ind w:left="426" w:hanging="357"/>
      </w:pPr>
      <w:r>
        <w:t xml:space="preserve">η «πράξη» συνίσταται στις χρηματοδοτικές συνεισφορές από ένα ή περισσότερα ΕΠ σε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t xml:space="preserve"> και στη συνακόλουθη χρηματοδότηση που παρέχουν τα εν λόγω μέσα. Στην περίπτωση </w:t>
      </w:r>
      <w:r w:rsidR="004C42EA" w:rsidRPr="004C42EA">
        <w:t>Χρηματοοικονομικ</w:t>
      </w:r>
      <w:r w:rsidR="004C42EA">
        <w:t>ών</w:t>
      </w:r>
      <w:r w:rsidR="004C42EA" w:rsidRPr="004C42EA">
        <w:t xml:space="preserve"> Εργαλεί</w:t>
      </w:r>
      <w:r w:rsidR="004C42EA">
        <w:t>ων</w:t>
      </w:r>
      <w:r w:rsidR="004C42EA" w:rsidRPr="004C42EA">
        <w:t xml:space="preserve"> (FI)</w:t>
      </w:r>
      <w:r>
        <w:t xml:space="preserve"> που εφαρμόζονται μέσω ταμείου χαρτοφυλακίου, η πράξη αποτελείται από τη συνεισφορά του/των ΕΠ στο ταμείο </w:t>
      </w:r>
      <w:r>
        <w:lastRenderedPageBreak/>
        <w:t>χαρτοφυλακίου, τις ακόλουθες συνεισφορές στους ΕΧΟ και τις ακόλουθες επενδύσεις στους τελικούς αποδέκτες,</w:t>
      </w:r>
    </w:p>
    <w:p w14:paraId="140CAEE7" w14:textId="77777777" w:rsidR="009C5DC3" w:rsidRDefault="009C5DC3" w:rsidP="003663F4">
      <w:pPr>
        <w:pStyle w:val="a3"/>
        <w:numPr>
          <w:ilvl w:val="0"/>
          <w:numId w:val="26"/>
        </w:numPr>
        <w:spacing w:line="360" w:lineRule="auto"/>
        <w:ind w:left="426" w:hanging="357"/>
      </w:pPr>
      <w:r>
        <w:t xml:space="preserve">το «ταμείο χαρτοφυλακίου» είναι ένα ταμείο που έχει συσταθεί με σκοπό την παροχή υποστήριξης από ένα ή περισσότερα ΕΠ σε διάφορα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t>,</w:t>
      </w:r>
    </w:p>
    <w:p w14:paraId="459E921C" w14:textId="77777777" w:rsidR="009C5DC3" w:rsidRDefault="009C5DC3" w:rsidP="003663F4">
      <w:pPr>
        <w:pStyle w:val="a3"/>
        <w:numPr>
          <w:ilvl w:val="0"/>
          <w:numId w:val="26"/>
        </w:numPr>
        <w:spacing w:line="360" w:lineRule="auto"/>
        <w:ind w:left="426" w:hanging="357"/>
      </w:pPr>
      <w:r>
        <w:t xml:space="preserve">«δικαιούχος» είναι είτε ο φορέας που υλοποιεί το </w:t>
      </w:r>
      <w:r w:rsidR="004C42EA" w:rsidRPr="004C42EA">
        <w:t>Χρηματοοικονομικ</w:t>
      </w:r>
      <w:r w:rsidR="004C42EA">
        <w:t>ό</w:t>
      </w:r>
      <w:r w:rsidR="004C42EA" w:rsidRPr="004C42EA">
        <w:t xml:space="preserve"> Εργαλεί</w:t>
      </w:r>
      <w:r w:rsidR="004C42EA">
        <w:t>ο</w:t>
      </w:r>
      <w:r w:rsidR="004C42EA" w:rsidRPr="004C42EA">
        <w:t xml:space="preserve"> (FI)</w:t>
      </w:r>
      <w:r>
        <w:t xml:space="preserve"> είτε το ταμείο χαρτοφυλακίου, κατά περίπτωση. Στην περίπτωση που τα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t xml:space="preserve"> εφαρμόζονται μέσω δομής που περιλαμβάνει ταμείο χαρτοφυλακίου, τότε ο φορέας που εφαρμόζει το ταμείο χαρτοφυλακίου είναι ο μόνος δικαιούχος της πράξης,</w:t>
      </w:r>
    </w:p>
    <w:p w14:paraId="6F580CDE" w14:textId="77777777" w:rsidR="009C5DC3" w:rsidRDefault="009C5DC3" w:rsidP="003663F4">
      <w:pPr>
        <w:pStyle w:val="a3"/>
        <w:numPr>
          <w:ilvl w:val="0"/>
          <w:numId w:val="26"/>
        </w:numPr>
        <w:spacing w:line="360" w:lineRule="auto"/>
        <w:ind w:left="426" w:hanging="357"/>
      </w:pPr>
      <w:r>
        <w:t xml:space="preserve">«τελικός αποδέκτης» είναι το νομικό ή φυσικό πρόσωπο που λαμβάνει χρηματοδότηση μέσω </w:t>
      </w:r>
      <w:r w:rsidR="004C42EA" w:rsidRPr="004C42EA">
        <w:t>Χρηματοοικονομικ</w:t>
      </w:r>
      <w:r w:rsidR="004C42EA">
        <w:t>ών</w:t>
      </w:r>
      <w:r w:rsidR="004C42EA" w:rsidRPr="004C42EA">
        <w:t xml:space="preserve"> Εργαλεί</w:t>
      </w:r>
      <w:r w:rsidR="004C42EA">
        <w:t>ων</w:t>
      </w:r>
      <w:r w:rsidR="004C42EA" w:rsidRPr="004C42EA">
        <w:t xml:space="preserve"> (FI)</w:t>
      </w:r>
      <w:r>
        <w:t>.</w:t>
      </w:r>
    </w:p>
    <w:p w14:paraId="1FF2928B" w14:textId="77777777" w:rsidR="009C5DC3" w:rsidRDefault="009C5DC3" w:rsidP="009C5DC3">
      <w:pPr>
        <w:spacing w:line="360" w:lineRule="auto"/>
      </w:pPr>
      <w:r>
        <w:t xml:space="preserve">Η επιλογή των φορέων </w:t>
      </w:r>
      <w:r w:rsidR="004F576E">
        <w:t>Εφαρμογής</w:t>
      </w:r>
      <w:r>
        <w:t xml:space="preserve"> </w:t>
      </w:r>
      <w:r w:rsidR="004C42EA" w:rsidRPr="004C42EA">
        <w:t>Χρηματοοικονομικ</w:t>
      </w:r>
      <w:r w:rsidR="004C42EA">
        <w:t>ών</w:t>
      </w:r>
      <w:r w:rsidR="004C42EA" w:rsidRPr="004C42EA">
        <w:t xml:space="preserve"> Εργαλεί</w:t>
      </w:r>
      <w:r w:rsidR="004C42EA">
        <w:t>ων</w:t>
      </w:r>
      <w:r w:rsidR="004C42EA" w:rsidRPr="004C42EA">
        <w:t xml:space="preserve"> (FI)</w:t>
      </w:r>
      <w:r w:rsidR="004C42EA">
        <w:t xml:space="preserve"> </w:t>
      </w:r>
      <w:r>
        <w:t xml:space="preserve"> δεν συμπίπτει υποχρεωτικά με την επιλογή της πράξης του </w:t>
      </w:r>
      <w:r w:rsidR="001E5965" w:rsidRPr="004C42EA">
        <w:t>Χρηματοοικονομικ</w:t>
      </w:r>
      <w:r w:rsidR="001E5965">
        <w:t>ού</w:t>
      </w:r>
      <w:r w:rsidR="001E5965" w:rsidRPr="004C42EA">
        <w:t xml:space="preserve"> Εργαλεί</w:t>
      </w:r>
      <w:r w:rsidR="001E5965">
        <w:t>ου</w:t>
      </w:r>
      <w:r w:rsidR="001E5965" w:rsidRPr="004C42EA">
        <w:t xml:space="preserve"> (FI)</w:t>
      </w:r>
      <w:r>
        <w:t xml:space="preserve">. Η επιλογή της πράξης πραγματοποιείται από τη ΔΑ σύμφωνα με τα προβλεπόμενα στο άρθρο 125(3) του ΚΚΔ και, σε αντίθεση με την επιλογή του φορέα </w:t>
      </w:r>
      <w:r w:rsidR="004F576E">
        <w:t>Εφαρμογής</w:t>
      </w:r>
      <w:r>
        <w:t xml:space="preserve"> του </w:t>
      </w:r>
      <w:r w:rsidR="004C42EA" w:rsidRPr="004C42EA">
        <w:t>FI</w:t>
      </w:r>
      <w:r>
        <w:t>, δεν υπόκειται στους κανόνες και τις αρχές για τις δημόσιες συμβάσεις, ούτε υπόκειται στην τήρηση του άρθρου 7 του Καν. 480/2014.</w:t>
      </w:r>
    </w:p>
    <w:p w14:paraId="37EC9592" w14:textId="77777777" w:rsidR="009C5DC3" w:rsidRDefault="009C5DC3" w:rsidP="009C5DC3">
      <w:pPr>
        <w:spacing w:line="360" w:lineRule="auto"/>
      </w:pPr>
      <w:r>
        <w:t>Η διαχείριση και ο έλεγχος</w:t>
      </w:r>
      <w:r w:rsidR="001E5965">
        <w:t xml:space="preserve"> του</w:t>
      </w:r>
      <w:r>
        <w:t xml:space="preserve"> </w:t>
      </w:r>
      <w:r w:rsidR="001E5965" w:rsidRPr="004C42EA">
        <w:t>Χρηματοοικονομικ</w:t>
      </w:r>
      <w:r w:rsidR="001E5965">
        <w:t>ού</w:t>
      </w:r>
      <w:r w:rsidR="001E5965" w:rsidRPr="004C42EA">
        <w:t xml:space="preserve"> Εργαλεί</w:t>
      </w:r>
      <w:r w:rsidR="001E5965">
        <w:t>ου</w:t>
      </w:r>
      <w:r w:rsidR="001E5965" w:rsidRPr="004C42EA">
        <w:t xml:space="preserve"> (FI)</w:t>
      </w:r>
      <w:r>
        <w:t xml:space="preserve"> πρέπει να λαμβάνουν υπόψη το άρθρο 40 του ΚΚΔ και το άρθρο 9 του Καν. 480/2014, προκειμένου να καταστεί δυνατό η ΔΑ και η ΑΕ να εκτελούν τα καθήκοντα και τις αρμοδιότητές τους σύμφωνα με τα άρθρα 125 και 127 του ΚΚΔ, αντίστοιχα.</w:t>
      </w:r>
    </w:p>
    <w:p w14:paraId="0A32C8ED" w14:textId="77777777" w:rsidR="009C5DC3" w:rsidRDefault="009C5DC3" w:rsidP="0008653C">
      <w:pPr>
        <w:spacing w:line="360" w:lineRule="auto"/>
      </w:pPr>
      <w:r>
        <w:t xml:space="preserve">Οι όροι και οι προϋποθέσεις των συνεισφορών του ΕΠ προς το </w:t>
      </w:r>
      <w:r w:rsidR="004C42EA" w:rsidRPr="004C42EA">
        <w:t>Χρηματοοικονομικ</w:t>
      </w:r>
      <w:r w:rsidR="004C42EA">
        <w:t>ό</w:t>
      </w:r>
      <w:r w:rsidR="004C42EA" w:rsidRPr="004C42EA">
        <w:t xml:space="preserve"> Εργαλεί</w:t>
      </w:r>
      <w:r w:rsidR="004C42EA">
        <w:t>ο</w:t>
      </w:r>
      <w:r w:rsidR="004C42EA" w:rsidRPr="004C42EA">
        <w:t xml:space="preserve"> (FI)</w:t>
      </w:r>
      <w:r w:rsidR="004C42EA">
        <w:t xml:space="preserve"> </w:t>
      </w:r>
      <w:r>
        <w:t xml:space="preserve"> καθορίζονται σε συμφωνίες χρηματοδότησης που συνάπτονται α) μεταξύ των δεόντως εξουσιοδοτημένων εκπροσώπων της ΔΑ και του φορέα που εφαρμόζει (διαχειρίζεται) το ταμείο χαρτοφυλακίου και β) μεταξύ του φορέα που εφαρμόζει το ταμείο χαρτοφυλακίου (ή των δεόντως εξουσιοδοτημένων εκπροσώπων της ΔΑ, στην περίπτωση που δεν προβλέπεται ταμείο χαρτοφυλακίου) και των ΕΧΟ (επιχειρησιακές συμφωνίες). Οι συμφωνίες χρηματοδότησης (και οι επιχειρησιακές συμφωνίες) περιέχουν τουλάχιστον τα στοιχεία που ορίζονται στο Παράρτημα IV του ΚΚΔ.</w:t>
      </w:r>
    </w:p>
    <w:p w14:paraId="5952D921" w14:textId="77777777" w:rsidR="009C5DC3" w:rsidRDefault="009C5DC3" w:rsidP="0008653C">
      <w:pPr>
        <w:spacing w:line="360" w:lineRule="auto"/>
      </w:pPr>
      <w:r>
        <w:t xml:space="preserve">Η δομή των φορέων </w:t>
      </w:r>
      <w:r w:rsidR="004F576E">
        <w:t>Εφαρμογής</w:t>
      </w:r>
      <w:r>
        <w:t xml:space="preserve"> </w:t>
      </w:r>
      <w:r w:rsidR="004C42EA" w:rsidRPr="004C42EA">
        <w:t>Χρηματοοικονομικ</w:t>
      </w:r>
      <w:r w:rsidR="004C42EA">
        <w:t>ών</w:t>
      </w:r>
      <w:r w:rsidR="004C42EA" w:rsidRPr="004C42EA">
        <w:t xml:space="preserve"> Εργαλεί</w:t>
      </w:r>
      <w:r w:rsidR="004C42EA">
        <w:t>ων</w:t>
      </w:r>
      <w:r w:rsidR="004C42EA" w:rsidRPr="004C42EA">
        <w:t xml:space="preserve"> (FI)</w:t>
      </w:r>
      <w:r w:rsidR="004C42EA">
        <w:t xml:space="preserve"> </w:t>
      </w:r>
      <w:r>
        <w:t xml:space="preserve"> (που υλοποιούνται με ή χωρίς ταμείο χαρτοφυλακίου) περιγράφεται στο ακόλουθο διάγραμμα:</w:t>
      </w:r>
    </w:p>
    <w:p w14:paraId="5A60A732" w14:textId="77777777" w:rsidR="009C5DC3" w:rsidRDefault="009C5DC3" w:rsidP="009C5DC3">
      <w:pPr>
        <w:spacing w:line="360" w:lineRule="auto"/>
      </w:pPr>
    </w:p>
    <w:p w14:paraId="48FB0BB2" w14:textId="77777777" w:rsidR="007042B9" w:rsidRDefault="009C5DC3" w:rsidP="009C5DC3">
      <w:pPr>
        <w:spacing w:line="360" w:lineRule="auto"/>
      </w:pPr>
      <w:r>
        <w:rPr>
          <w:noProof/>
          <w:lang w:eastAsia="el-GR"/>
        </w:rPr>
        <w:lastRenderedPageBreak/>
        <w:drawing>
          <wp:inline distT="0" distB="0" distL="0" distR="0" wp14:anchorId="3860F464" wp14:editId="7A8C839B">
            <wp:extent cx="5760554" cy="50958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5174" cy="5099962"/>
                    </a:xfrm>
                    <a:prstGeom prst="rect">
                      <a:avLst/>
                    </a:prstGeom>
                  </pic:spPr>
                </pic:pic>
              </a:graphicData>
            </a:graphic>
          </wp:inline>
        </w:drawing>
      </w:r>
    </w:p>
    <w:p w14:paraId="61FC8008" w14:textId="77777777" w:rsidR="00E8446F" w:rsidRDefault="00E8446F" w:rsidP="00524440">
      <w:pPr>
        <w:spacing w:line="360" w:lineRule="auto"/>
      </w:pPr>
    </w:p>
    <w:p w14:paraId="2EC8A0FA" w14:textId="77777777" w:rsidR="0008653C" w:rsidRDefault="00167EB6" w:rsidP="0008653C">
      <w:pPr>
        <w:spacing w:line="360" w:lineRule="auto"/>
      </w:pPr>
      <w:r w:rsidRPr="009C5DC3">
        <w:br w:type="column"/>
      </w:r>
      <w:r w:rsidR="009C5DC3">
        <w:lastRenderedPageBreak/>
        <w:t xml:space="preserve">Ειδικά οι διαδικασίες που εφαρμόζονται στην περίπτωση που η ΔΑ </w:t>
      </w:r>
      <w:r w:rsidR="0008653C">
        <w:t xml:space="preserve">έχει επιλέξει τα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rsidR="004C42EA">
        <w:t xml:space="preserve"> </w:t>
      </w:r>
      <w:r w:rsidR="0008653C">
        <w:t xml:space="preserve"> να εφαρμόζονται μέσω δομής που περιλαμβάνει ταμείο χαρτοφυλακίου,</w:t>
      </w:r>
      <w:r w:rsidR="00230809">
        <w:t xml:space="preserve"> (όπως στην περίπτωση του Ταμείου ΕΞΟΙΚΟΝΟΜΩ ΙΙ)</w:t>
      </w:r>
      <w:r w:rsidR="0008653C">
        <w:t xml:space="preserve"> επιλέγονται, εκτός από τον φορέα </w:t>
      </w:r>
      <w:r w:rsidR="004F576E">
        <w:t>Εφαρμογής</w:t>
      </w:r>
      <w:r w:rsidR="0008653C">
        <w:t xml:space="preserve"> του ταμείου χαρτοφυλακίου, οι φορείς </w:t>
      </w:r>
      <w:r w:rsidR="004F576E">
        <w:t>Εφαρμογής</w:t>
      </w:r>
      <w:r w:rsidR="0008653C">
        <w:t xml:space="preserve"> των </w:t>
      </w:r>
      <w:r w:rsidR="004C42EA">
        <w:rPr>
          <w:lang w:val="en-US"/>
        </w:rPr>
        <w:t>FI</w:t>
      </w:r>
      <w:r w:rsidR="0008653C">
        <w:t>, δηλαδή οι ενδιάμεσοι χρηματοδοτικοί οργανισμοί (ΕΧΟ)</w:t>
      </w:r>
      <w:r w:rsidR="00230809">
        <w:t xml:space="preserve">. </w:t>
      </w:r>
    </w:p>
    <w:p w14:paraId="61D46A24" w14:textId="77777777" w:rsidR="00230809" w:rsidRDefault="00230809" w:rsidP="0008653C">
      <w:pPr>
        <w:spacing w:line="360" w:lineRule="auto"/>
      </w:pPr>
      <w:r>
        <w:t xml:space="preserve">Οι ιδιαίτερες διαδικασίες που εφαρμόζονται στα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rsidR="004C42EA">
        <w:t xml:space="preserve"> </w:t>
      </w:r>
      <w:r>
        <w:t xml:space="preserve"> πέραν των Διαδικασιών που έχουν κοινή εφαρμογή με πράξεις υποδομών ή και ΚΕ είναι:</w:t>
      </w:r>
    </w:p>
    <w:p w14:paraId="2CF8C052" w14:textId="77777777" w:rsidR="0008653C" w:rsidRPr="0008653C" w:rsidRDefault="0008653C" w:rsidP="0008653C">
      <w:r w:rsidRPr="0008653C">
        <w:t>Διαδικασία ΔΙΙ_2: Επιλογή ΕΧΟ και κατάρτιση Επιχειρησιακής Συμφωνίας</w:t>
      </w:r>
    </w:p>
    <w:p w14:paraId="5DF6CA13" w14:textId="77777777" w:rsidR="0008653C" w:rsidRPr="0008653C" w:rsidRDefault="0008653C" w:rsidP="0008653C">
      <w:r w:rsidRPr="0008653C">
        <w:t>Διαδικασία ΔΙΙ_7: Επιτόπια επαλήθευση (η ΔΑ διενεργεί τις επιτόπιες επαληθεύσεις σε επίπεδο δικαιούχου και σε επίπεδο ΕΧΟ)</w:t>
      </w:r>
    </w:p>
    <w:p w14:paraId="5FB33542" w14:textId="77777777" w:rsidR="00167EB6" w:rsidRPr="009C5DC3" w:rsidRDefault="00167EB6" w:rsidP="0008653C">
      <w:pPr>
        <w:autoSpaceDE/>
        <w:autoSpaceDN/>
        <w:adjustRightInd/>
        <w:spacing w:before="0" w:after="200" w:line="276" w:lineRule="auto"/>
        <w:jc w:val="left"/>
      </w:pPr>
      <w:r w:rsidRPr="009C5DC3">
        <w:br w:type="page"/>
      </w:r>
    </w:p>
    <w:p w14:paraId="790F1691" w14:textId="77777777" w:rsidR="0088707B" w:rsidRPr="001A5251" w:rsidRDefault="00E90826" w:rsidP="00A64DBA">
      <w:pPr>
        <w:pStyle w:val="1"/>
      </w:pPr>
      <w:bookmarkStart w:id="19" w:name="_Toc36639197"/>
      <w:r>
        <w:lastRenderedPageBreak/>
        <w:t>Αξιολόγηση Αγοράς</w:t>
      </w:r>
      <w:bookmarkEnd w:id="19"/>
    </w:p>
    <w:p w14:paraId="52E1A09A" w14:textId="77777777" w:rsidR="00700E63" w:rsidRPr="001A5251" w:rsidRDefault="00700E63" w:rsidP="00FA5CD9">
      <w:pPr>
        <w:pStyle w:val="3"/>
        <w:rPr>
          <w:rFonts w:eastAsia="Times New Roman"/>
          <w:lang w:eastAsia="el-GR"/>
        </w:rPr>
      </w:pPr>
      <w:bookmarkStart w:id="20" w:name="_Toc36639198"/>
      <w:r w:rsidRPr="001A5251">
        <w:rPr>
          <w:rFonts w:eastAsia="Times New Roman"/>
          <w:lang w:eastAsia="el-GR"/>
        </w:rPr>
        <w:t>Βασικά χαρακτηριστι</w:t>
      </w:r>
      <w:r w:rsidR="00AB60E6" w:rsidRPr="001A5251">
        <w:rPr>
          <w:rFonts w:eastAsia="Times New Roman"/>
          <w:lang w:eastAsia="el-GR"/>
        </w:rPr>
        <w:t>κά και επιδόσεις του τομέα των κ</w:t>
      </w:r>
      <w:r w:rsidRPr="001A5251">
        <w:rPr>
          <w:rFonts w:eastAsia="Times New Roman"/>
          <w:lang w:eastAsia="el-GR"/>
        </w:rPr>
        <w:t>ατασκευών</w:t>
      </w:r>
      <w:r w:rsidR="00B67AE6" w:rsidRPr="001A5251">
        <w:rPr>
          <w:rStyle w:val="ac"/>
          <w:rFonts w:cs="Arial"/>
          <w:b w:val="0"/>
          <w:color w:val="000000"/>
        </w:rPr>
        <w:footnoteReference w:id="5"/>
      </w:r>
      <w:bookmarkEnd w:id="20"/>
    </w:p>
    <w:p w14:paraId="34DB0B63" w14:textId="77777777" w:rsidR="006642A2" w:rsidRPr="006642A2" w:rsidRDefault="006642A2" w:rsidP="00A64DBA">
      <w:pPr>
        <w:spacing w:line="360" w:lineRule="auto"/>
        <w:rPr>
          <w:lang w:eastAsia="el-GR"/>
        </w:rPr>
      </w:pPr>
      <w:r w:rsidRPr="006642A2">
        <w:rPr>
          <w:lang w:eastAsia="el-GR"/>
        </w:rPr>
        <w:t>Οι Κατασκευές αποτελούν έναν από τους βασικούς τομείς της ελληνικής οικονομίας. Η στενή διασύνδεση της κατασκευαστικής δραστηριότητας με τη βιομηχανία δομικών και άλλων υλικών που χρησιμοποιούνται στα κατασκευαστικά έργα, με τις αρχιτεκτονικές και μελετητικές δραστηριότητες και με το Εμπόριο, αλλά και η θεμελιώδης συμβολή της στην υλοποίηση επενδυτικών έργων σε τομείς όπως οι Δημόσιες Υποδομές, ο Τουρισμός, η Βιομηχανία και το Εμπόριο, καθώς και στην οικιστική/πολεοδομική ανάπτυξη, καθιστούν τις Κατασκευές στρατηγικό τομέα για την οικονομική ανάπτυξη της χώρας. Ο τομέας των Κατασκευών σχεδιάζει και υλοποιεί πλήθος έργων που συμβάλουν καθοριστικά στην ενίσχυση της παραγωγικότητας της οικονομίας, την αειφόρο ανάπτυξη και την ποιότητα διαβίωσης των πολιτών. Οι δύο βασικές κατηγορίες κατασκευαστικών έργων είναι τα έργα υποδομής και τα κτιριακά/οικοδομικά έργα.</w:t>
      </w:r>
    </w:p>
    <w:p w14:paraId="5250ADD4" w14:textId="77777777" w:rsidR="006642A2" w:rsidRPr="006642A2" w:rsidRDefault="006642A2" w:rsidP="00A64DBA">
      <w:pPr>
        <w:spacing w:line="360" w:lineRule="auto"/>
        <w:rPr>
          <w:lang w:eastAsia="el-GR"/>
        </w:rPr>
      </w:pPr>
      <w:r w:rsidRPr="006642A2">
        <w:rPr>
          <w:lang w:eastAsia="el-GR"/>
        </w:rPr>
        <w:t xml:space="preserve">Στον κλάδο των Κατασκευών στην Ελλάδα δραστηριοποιήθηκαν το 2017 περίπου 74.000 επιχειρήσεις. Από αυτές, σχεδόν 2 στις 3 δραστηριοποιήθηκαν στον τομέα των εξειδικευμένων κατασκευαστικών εργασιών (κατεδαφίσεις, ηλεκτρολογικές και υδραυλικές εγκαταστάσεις και κατασκευαστικές εργασίες ολοκλήρωσης έργων). Το 29% των επιχειρήσεων είχε ως κύριο αντικείμενο τις κατασκευές </w:t>
      </w:r>
      <w:r w:rsidR="00971D9A">
        <w:rPr>
          <w:lang w:eastAsia="el-GR"/>
        </w:rPr>
        <w:t>κτιρί</w:t>
      </w:r>
      <w:r w:rsidRPr="006642A2">
        <w:rPr>
          <w:lang w:eastAsia="el-GR"/>
        </w:rPr>
        <w:t>ων, ενώ αρκετά μικρότερος (8% του συνόλου) ήταν ο αριθμός των επιχειρήσεων που εκτελούν έργα πολιτικού μηχανικού (έργα υποδομών).</w:t>
      </w:r>
    </w:p>
    <w:p w14:paraId="7C298830" w14:textId="77777777" w:rsidR="006642A2" w:rsidRPr="006642A2" w:rsidRDefault="006642A2" w:rsidP="00A64DBA">
      <w:pPr>
        <w:spacing w:line="360" w:lineRule="auto"/>
        <w:rPr>
          <w:lang w:eastAsia="el-GR"/>
        </w:rPr>
      </w:pPr>
      <w:r w:rsidRPr="006642A2">
        <w:rPr>
          <w:lang w:eastAsia="el-GR"/>
        </w:rPr>
        <w:t>Ο αριθμός των επιχειρήσεων που δραστηριοποιούνται στις Κατασκευές μειώθηκε κατά περίπου 39.000 μεταξύ 2009 και 2017. Η συντριπτική πλειονότητα των επιχειρήσεων του κλάδου των Κατασκευών στην Ελλάδα (98,1% το 2016) είναι πολύ μικρές επιχειρήσεις (ατομικές επιχειρήσεις, αυτοαπασχολούμενοι – επιχειρήσεις με απασχόληση μικρότερη από 10 άτομα). Το μικρό μέγεθος αποτελεί σημαντικό εμπόδιο για τη συνεχή επαγγελματική κατάρτιση και την ανάπτυξη οργανωτικών και διαχειριστικών ικανοτήτων, ενώ μπορεί να συνδέεται και με υψηλότερο κόστος χρηματοδότησης. Αποτελεί, ωστόσο, ένα εγγενές χαρακτηριστικό του κλάδου των Κατασκευών, ο οποίος έχει να αντιμετωπίσει τη (συχνά απρόβλεπτη) διακύμανση της ζήτησης για κατασκευή ποικίλων έργων διαφορετικού βαθμού τεχνικών απαιτήσεων σε διαφορετικές περιοχές, κάτι που καθιστά ιδιαίτερα σημαντική την ευελιξία των επιχειρήσεων.</w:t>
      </w:r>
    </w:p>
    <w:p w14:paraId="605A8209" w14:textId="77777777" w:rsidR="006642A2" w:rsidRPr="006642A2" w:rsidRDefault="006642A2" w:rsidP="00A64DBA">
      <w:pPr>
        <w:spacing w:line="360" w:lineRule="auto"/>
        <w:rPr>
          <w:lang w:eastAsia="el-GR"/>
        </w:rPr>
      </w:pPr>
      <w:r w:rsidRPr="006642A2">
        <w:rPr>
          <w:lang w:eastAsia="el-GR"/>
        </w:rPr>
        <w:t xml:space="preserve">Η προστιθέμενη αξία του ευρύτερου τομέα των Κατασκευών μειώθηκε την </w:t>
      </w:r>
      <w:r w:rsidR="00EB38B3">
        <w:rPr>
          <w:lang w:eastAsia="el-GR"/>
        </w:rPr>
        <w:t>Περίοδο</w:t>
      </w:r>
      <w:r w:rsidRPr="006642A2">
        <w:rPr>
          <w:lang w:eastAsia="el-GR"/>
        </w:rPr>
        <w:t xml:space="preserve"> 2007-2017 κατά 51% – από 22,4 δισ. το 2007 σε €10,8 δισ. το 2017. Το μεγαλύτερο μέρος της πτώσης προήλθε </w:t>
      </w:r>
      <w:r w:rsidRPr="006642A2">
        <w:rPr>
          <w:lang w:eastAsia="el-GR"/>
        </w:rPr>
        <w:lastRenderedPageBreak/>
        <w:t xml:space="preserve">από τον κλάδο των Κατασκευών, η προστιθέμενη αξία των οποίων υποχώρησε την ίδια </w:t>
      </w:r>
      <w:r w:rsidR="00EB38B3">
        <w:rPr>
          <w:lang w:eastAsia="el-GR"/>
        </w:rPr>
        <w:t>Περίοδο</w:t>
      </w:r>
      <w:r w:rsidRPr="006642A2">
        <w:rPr>
          <w:lang w:eastAsia="el-GR"/>
        </w:rPr>
        <w:t xml:space="preserve"> κατά 60,7% για να διαμορφωθεί το 2017 σε €5,2 δισ. Στους υπόλοιπους κλάδους του τομέα των Κατασκευών (Εξόρυξη, Βιομηχανία, Υπηρεσίες) καταγράφηκε – με διαφορετική ένταση στις επιμέρους δραστηριότητες – μικρότερη πτώση της προστιθέμενης αξίας (-38,1%), καθώς η μείωση της εγχώριας ζήτησης αντισταθμίστηκε, σε μικρό όμως βαθμό, από την άνοδο των εξαγωγών. Η προστιθέμενη αξία του τομέα των Κατασκευών αντιστοιχούσε το 2017 στο 5,2% του ΑΕΠ έναντι 8,8% στην </w:t>
      </w:r>
      <w:r w:rsidR="0062368F">
        <w:rPr>
          <w:lang w:eastAsia="el-GR"/>
        </w:rPr>
        <w:t>Ε.Ε.</w:t>
      </w:r>
      <w:r w:rsidRPr="006642A2">
        <w:rPr>
          <w:lang w:eastAsia="el-GR"/>
        </w:rPr>
        <w:t>28.</w:t>
      </w:r>
    </w:p>
    <w:p w14:paraId="0B3B82FE" w14:textId="77777777" w:rsidR="006642A2" w:rsidRPr="006642A2" w:rsidRDefault="006642A2" w:rsidP="00A64DBA">
      <w:pPr>
        <w:spacing w:line="360" w:lineRule="auto"/>
        <w:rPr>
          <w:lang w:eastAsia="el-GR"/>
        </w:rPr>
      </w:pPr>
      <w:r w:rsidRPr="006642A2">
        <w:rPr>
          <w:lang w:eastAsia="el-GR"/>
        </w:rPr>
        <w:t>Στον κλάδο των Κατασκευών απασχολούνταν το 2017 περίπου 202 χιλ. άτομα και στους υπόλοιπους κλάδους του τομέα των Κατασκευών άλλα 135 χιλ. άτομα. Μετά τη σημαντική μείωση της απασχόλησης, ο κατασκευαστικός τομέας συγκέντρωσε το 2017 το 8,1% της συνολικής απασχόλησης στην ελληνική οικονομία, έναντι 11,7% το 2007.</w:t>
      </w:r>
    </w:p>
    <w:p w14:paraId="051CF716" w14:textId="77777777" w:rsidR="006642A2" w:rsidRPr="006642A2" w:rsidRDefault="006642A2" w:rsidP="00A64DBA">
      <w:pPr>
        <w:spacing w:line="360" w:lineRule="auto"/>
        <w:rPr>
          <w:lang w:eastAsia="el-GR"/>
        </w:rPr>
      </w:pPr>
      <w:r w:rsidRPr="006642A2">
        <w:rPr>
          <w:lang w:eastAsia="el-GR"/>
        </w:rPr>
        <w:t>Εκτός από τη μείωση της απασχόλησης ιδιαίτερα ανησυχητική είναι και η τάση μείωσης της συμμετοχής των νέων στο εργατικό δυναμικό του κλάδου των Κατασκευών στην Ελλάδα την τελευταία δεκαετία, τάση που περιορίζει τη μεταφορά υφιστάμενων γνώσεων και ικανοτήτων, υποσκάπτει τη μελλοντική ανταγωνιστικότητα του κλάδου των Κατασκευών και αποτελεί μία από τις παράπλευρες συνέπειες της περιορισμένης κατασκευαστικής δραστηριότητας.</w:t>
      </w:r>
    </w:p>
    <w:p w14:paraId="433FABEF" w14:textId="77777777" w:rsidR="006642A2" w:rsidRDefault="006642A2" w:rsidP="00A64DBA">
      <w:pPr>
        <w:spacing w:line="360" w:lineRule="auto"/>
        <w:rPr>
          <w:lang w:eastAsia="el-GR"/>
        </w:rPr>
      </w:pPr>
      <w:r w:rsidRPr="006642A2">
        <w:rPr>
          <w:lang w:eastAsia="el-GR"/>
        </w:rPr>
        <w:t xml:space="preserve">Η υστέρηση των επενδύσεων στην Ελλάδα – συγκριτικά με την </w:t>
      </w:r>
      <w:r w:rsidR="0062368F">
        <w:rPr>
          <w:lang w:eastAsia="el-GR"/>
        </w:rPr>
        <w:t>Ε.Ε.</w:t>
      </w:r>
      <w:r w:rsidRPr="006642A2">
        <w:rPr>
          <w:lang w:eastAsia="el-GR"/>
        </w:rPr>
        <w:t>28 – είναι γενικευμένη, αλλά εντονότερη επίδραση σε αυτή είχε η δραστική μείωση των επενδύσεων σε κατοικίες και άλλα κατασκευαστικά έργα. Η</w:t>
      </w:r>
      <w:r>
        <w:rPr>
          <w:lang w:eastAsia="el-GR"/>
        </w:rPr>
        <w:t xml:space="preserve"> συνολική επενδυτική δαπάνη για κατασκευαστικά έργα μειώθηκε από €34,1 δισ. το 2007 σε €9,6 δισ. το 2017 – βρίσκεται δηλαδή στο ¼ του επιπέδου του 2007. H μεγαλύτερη υστέρηση παρουσιάζεται τα τελευταία χρόνια στις επενδύσεις σε κατοικίες, οι οποίες αντιστοιχούσαν το 2017 στο 0,6% του ΑΕΠ (μέσος όρος </w:t>
      </w:r>
      <w:r w:rsidR="0062368F">
        <w:rPr>
          <w:lang w:eastAsia="el-GR"/>
        </w:rPr>
        <w:t>Ε.Ε.</w:t>
      </w:r>
      <w:r>
        <w:rPr>
          <w:lang w:eastAsia="el-GR"/>
        </w:rPr>
        <w:t xml:space="preserve">28: 4,9%), έναντι 10,8% το 2007. Οι επενδύσεις σε λοιπές κατασκευές διαμορφώθηκαν το 2017 σε 4,7% (μέσος όρος </w:t>
      </w:r>
      <w:r w:rsidR="0062368F">
        <w:rPr>
          <w:lang w:eastAsia="el-GR"/>
        </w:rPr>
        <w:t>Ε.Ε.</w:t>
      </w:r>
      <w:r>
        <w:rPr>
          <w:lang w:eastAsia="el-GR"/>
        </w:rPr>
        <w:t xml:space="preserve">28: 5,1%). </w:t>
      </w:r>
      <w:proofErr w:type="spellStart"/>
      <w:r w:rsidRPr="006642A2">
        <w:rPr>
          <w:b/>
          <w:lang w:eastAsia="el-GR"/>
        </w:rPr>
        <w:t>Oι</w:t>
      </w:r>
      <w:proofErr w:type="spellEnd"/>
      <w:r w:rsidRPr="006642A2">
        <w:rPr>
          <w:b/>
          <w:lang w:eastAsia="el-GR"/>
        </w:rPr>
        <w:t xml:space="preserve"> επενδύσεις σε κατοικίες και άλλες κατασκευές λειτουργούσαν ενισχυτικά στο ΑΕΠ τα περισσότερα έτη πριν το 2007, ωστόσο μετά το 2008 και μέχρι το 2015 η μείωσή τους συνέβαλε αρνητικά (με εξαίρεση κάποια έτη για τις λοιπές κατασκευές) στη διαμόρφωση του ΑΕΠ, επιταχύνοντας την πτώση του.</w:t>
      </w:r>
      <w:r>
        <w:rPr>
          <w:lang w:eastAsia="el-GR"/>
        </w:rPr>
        <w:t xml:space="preserve"> Επιπλέον, διαπιστώνεται ότι η συμμετοχή των επενδύσεων σε Κατασκευές στην ελληνική οικονομία είναι πολύ χαμηλότερη συγκριτικά με την αναμενόμενη βάσει του κατά κεφαλή ΑΕΠ της χώρας.</w:t>
      </w:r>
    </w:p>
    <w:p w14:paraId="7CB3B85A" w14:textId="77777777" w:rsidR="006642A2" w:rsidRDefault="006642A2" w:rsidP="00A64DBA">
      <w:pPr>
        <w:spacing w:line="360" w:lineRule="auto"/>
        <w:rPr>
          <w:lang w:eastAsia="el-GR"/>
        </w:rPr>
      </w:pPr>
      <w:r>
        <w:rPr>
          <w:lang w:eastAsia="el-GR"/>
        </w:rPr>
        <w:t>Εκτιμάται ότι η συνολική συνεισφορά του κλάδου των Κατασκευών σε όρους ΑΕΠ διαμορφώθηκε το 2017 σε €19,9 δισ.</w:t>
      </w:r>
      <w:r w:rsidR="001303BB">
        <w:rPr>
          <w:lang w:eastAsia="el-GR"/>
        </w:rPr>
        <w:t>€</w:t>
      </w:r>
      <w:r>
        <w:rPr>
          <w:lang w:eastAsia="el-GR"/>
        </w:rPr>
        <w:t xml:space="preserve"> (περίπου 11% του ΑΕΠ της χώρας). Σε όρους απασχόλησης, και λαμβάνοντας υπόψη τις πολλαπλασιαστικές επιδράσεις, η συνολική συνεισφορά της κατασκευαστικής δραστηριότητας υπολογίζεται σε 505 χιλ. θέσεις εργασίας. Προκύπτει δηλαδή </w:t>
      </w:r>
      <w:r>
        <w:rPr>
          <w:lang w:eastAsia="el-GR"/>
        </w:rPr>
        <w:lastRenderedPageBreak/>
        <w:t>ότι για κάθε €1 που δαπανάται στον κλάδο των Κατασκευών προστίθεται €1,8 στο ΑΕΠ της χώρας, εκ του οποίου €0,4 καταλήγουν στα ταμεία του κράτους. Αντίστοιχα, για κάθε €1 εκατ. αξίας που παράγουν οι Κατασκευές, δημιουργούνται 44,5 θέσεις εργασίας στην οικονομία, εκ των οποίων οι 18 αφορούν άμεσα τον κλάδο των Κατασκευών.</w:t>
      </w:r>
    </w:p>
    <w:p w14:paraId="15B44E4F" w14:textId="77777777" w:rsidR="006642A2" w:rsidRDefault="006642A2" w:rsidP="00A64DBA">
      <w:pPr>
        <w:spacing w:line="360" w:lineRule="auto"/>
        <w:rPr>
          <w:lang w:eastAsia="el-GR"/>
        </w:rPr>
      </w:pPr>
      <w:r>
        <w:rPr>
          <w:lang w:eastAsia="el-GR"/>
        </w:rPr>
        <w:t>Η οικονομική ανάπτυξη της χώρας είναι, επομένως, άρρηκτα συνδεδεμένη με τον τομέα των Κατασκευών. Η αύξηση των επενδύσεων σε υποδομές και άλλα κατασκευαστικά έργα αποτελεί προϋπόθεση για την επιτάχυνση του ρυθμού μεγέθυνσης της ελληνικής οικονομίας και την αποκλιμάκωση της ανεργίας.</w:t>
      </w:r>
    </w:p>
    <w:p w14:paraId="412CD8AF" w14:textId="77777777" w:rsidR="00700E63" w:rsidRPr="001A5251" w:rsidRDefault="00700E63" w:rsidP="00FA5CD9">
      <w:pPr>
        <w:pStyle w:val="3"/>
        <w:rPr>
          <w:rFonts w:eastAsia="Times New Roman"/>
          <w:lang w:eastAsia="el-GR"/>
        </w:rPr>
      </w:pPr>
      <w:bookmarkStart w:id="21" w:name="_Toc36639199"/>
      <w:r w:rsidRPr="001A5251">
        <w:rPr>
          <w:rFonts w:eastAsia="Times New Roman"/>
          <w:lang w:eastAsia="el-GR"/>
        </w:rPr>
        <w:t>Συνολική συμβολή της κατασκευαστικής δραστηριότητας στην ελληνική οικονομία</w:t>
      </w:r>
      <w:bookmarkEnd w:id="21"/>
    </w:p>
    <w:p w14:paraId="70817CF3" w14:textId="77777777" w:rsidR="00700E63" w:rsidRPr="001A5251" w:rsidRDefault="00700E63" w:rsidP="00A64DBA">
      <w:pPr>
        <w:spacing w:line="360" w:lineRule="auto"/>
        <w:rPr>
          <w:lang w:eastAsia="el-GR"/>
        </w:rPr>
      </w:pPr>
      <w:r w:rsidRPr="001A5251">
        <w:rPr>
          <w:lang w:eastAsia="el-GR"/>
        </w:rPr>
        <w:t>Παρά την τεράστια πτώση της κατασκευαστικής δραστηριότητας, η συνεισφορά του κλάδου στην ελληνική οικονομία παραμένει σημαντική:</w:t>
      </w:r>
    </w:p>
    <w:p w14:paraId="32A36C24" w14:textId="77777777" w:rsidR="00700E63" w:rsidRPr="001A5251" w:rsidRDefault="00700E63" w:rsidP="00A64DBA">
      <w:pPr>
        <w:spacing w:line="360" w:lineRule="auto"/>
        <w:rPr>
          <w:lang w:eastAsia="el-GR"/>
        </w:rPr>
      </w:pPr>
      <w:r w:rsidRPr="001A5251">
        <w:rPr>
          <w:lang w:eastAsia="el-GR"/>
        </w:rPr>
        <w:t>Το 201</w:t>
      </w:r>
      <w:r w:rsidR="000D0CFB">
        <w:rPr>
          <w:lang w:eastAsia="el-GR"/>
        </w:rPr>
        <w:t>8</w:t>
      </w:r>
      <w:r w:rsidRPr="001A5251">
        <w:rPr>
          <w:lang w:eastAsia="el-GR"/>
        </w:rPr>
        <w:t xml:space="preserve"> ο στενός πυρήνας των Κατασκευών συνεισέφερε άμεσα πάνω από €3 δις. προστιθέμενης αξίας στην ελληνική οικονομία. </w:t>
      </w:r>
    </w:p>
    <w:p w14:paraId="42787047" w14:textId="77777777" w:rsidR="00700E63" w:rsidRPr="001A5251" w:rsidRDefault="00700E63" w:rsidP="00A64DBA">
      <w:pPr>
        <w:spacing w:line="360" w:lineRule="auto"/>
        <w:rPr>
          <w:lang w:eastAsia="el-GR"/>
        </w:rPr>
      </w:pPr>
      <w:r w:rsidRPr="001A5251">
        <w:rPr>
          <w:lang w:eastAsia="el-GR"/>
        </w:rPr>
        <w:t>Λαμβάνοντας υπόψη τις πολλαπλασιαστικές επιδράσεις, η κατασκευαστική δραστηριότητα συνεισέφερε 19,6 δισ. €. στην ελληνική οικονομία σε όρους ΑΕΠ (11% του ΑΕΠ).</w:t>
      </w:r>
    </w:p>
    <w:p w14:paraId="21782D69" w14:textId="77777777" w:rsidR="00700E63" w:rsidRPr="001A5251" w:rsidRDefault="00700E63" w:rsidP="00A64DBA">
      <w:pPr>
        <w:spacing w:line="360" w:lineRule="auto"/>
        <w:rPr>
          <w:lang w:eastAsia="el-GR"/>
        </w:rPr>
      </w:pPr>
      <w:r w:rsidRPr="001A5251">
        <w:rPr>
          <w:lang w:eastAsia="el-GR"/>
        </w:rPr>
        <w:t xml:space="preserve">Περίπου το 22% της επίδρασης στο ΑΕΠ αντιστοιχεί σε φόρους και εισφορές που εισπράττει το κράτος. Έτσι η συνολική συνεισφορά του κλάδου στα δημόσια έσοδα υπολογίζεται σε €4,3 δισ., εκ των οποίων τα €904 εκατ. εκτιμάται ότι αντιστοιχούν σε έσοδα που εισπράττονται άμεσα από την κατασκευαστική βιομηχανία. </w:t>
      </w:r>
    </w:p>
    <w:p w14:paraId="1A72D1EA" w14:textId="77777777" w:rsidR="00700E63" w:rsidRPr="001A5251" w:rsidRDefault="00700E63" w:rsidP="00524440">
      <w:pPr>
        <w:spacing w:line="360" w:lineRule="auto"/>
        <w:rPr>
          <w:lang w:eastAsia="el-GR"/>
        </w:rPr>
      </w:pPr>
      <w:r w:rsidRPr="001A5251">
        <w:rPr>
          <w:lang w:eastAsia="el-GR"/>
        </w:rPr>
        <w:t>Σε όρους απασχόλησης, και λαμβάνοντας υπόψη τις πολλαπλασιαστικές επιδράσεις, η συνολική συνεισφορά της κατασκευαστικής δραστηριότητας υπολογίζεται σε 440,6 χιλ. θέσεις εργασίας. Η αναλογία της συνολικής προς την άμεση επίδραση στην απασχόληση (3 προς 1) υποδεικνύει ότι για κάθε θέση που δημιουργείται στον κλάδο των κατασκευών, δημιουργούνται / στηρίζονται</w:t>
      </w:r>
      <w:r w:rsidR="00B67AE6">
        <w:rPr>
          <w:lang w:eastAsia="el-GR"/>
        </w:rPr>
        <w:t xml:space="preserve"> </w:t>
      </w:r>
      <w:r w:rsidRPr="001A5251">
        <w:rPr>
          <w:lang w:eastAsia="el-GR"/>
        </w:rPr>
        <w:t>συνολικά 3 θέσεις εργασίας σε όλη την οικονομία.</w:t>
      </w:r>
    </w:p>
    <w:p w14:paraId="41EBBD66" w14:textId="77777777" w:rsidR="00700E63" w:rsidRPr="001A5251" w:rsidRDefault="00700E63" w:rsidP="00524440">
      <w:pPr>
        <w:spacing w:line="360" w:lineRule="auto"/>
        <w:rPr>
          <w:lang w:eastAsia="el-GR"/>
        </w:rPr>
      </w:pPr>
      <w:r w:rsidRPr="001A5251">
        <w:rPr>
          <w:lang w:eastAsia="el-GR"/>
        </w:rPr>
        <w:t xml:space="preserve">Προκύπτει, επομένως, ότι για κάθε €1 που δαπανάται στον τομέα των κατασκευών προστίθενται €1,8 στο ΑΕΠ της χώρας, εκ των οποίων €0,4 καταλήγουν στα ταμεία του κράτους. Αντίστοιχα, για κάθε €1 εκατ. αξίας που παράγουν οι κατασκευές, δημιουργούνται 39 θέσεις εργασίας στην οικονομία, εκ των οποίων 13 αφορούν άμεσα τον κλάδο των κατασκευών. </w:t>
      </w:r>
    </w:p>
    <w:p w14:paraId="0BCDBF29" w14:textId="77777777" w:rsidR="00216C66" w:rsidRDefault="00216C66" w:rsidP="00FA5CD9">
      <w:pPr>
        <w:pStyle w:val="3"/>
      </w:pPr>
      <w:bookmarkStart w:id="22" w:name="_Toc36639200"/>
      <w:r>
        <w:t>Χαρακτηριστικά αποθέματος κτιρίων</w:t>
      </w:r>
      <w:bookmarkEnd w:id="22"/>
    </w:p>
    <w:p w14:paraId="6F2B37D9" w14:textId="77777777" w:rsidR="0088707B" w:rsidRPr="001A5251" w:rsidRDefault="0088707B" w:rsidP="00524440">
      <w:pPr>
        <w:spacing w:line="360" w:lineRule="auto"/>
      </w:pPr>
      <w:r w:rsidRPr="001A5251">
        <w:t xml:space="preserve">Κάποια ειδικά χαρακτηριστικά του κτιριακού τομέα είναι το υψηλό ποσοστό ιδιοκατοίκησης (πάνω από 80%), η χαμηλή κινητικότητα στην αγορά γης, καθώς επίσης τα υψηλά κόστη </w:t>
      </w:r>
      <w:r w:rsidRPr="001A5251">
        <w:lastRenderedPageBreak/>
        <w:t xml:space="preserve">συναλλαγής και ο χαμηλός όγκος συναλλαγών επί του κτιριακού αποθέματος. Από την άλλη, ο κτιριακός τομέας στην Ελλάδα ευθύνεται για το ένα τρίτο περίπου των εκπομπών διοξειδίου του άνθρακα (CO2) και για το 36% περίπου της συνολικής ενεργειακής κατανάλωσης. Στην χώρα μας, οι εκπομπές CO2 από τον κτιριακό τομέα παρουσίαζαν - πριν την </w:t>
      </w:r>
      <w:r w:rsidR="00EB38B3">
        <w:t>Περίοδο</w:t>
      </w:r>
      <w:r w:rsidRPr="001A5251">
        <w:t xml:space="preserve"> της κρίσης - ετήσιο ρυθμό αύξησης περί το 4%, ενώ παράλληλα διογκωνόταν συνεχώς η σε απόλυτη τιμή ενεργειακή κατανάλωση των κτιρίων.</w:t>
      </w:r>
    </w:p>
    <w:p w14:paraId="680A6342" w14:textId="77777777" w:rsidR="00230809" w:rsidRDefault="0088707B" w:rsidP="00524440">
      <w:pPr>
        <w:spacing w:line="360" w:lineRule="auto"/>
      </w:pPr>
      <w:r w:rsidRPr="001A5251">
        <w:t xml:space="preserve">Εξάλλου, ο ρυθμός αύξησης της κατανάλωσης των κτιρίων είναι εξαιρετικά μεγάλος. Είναι χαρακτηριστικό ότι κατά την </w:t>
      </w:r>
      <w:r w:rsidR="00EB38B3">
        <w:t>Περίοδο</w:t>
      </w:r>
      <w:r w:rsidRPr="001A5251">
        <w:t xml:space="preserve"> 2000 – 2005, </w:t>
      </w:r>
      <w:proofErr w:type="spellStart"/>
      <w:r w:rsidR="00230809">
        <w:t>πρό</w:t>
      </w:r>
      <w:proofErr w:type="spellEnd"/>
      <w:r w:rsidR="00230809">
        <w:t xml:space="preserve"> της οικονομικής κρίσης, </w:t>
      </w:r>
      <w:r w:rsidRPr="001A5251">
        <w:t xml:space="preserve">αυξήθηκε η ενεργειακή τους κατανάλωση κατά 24%, φθάνοντας τα 8,54 </w:t>
      </w:r>
      <w:proofErr w:type="spellStart"/>
      <w:r w:rsidRPr="001A5251">
        <w:t>MToe</w:t>
      </w:r>
      <w:proofErr w:type="spellEnd"/>
      <w:r w:rsidRPr="001A5251">
        <w:t xml:space="preserve"> (</w:t>
      </w:r>
      <w:proofErr w:type="spellStart"/>
      <w:r w:rsidRPr="001A5251">
        <w:t>Toe</w:t>
      </w:r>
      <w:proofErr w:type="spellEnd"/>
      <w:r w:rsidRPr="001A5251">
        <w:t xml:space="preserve"> = Τόνοι Ισοδύναμου Πετρελαίου - ΤΙΠ), μια από τις μεγαλύτερες αυξήσεις στην Ευρώπη. </w:t>
      </w:r>
    </w:p>
    <w:p w14:paraId="718EDCAD" w14:textId="77777777" w:rsidR="00230809" w:rsidRDefault="0088707B" w:rsidP="00230809">
      <w:pPr>
        <w:spacing w:line="360" w:lineRule="auto"/>
      </w:pPr>
      <w:r w:rsidRPr="001A5251">
        <w:t>Τα ελληνικά κτίρια παρουσιάζουν υψηλή ενεργειακή κατανάλωση. Σ</w:t>
      </w:r>
      <w:r w:rsidR="00AB60E6" w:rsidRPr="001A5251">
        <w:t>ύ</w:t>
      </w:r>
      <w:r w:rsidRPr="001A5251">
        <w:t>μφ</w:t>
      </w:r>
      <w:r w:rsidR="00AB60E6" w:rsidRPr="001A5251">
        <w:t>ω</w:t>
      </w:r>
      <w:r w:rsidRPr="001A5251">
        <w:t xml:space="preserve">να με την </w:t>
      </w:r>
      <w:proofErr w:type="spellStart"/>
      <w:r w:rsidRPr="001A5251">
        <w:t>Εurostat</w:t>
      </w:r>
      <w:proofErr w:type="spellEnd"/>
      <w:r w:rsidRPr="001A5251">
        <w:t>, τα ελληνικά νοικοκυριά παρουσιάζουν την μεγαλύτερη ενεργειακή κατανάλωση στην Ευρώπη, περίπου 30% μεγαλύτερη από αυτή της Ισπανίας και περίπου διπλάσια από την κατανάλωση της Πορτογαλίας, ενώ είναι σημαντικά μεγαλύτερη από χώρες με ψυχρότερο κλίμα όπως το Βέλγιο και οι Σκανδιναβικές χώρες.</w:t>
      </w:r>
      <w:r w:rsidR="00230809" w:rsidRPr="00230809">
        <w:t xml:space="preserve"> </w:t>
      </w:r>
    </w:p>
    <w:p w14:paraId="10B4C2CD" w14:textId="77777777" w:rsidR="00230809" w:rsidRDefault="00230809" w:rsidP="00230809">
      <w:pPr>
        <w:spacing w:line="360" w:lineRule="auto"/>
      </w:pPr>
      <w:r w:rsidRPr="001A5251">
        <w:t>Τα δεδομένα αυτά αποδεικνύουν αφενός την εξαιρετική σημασία του κτιριακού τομέα στο όλο ενεργειακό ισοζύγιο, ενώ παράλληλα αναδεικνύεται το τεράστιο δυναμικό (περιθώριο) μείωσης της ενεργειακής κατανάλωσης των κτιρίων και βελτίωσης των ενεργειακών τους επιδόσεων.</w:t>
      </w:r>
    </w:p>
    <w:p w14:paraId="01A1DFF5" w14:textId="77777777" w:rsidR="00216C66" w:rsidRPr="00216C66" w:rsidRDefault="00216C66" w:rsidP="00216C66">
      <w:pPr>
        <w:spacing w:line="360" w:lineRule="auto"/>
      </w:pPr>
      <w:r>
        <w:t xml:space="preserve">Σύμφωνα με τη </w:t>
      </w:r>
      <w:r>
        <w:rPr>
          <w:lang w:val="en-US"/>
        </w:rPr>
        <w:t>Eurostat</w:t>
      </w:r>
      <w:r>
        <w:rPr>
          <w:rStyle w:val="ac"/>
        </w:rPr>
        <w:footnoteReference w:id="6"/>
      </w:r>
      <w:r w:rsidRPr="00216C66">
        <w:t xml:space="preserve"> </w:t>
      </w:r>
      <w:r>
        <w:t>η</w:t>
      </w:r>
      <w:r w:rsidRPr="00216C66">
        <w:t xml:space="preserve"> κατανάλωση ενέργειας των νοικοκυριών για όλες τις τελικές χρήσεις, δηλαδή τη θέρμανση χώρου και νερού, την ψύξη, το μαγείρεμα, το φωτισμό και </w:t>
      </w:r>
      <w:r>
        <w:t xml:space="preserve">ηλεκτρικές </w:t>
      </w:r>
      <w:r w:rsidRPr="00216C66">
        <w:t>συσκευές</w:t>
      </w:r>
      <w:r w:rsidR="00EE6F02" w:rsidRPr="00216C66">
        <w:t xml:space="preserve"> στα κτίρια κατοικιών είναι χαμηλότερη σε σύγκριση με τον μέσο όρο της </w:t>
      </w:r>
      <w:r w:rsidR="0062368F">
        <w:t>Ε.Ε.</w:t>
      </w:r>
      <w:r w:rsidR="00EE6F02" w:rsidRPr="00216C66">
        <w:t>.</w:t>
      </w:r>
      <w:r w:rsidRPr="00216C66">
        <w:t xml:space="preserve"> Η κατανάλωση ενέργειας </w:t>
      </w:r>
      <w:proofErr w:type="spellStart"/>
      <w:r w:rsidRPr="00216C66">
        <w:t>μετράται</w:t>
      </w:r>
      <w:proofErr w:type="spellEnd"/>
      <w:r w:rsidRPr="00216C66">
        <w:t xml:space="preserve"> σε κανονικό κλίμα (δηλαδή διορθώνεται για κλιματικές διακυμάνσεις) για να αποφευχθούν οι ετήσιες διακυμάνσεις λόγω κλιματικών μεταβολών</w:t>
      </w:r>
      <w:r>
        <w:t xml:space="preserve"> </w:t>
      </w:r>
      <w:r w:rsidRPr="00216C66">
        <w:t>από το ένα έτος στο άλλο, και επομένως να υπάρχει συνεπής τάση.</w:t>
      </w:r>
    </w:p>
    <w:p w14:paraId="3A19774C" w14:textId="77777777" w:rsidR="00216C66" w:rsidRPr="00216C66" w:rsidRDefault="00216C66" w:rsidP="00216C66">
      <w:pPr>
        <w:spacing w:line="360" w:lineRule="auto"/>
      </w:pPr>
      <w:r w:rsidRPr="00216C66">
        <w:t xml:space="preserve">Η </w:t>
      </w:r>
      <w:r>
        <w:t>κατανάλωση ενέργειας</w:t>
      </w:r>
      <w:r w:rsidRPr="00216C66">
        <w:t xml:space="preserve"> σ</w:t>
      </w:r>
      <w:r>
        <w:t>ε</w:t>
      </w:r>
      <w:r w:rsidRPr="00216C66">
        <w:t xml:space="preserve"> μ</w:t>
      </w:r>
      <w:r>
        <w:t>η</w:t>
      </w:r>
      <w:r w:rsidRPr="00216C66">
        <w:t xml:space="preserve"> οικιστικά </w:t>
      </w:r>
      <w:r>
        <w:t>κτίρια</w:t>
      </w:r>
      <w:r w:rsidRPr="00216C66">
        <w:t xml:space="preserve"> </w:t>
      </w:r>
      <w:r>
        <w:t>είναι</w:t>
      </w:r>
      <w:r w:rsidRPr="00216C66">
        <w:t xml:space="preserve"> </w:t>
      </w:r>
      <w:r>
        <w:t xml:space="preserve">υψηλότερη </w:t>
      </w:r>
      <w:r w:rsidRPr="00216C66">
        <w:t xml:space="preserve">σε σύγκριση με τον μέσο όρο της </w:t>
      </w:r>
      <w:r w:rsidR="0062368F">
        <w:t>Ε.Ε.</w:t>
      </w:r>
      <w:r w:rsidRPr="00216C66">
        <w:t>.</w:t>
      </w:r>
    </w:p>
    <w:p w14:paraId="7E026869" w14:textId="77777777" w:rsidR="00A724B3" w:rsidRPr="00CB3E86" w:rsidRDefault="00216C66" w:rsidP="00524440">
      <w:pPr>
        <w:spacing w:line="360" w:lineRule="auto"/>
      </w:pPr>
      <w:r>
        <w:rPr>
          <w:noProof/>
          <w:lang w:eastAsia="el-GR"/>
        </w:rPr>
        <w:lastRenderedPageBreak/>
        <w:drawing>
          <wp:inline distT="0" distB="0" distL="0" distR="0" wp14:anchorId="7BA1D075" wp14:editId="09C72227">
            <wp:extent cx="5638800" cy="30953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9854" cy="3106866"/>
                    </a:xfrm>
                    <a:prstGeom prst="rect">
                      <a:avLst/>
                    </a:prstGeom>
                  </pic:spPr>
                </pic:pic>
              </a:graphicData>
            </a:graphic>
          </wp:inline>
        </w:drawing>
      </w:r>
    </w:p>
    <w:p w14:paraId="3D6C8C97" w14:textId="77777777" w:rsidR="0088707B" w:rsidRDefault="00EE6F02" w:rsidP="00216C66">
      <w:pPr>
        <w:spacing w:line="360" w:lineRule="auto"/>
      </w:pPr>
      <w:r>
        <w:t xml:space="preserve">Ο </w:t>
      </w:r>
      <w:r w:rsidR="00216C66">
        <w:t>μέσο</w:t>
      </w:r>
      <w:r>
        <w:t xml:space="preserve">ς όρος </w:t>
      </w:r>
      <w:r w:rsidR="00216C66">
        <w:t>ηλικίας των κτιρίων και το μερίδιο των νέων κτιρίων</w:t>
      </w:r>
      <w:r>
        <w:t xml:space="preserve"> (δομημένων μετά την υποχρέωση </w:t>
      </w:r>
      <w:r w:rsidR="004F576E">
        <w:t>Εφαρμογής</w:t>
      </w:r>
      <w:r>
        <w:t xml:space="preserve"> του κανονισμού θερμομόνωσης του 1979 ή και πλέον πρόσφατα με περισσότερο αποτελεσματικά πρότυπα)</w:t>
      </w:r>
      <w:r w:rsidR="00216C66">
        <w:t xml:space="preserve"> στο συνολικό απόθεμα </w:t>
      </w:r>
      <w:r>
        <w:t>είναι προφανώς αντιπροσωπευτικοί</w:t>
      </w:r>
      <w:r w:rsidR="00216C66">
        <w:t xml:space="preserve"> δείκτες της μέσης</w:t>
      </w:r>
      <w:r>
        <w:t xml:space="preserve"> ενεργειακής </w:t>
      </w:r>
      <w:r w:rsidR="00216C66">
        <w:t>απόδοσης του κτιρίου</w:t>
      </w:r>
    </w:p>
    <w:p w14:paraId="085A4DDB" w14:textId="77777777" w:rsidR="00216C66" w:rsidRDefault="00216C66" w:rsidP="00524440">
      <w:pPr>
        <w:spacing w:line="360" w:lineRule="auto"/>
      </w:pPr>
      <w:r>
        <w:rPr>
          <w:noProof/>
          <w:lang w:eastAsia="el-GR"/>
        </w:rPr>
        <w:drawing>
          <wp:inline distT="0" distB="0" distL="0" distR="0" wp14:anchorId="3775D935" wp14:editId="3F1A9215">
            <wp:extent cx="5580380" cy="3692525"/>
            <wp:effectExtent l="0" t="0" r="127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0380" cy="3692525"/>
                    </a:xfrm>
                    <a:prstGeom prst="rect">
                      <a:avLst/>
                    </a:prstGeom>
                  </pic:spPr>
                </pic:pic>
              </a:graphicData>
            </a:graphic>
          </wp:inline>
        </w:drawing>
      </w:r>
    </w:p>
    <w:p w14:paraId="0B698B9A" w14:textId="77777777" w:rsidR="00216C66" w:rsidRDefault="00216C66" w:rsidP="00524440">
      <w:pPr>
        <w:spacing w:line="360" w:lineRule="auto"/>
      </w:pPr>
    </w:p>
    <w:p w14:paraId="6B1D3988" w14:textId="77777777" w:rsidR="00216C66" w:rsidRPr="001A5251" w:rsidRDefault="00216C66" w:rsidP="00524440">
      <w:pPr>
        <w:spacing w:line="360" w:lineRule="auto"/>
      </w:pPr>
    </w:p>
    <w:p w14:paraId="5B350526" w14:textId="77777777" w:rsidR="0088707B" w:rsidRPr="001A5251" w:rsidRDefault="0088707B" w:rsidP="00524440">
      <w:pPr>
        <w:spacing w:line="360" w:lineRule="auto"/>
      </w:pPr>
      <w:r w:rsidRPr="001A5251">
        <w:lastRenderedPageBreak/>
        <w:t>Ως εκ τούτου η αστική κλιματική μεταβολή, η παλαιότητα των κτιρίων, και η έλλειψη σύγχρονης νομοθεσίας αναφορικά με την ενεργειακή και περιβαλλοντική προστασία των κτιρίων, είχαν ως αποτέλεσμα :</w:t>
      </w:r>
    </w:p>
    <w:p w14:paraId="1C136EA1" w14:textId="77777777" w:rsidR="0088707B" w:rsidRPr="001A5251" w:rsidRDefault="0088707B" w:rsidP="00524440">
      <w:pPr>
        <w:pStyle w:val="a3"/>
        <w:numPr>
          <w:ilvl w:val="0"/>
          <w:numId w:val="13"/>
        </w:numPr>
        <w:spacing w:line="360" w:lineRule="auto"/>
      </w:pPr>
      <w:r w:rsidRPr="001A5251">
        <w:t>την ασφυκτική διόγκωση του ενεργειακού ισοζυγίου της χώρας, τη συμπίεση οικονομικά και κοινωνικά των χαμηλών εισοδηματικών τάξεων, την αύξηση της ενεργειακής ένδειας της χώρας, και</w:t>
      </w:r>
    </w:p>
    <w:p w14:paraId="3087D894" w14:textId="77777777" w:rsidR="0088707B" w:rsidRPr="001A5251" w:rsidRDefault="0088707B" w:rsidP="00524440">
      <w:pPr>
        <w:pStyle w:val="a3"/>
        <w:numPr>
          <w:ilvl w:val="0"/>
          <w:numId w:val="13"/>
        </w:numPr>
        <w:spacing w:line="360" w:lineRule="auto"/>
      </w:pPr>
      <w:r w:rsidRPr="001A5251">
        <w:t>την δυσκολία υιοθέτησης και κατ’</w:t>
      </w:r>
      <w:r w:rsidR="001B1FA0" w:rsidRPr="001A5251">
        <w:t xml:space="preserve"> </w:t>
      </w:r>
      <w:r w:rsidRPr="001A5251">
        <w:t>επέκταση την περιοριστική προσέγγιση της χώρας σε διάφορες διεθνείς Ευρωπαϊκές συμφωνίες που αφορούν στην αντιμετώπιση κλιματικών αλλαγών (</w:t>
      </w:r>
      <w:proofErr w:type="spellStart"/>
      <w:r w:rsidRPr="001A5251">
        <w:t>π.χ</w:t>
      </w:r>
      <w:proofErr w:type="spellEnd"/>
      <w:r w:rsidRPr="001A5251">
        <w:t xml:space="preserve"> πρωτόκολλο του Κιότο, Οδηγία 2002/91/ΕΚ του Ευρωπαϊκού Κοινοβουλίου και του Συμβουλίου της Ευρωπαϊκής Ένωσης για τις Ενεργειακές Επιδόσεις των Κτιρίων-«Energy </w:t>
      </w:r>
      <w:proofErr w:type="spellStart"/>
      <w:r w:rsidRPr="001A5251">
        <w:t>Performance</w:t>
      </w:r>
      <w:proofErr w:type="spellEnd"/>
      <w:r w:rsidRPr="001A5251">
        <w:t xml:space="preserve"> of </w:t>
      </w:r>
      <w:proofErr w:type="spellStart"/>
      <w:r w:rsidRPr="001A5251">
        <w:t>Buildings</w:t>
      </w:r>
      <w:proofErr w:type="spellEnd"/>
      <w:r w:rsidRPr="001A5251">
        <w:t xml:space="preserve"> </w:t>
      </w:r>
      <w:proofErr w:type="spellStart"/>
      <w:r w:rsidRPr="001A5251">
        <w:t>Directive</w:t>
      </w:r>
      <w:proofErr w:type="spellEnd"/>
      <w:r w:rsidRPr="001A5251">
        <w:t>»)</w:t>
      </w:r>
    </w:p>
    <w:p w14:paraId="668C612F" w14:textId="77777777" w:rsidR="0088707B" w:rsidRPr="001A5251" w:rsidRDefault="0088707B" w:rsidP="00524440">
      <w:pPr>
        <w:spacing w:line="360" w:lineRule="auto"/>
      </w:pPr>
      <w:r w:rsidRPr="001A5251">
        <w:t>Τα αίτια της εξέ</w:t>
      </w:r>
      <w:r w:rsidR="001B1FA0" w:rsidRPr="001A5251">
        <w:t>λιξης αυτής εντοπίζονται στα εξή</w:t>
      </w:r>
      <w:r w:rsidRPr="001A5251">
        <w:t>ς:</w:t>
      </w:r>
    </w:p>
    <w:p w14:paraId="3279237D" w14:textId="77777777" w:rsidR="0088707B" w:rsidRPr="001A5251" w:rsidRDefault="0088707B" w:rsidP="00524440">
      <w:pPr>
        <w:spacing w:line="360" w:lineRule="auto"/>
      </w:pPr>
      <w:r w:rsidRPr="001A5251">
        <w:t xml:space="preserve">α. Μεγάλο ποσοστό (σχεδόν το </w:t>
      </w:r>
      <w:r w:rsidR="00EE6F02">
        <w:t>5</w:t>
      </w:r>
      <w:r w:rsidRPr="001A5251">
        <w:t>0%) των κτιρίων κατασκευάστηκαν πριν το 1</w:t>
      </w:r>
      <w:r w:rsidR="00E90826">
        <w:t xml:space="preserve">980 και δεν είναι </w:t>
      </w:r>
      <w:proofErr w:type="spellStart"/>
      <w:r w:rsidR="00E90826">
        <w:t>θερμομονωμένα</w:t>
      </w:r>
      <w:proofErr w:type="spellEnd"/>
      <w:r w:rsidR="00E90826">
        <w:t>. Τα κτίρια</w:t>
      </w:r>
      <w:r w:rsidRPr="001A5251">
        <w:t xml:space="preserve"> </w:t>
      </w:r>
      <w:r w:rsidR="00E90826">
        <w:t>αυτά</w:t>
      </w:r>
      <w:r w:rsidRPr="001A5251">
        <w:t xml:space="preserve"> απαιτούν πολύ μεγάλα ποσά ενέργειας για να εξασφαλίσουν τις με τα σημερινά επίπεδα αποδεκτές συνθήκες άνεσης.</w:t>
      </w:r>
    </w:p>
    <w:p w14:paraId="6C533CF6" w14:textId="77777777" w:rsidR="0088707B" w:rsidRPr="001A5251" w:rsidRDefault="0088707B" w:rsidP="00524440">
      <w:pPr>
        <w:spacing w:line="360" w:lineRule="auto"/>
      </w:pPr>
      <w:r w:rsidRPr="001A5251">
        <w:t>β. μέτρια κατάσταση των συστημάτων θέρμανσης, που, κατά κανόνα, οδηγεί σε μειωμένους βαθμούς απόδοσης και επομένως αυξημένη κατανάλωση ενέργειας και περιβαλλοντική επιβάρυνση.</w:t>
      </w:r>
    </w:p>
    <w:p w14:paraId="50569F4E" w14:textId="77777777" w:rsidR="0088707B" w:rsidRPr="001A5251" w:rsidRDefault="0088707B" w:rsidP="00524440">
      <w:pPr>
        <w:spacing w:line="360" w:lineRule="auto"/>
      </w:pPr>
      <w:r w:rsidRPr="001A5251">
        <w:t>γ. συνεχής αύξηση, τόσο σε αριθμό όσο και σε εγκατεστημένη ισχύ, των συστημάτων και συσκευών που καταναλώνουν ηλεκτρική, κυρίως, ενέργεια. Αυτό αφορά τα κτίρια κατοικιών, κυρίως, αλλά και τα κτίρια γραφείων, καταστημάτων και υπηρεσιών.</w:t>
      </w:r>
    </w:p>
    <w:p w14:paraId="262A4995" w14:textId="77777777" w:rsidR="0088707B" w:rsidRPr="001A5251" w:rsidRDefault="0088707B" w:rsidP="00524440">
      <w:pPr>
        <w:spacing w:line="360" w:lineRule="auto"/>
      </w:pPr>
      <w:r w:rsidRPr="001A5251">
        <w:t xml:space="preserve">δ. ολοένα </w:t>
      </w:r>
      <w:r w:rsidR="00E90826">
        <w:t>και περισσότερο επιτακτική</w:t>
      </w:r>
      <w:r w:rsidRPr="001A5251">
        <w:t xml:space="preserve"> απαίτηση για βελτίωση των συνθηκών διαβίωσης και εργασίας, ιδίως σε ότι αφορά τη θερμική άνεση το καλοκαίρι, που, σε συνδυασμό με τη μείωση του κόστους των συσκευών, οδήγησε στην εγκατάσταση πάνω από 3.000.000 κλιματιστικών μονάδων τα τελευταία 25 χρόνια.</w:t>
      </w:r>
    </w:p>
    <w:p w14:paraId="3F558F3A" w14:textId="77777777" w:rsidR="0088707B" w:rsidRPr="001A5251" w:rsidRDefault="0088707B" w:rsidP="00524440">
      <w:pPr>
        <w:spacing w:line="360" w:lineRule="auto"/>
      </w:pPr>
      <w:r w:rsidRPr="001A5251">
        <w:t>H ενεργειακή κατανάλωση των κτιρίων σχετίζεται άμεσα με κοινωνικούς και οικονομικούς παράγοντες, καθώς τόσο η θερμική ποιότητα των κτιρίων όσο και η ενεργειακή τους κατανάλωση, σχετίζεται άμεσα με το εισόδημα των πολιτών. Είναι χαρακτηριστικό ότι:</w:t>
      </w:r>
    </w:p>
    <w:p w14:paraId="50648374" w14:textId="77777777" w:rsidR="0088707B" w:rsidRPr="001A5251" w:rsidRDefault="0088707B" w:rsidP="00524440">
      <w:pPr>
        <w:pStyle w:val="a3"/>
        <w:numPr>
          <w:ilvl w:val="0"/>
          <w:numId w:val="14"/>
        </w:numPr>
        <w:spacing w:line="360" w:lineRule="auto"/>
      </w:pPr>
      <w:r w:rsidRPr="001A5251">
        <w:t>Η μέση επιφάνεια κατοικίας στην υψηλότερη εισοδηματική τάξη είναι κατά 115% μεγαλύτερη από ότι στα χαμηλά εισοδήματα</w:t>
      </w:r>
      <w:r w:rsidR="001A6889">
        <w:rPr>
          <w:rStyle w:val="ac"/>
        </w:rPr>
        <w:footnoteReference w:id="7"/>
      </w:r>
      <w:r w:rsidRPr="001A5251">
        <w:t>.</w:t>
      </w:r>
    </w:p>
    <w:p w14:paraId="3B13DBBF" w14:textId="77777777" w:rsidR="001B1FA0" w:rsidRPr="001A5251" w:rsidRDefault="0088707B" w:rsidP="00524440">
      <w:pPr>
        <w:pStyle w:val="a3"/>
        <w:numPr>
          <w:ilvl w:val="0"/>
          <w:numId w:val="14"/>
        </w:numPr>
        <w:spacing w:line="360" w:lineRule="auto"/>
      </w:pPr>
      <w:r w:rsidRPr="001A5251">
        <w:lastRenderedPageBreak/>
        <w:t>Υπάρχει σημαντική διαφοροποίηση, ανάλογα με το εισόδημα, του ποσοστού των οικογενειών που ζουν σε προστατευμένα κτίρια υψηλής περιβαλλοντικής ποιότητας. Μόνο το 8% των πολιτών χαμηλού εισοδήματος κατοικεί σε κτίρια με διπλά υαλοστάσια και μόνωση, ενώ στα υψηλά εισοδήματα το αντίστοιχο ποσοστό φθάνει το 64%. Το γεγονός αυτό έχει σημαντικές συνέπειες τόσο στην κατανάλωση ενέργειας όσο και στην θερμική άνεση εντός των κτιρίων.</w:t>
      </w:r>
    </w:p>
    <w:p w14:paraId="03E209BA" w14:textId="77777777" w:rsidR="0088707B" w:rsidRPr="001A5251" w:rsidRDefault="0088707B" w:rsidP="00524440">
      <w:pPr>
        <w:pStyle w:val="a3"/>
        <w:numPr>
          <w:ilvl w:val="0"/>
          <w:numId w:val="14"/>
        </w:numPr>
        <w:spacing w:line="360" w:lineRule="auto"/>
      </w:pPr>
      <w:r w:rsidRPr="001A5251">
        <w:t xml:space="preserve">Ως αποτέλεσμα της διαφοροποίησης στην ποιότητα των κτιρίων, διαπιστώθηκε ότι μεγάλη θερμική κατανάλωση ανά τετραγωνικό μέτρο παρουσιάζεται στα πολύ χαμηλά και στα πολύ υψηλά εισοδήματα. </w:t>
      </w:r>
      <w:r w:rsidR="001B1FA0" w:rsidRPr="001A5251">
        <w:t>Το</w:t>
      </w:r>
      <w:r w:rsidRPr="001A5251">
        <w:t xml:space="preserve"> κόστος θέρμανσης ανά άτομο και μονάδα επιφάνειας είναι κατά 127% μεγαλύτερο στις χαμηλές εισοδηματικές τάξεις σε σχέση με τα υψηλά εισοδήματα.</w:t>
      </w:r>
    </w:p>
    <w:p w14:paraId="119BE829" w14:textId="77777777" w:rsidR="0088707B" w:rsidRPr="001A5251" w:rsidRDefault="0088707B" w:rsidP="00524440">
      <w:pPr>
        <w:pStyle w:val="a3"/>
        <w:numPr>
          <w:ilvl w:val="0"/>
          <w:numId w:val="14"/>
        </w:numPr>
        <w:spacing w:line="360" w:lineRule="auto"/>
      </w:pPr>
      <w:r w:rsidRPr="001A5251">
        <w:t>Το κόστος του κλιματισμού είναι κατά πολύ μεγαλύτερο στα χαμηλά εισοδήματα, όπου κυμαίνεται περί τα 195 € ανά οικογένεια, ενώ το σχετικό κόστος για την μέση οικογένεια είναι 100 €.</w:t>
      </w:r>
    </w:p>
    <w:p w14:paraId="25261A3A" w14:textId="77777777" w:rsidR="0088707B" w:rsidRPr="001A5251" w:rsidRDefault="0088707B" w:rsidP="00524440">
      <w:pPr>
        <w:pStyle w:val="a3"/>
        <w:numPr>
          <w:ilvl w:val="0"/>
          <w:numId w:val="14"/>
        </w:numPr>
        <w:spacing w:line="360" w:lineRule="auto"/>
      </w:pPr>
      <w:r w:rsidRPr="001A5251">
        <w:t>Το 2004, στα χαμηλά εισοδήματα το ποσοστό των νοικοκυριών που υπέφερε από ένδεια καυσίμων ήταν 16%. Με δεδομένη την αύξηση της τιμής των καυσίμων που συμβαίνει από το 2006, το ποσοστό του συνολικού πληθυσμού που υποφέρει από ένδεια καυσίμων αυξήθηκε από 1,6% σε 8,4%. Για τις χαμηλότερες εισοδηματικές τάξεις ένδεια καυσίμων αυξήθηκε από 16 σε 36%. Το μέσο ποσοστό νοικοκυριών σε ενεργειακή ένδεια αυξήθηκε από 11,3 σε 21,1%. Το αντίστοιχο ποσοστό στις χαμηλές εισοδηματικές τάξεις αυξήθηκε από 40% σε 60%.</w:t>
      </w:r>
    </w:p>
    <w:p w14:paraId="41C8F8CA" w14:textId="77777777" w:rsidR="001B1FA0" w:rsidRPr="001A5251" w:rsidRDefault="0088707B" w:rsidP="00524440">
      <w:pPr>
        <w:pStyle w:val="a3"/>
        <w:numPr>
          <w:ilvl w:val="0"/>
          <w:numId w:val="14"/>
        </w:numPr>
        <w:spacing w:line="360" w:lineRule="auto"/>
      </w:pPr>
      <w:r w:rsidRPr="001A5251">
        <w:t xml:space="preserve">Το θερμικό πρόβλημα που αντιμετωπίζουν τα χαμηλά εισοδήματα κατά τη θερινή </w:t>
      </w:r>
      <w:r w:rsidR="00EB38B3">
        <w:t>Περίοδο</w:t>
      </w:r>
      <w:r w:rsidRPr="001A5251">
        <w:t>, μπορεί να οδηγήσει σε σημαντικά προβλήματα επιβίωσης. Μετρήσεις της εσωτερικής θερμοκρασίας σε κατοικίες χαμηλού εισοδήματος έδειξαν ότι για το 50% περίπου του</w:t>
      </w:r>
      <w:r w:rsidR="001B1FA0" w:rsidRPr="001A5251">
        <w:t xml:space="preserve"> </w:t>
      </w:r>
      <w:r w:rsidRPr="001A5251">
        <w:t>χρόνου η εσωτερική θερμοκρασία είναι άνω των 34°C, ενώ φτάνει μέχρι τους 42°C. Δεδομένης της αύξησης της εμφάνισης των καυσώνων, καθώς και λόγω της αύξησης της θερμοκρασίας που προκαλεί η θερμική νησίδα, ο πληθυσμός χαμηλού εισοδήματος αποτελεί το πρώτο θύμα των κλιματικών μεταβολών και θα πρέπει να ληφθεί άμεσα πρόνοια ώστε να βελτιωθεί η ποιότητα των κτιρίων.</w:t>
      </w:r>
    </w:p>
    <w:p w14:paraId="55FD2F6E" w14:textId="77777777" w:rsidR="00A64DBA" w:rsidRDefault="001B1FA0" w:rsidP="00FA5CD9">
      <w:pPr>
        <w:pStyle w:val="3"/>
      </w:pPr>
      <w:bookmarkStart w:id="23" w:name="_Toc36639201"/>
      <w:r w:rsidRPr="001A5251">
        <w:t>Χρήση και κατανάλωση ενέργειας στις κατοικίες</w:t>
      </w:r>
      <w:r w:rsidR="00A64DBA">
        <w:t xml:space="preserve">, κατάταξη κατά </w:t>
      </w:r>
      <w:r w:rsidR="00A64DBA" w:rsidRPr="00A64DBA">
        <w:t>κατηγορία ενεργειακής απόδοσης</w:t>
      </w:r>
      <w:r w:rsidR="00A64DBA">
        <w:t>.</w:t>
      </w:r>
      <w:bookmarkEnd w:id="23"/>
    </w:p>
    <w:p w14:paraId="6D1164D4" w14:textId="77777777" w:rsidR="001B1FA0" w:rsidRPr="001A5251" w:rsidRDefault="004E4D05" w:rsidP="00A64DBA">
      <w:pPr>
        <w:spacing w:line="360" w:lineRule="auto"/>
      </w:pPr>
      <w:r>
        <w:t xml:space="preserve">Το </w:t>
      </w:r>
      <w:r w:rsidR="00A64DBA">
        <w:t>Πιστοποιητικό Ενεργειακής Απόδοσης (Π.Ε.Α.) αποδίδει την ενεργειακή απόδοση του κτιρίου ή της κτιριακής μονάδας, ώστε να επιτρέπει στους ιδιοκτήτες ή στους ενοικιαστές του κτιρίου ή της κτιριακής μονάδας να συγκρίνουν και να αξιολογούν την ενεργειακή απόδοσή του. Το πηλίκο της υπολογιζόμενης κατανάλωσης πρωτογενούς ενέργειας (</w:t>
      </w:r>
      <w:proofErr w:type="spellStart"/>
      <w:r w:rsidR="00A64DBA">
        <w:t>kWh</w:t>
      </w:r>
      <w:proofErr w:type="spellEnd"/>
      <w:r w:rsidR="00A64DBA">
        <w:t>/m2) του εξεταζόμενου κτιρίου προς την υπολογιζόμενη κατανάλωση πρωτογενούς ενέργειας του κτιρίου αναφοράς (</w:t>
      </w:r>
      <w:proofErr w:type="spellStart"/>
      <w:r w:rsidR="00A64DBA">
        <w:t>kWh</w:t>
      </w:r>
      <w:proofErr w:type="spellEnd"/>
      <w:r w:rsidR="00A64DBA">
        <w:t xml:space="preserve">/m2) </w:t>
      </w:r>
      <w:r w:rsidR="00A64DBA">
        <w:lastRenderedPageBreak/>
        <w:t xml:space="preserve">αποτελεί το </w:t>
      </w:r>
      <w:r w:rsidR="00A64DBA" w:rsidRPr="00A64DBA">
        <w:t>κριτήριο για την κατάταξη του κτιρίου στην αντίστοιχη κατηγορία ενεργειακής απόδοσης (Α+, Α, Β+, Β, Γ, Δ, Ε, Ζ, Η).</w:t>
      </w:r>
      <w:r w:rsidR="00A64DBA">
        <w:t xml:space="preserve"> Πέραν της κατάταξης το ΠΕΑ περιλαμβάνει</w:t>
      </w:r>
    </w:p>
    <w:p w14:paraId="4F55F900" w14:textId="77777777" w:rsidR="00A64DBA" w:rsidRDefault="00A64DBA" w:rsidP="00A64DBA">
      <w:pPr>
        <w:spacing w:line="360" w:lineRule="auto"/>
      </w:pPr>
      <w:r>
        <w:t>•    Πρόσθετες πληροφορίες, όπως τα γενικά στοιχεία του κτιρίου, την υπολογιζόμενη ετήσια συνολική κατανάλωση πρωτογενούς ενέργειας του κτιρίου αναφοράς και του εξεταζόμενου κτιρίου, την ετήσια πραγματική κατανάλωση ενέργειας του κτιρίου ή της κτιριακής μονάδας, το ποσοστό συμμετοχής της ενέργειας από ανανεώσιμες πηγές στη συνολική  κατανάλωση ενέργειας,  τις υπολογιζόμενες και πραγματικές ετήσιες εκπομπές διοξειδίου του  άνθρακα (</w:t>
      </w:r>
      <w:proofErr w:type="spellStart"/>
      <w:r>
        <w:t>kg</w:t>
      </w:r>
      <w:proofErr w:type="spellEnd"/>
      <w:r>
        <w:t>/m2),  την  εκτίμηση  του   ενεργειακού  επιθεωρητή   σχετικά  με   την  αξιολόγηση  της  ποιότητας   εσωτερικού περιβάλλοντος.</w:t>
      </w:r>
    </w:p>
    <w:p w14:paraId="303E42B4" w14:textId="77777777" w:rsidR="00A64DBA" w:rsidRDefault="00A64DBA" w:rsidP="00A64DBA">
      <w:pPr>
        <w:spacing w:line="360" w:lineRule="auto"/>
      </w:pPr>
      <w:r>
        <w:t>•    Συστάσεις οικονομικά συμφέρουσες για τη βελτίωση της ενεργειακής απόδοσης του κτιρίου ή της κτιριακής μονάδας, εκτός εάν δεν υπάρχει εύλογη δυνατότητα σχετικής βελτίωσης σε σύγκριση με τις ισχύουσες απαιτήσεις για την ενεργειακή απόδοση.</w:t>
      </w:r>
    </w:p>
    <w:p w14:paraId="5F91B4BA" w14:textId="77777777" w:rsidR="00A64DBA" w:rsidRDefault="00A64DBA" w:rsidP="00A64DBA">
      <w:pPr>
        <w:spacing w:line="360" w:lineRule="auto"/>
      </w:pPr>
      <w:r>
        <w:t>Η έκδοση Π.Ε.Α. είναι υποχρεωτική, σύμφωνα με την παράγραφο 1 του άρθρου 12 του Ν. 4122/2013 (ΦΕΚ Α΄ 42):</w:t>
      </w:r>
    </w:p>
    <w:p w14:paraId="73CF2C64" w14:textId="77777777" w:rsidR="00A64DBA" w:rsidRDefault="00A64DBA" w:rsidP="00A64DBA">
      <w:pPr>
        <w:spacing w:line="360" w:lineRule="auto"/>
      </w:pPr>
      <w:r>
        <w:t xml:space="preserve"> α.   μετά την ολοκλήρωση κατασκευής νέου κτιρίου ή κτιριακής μονάδας, με την επιφύλαξη της παραγράφου 4,</w:t>
      </w:r>
    </w:p>
    <w:p w14:paraId="6DE6FCF3" w14:textId="77777777" w:rsidR="00A64DBA" w:rsidRDefault="00A64DBA" w:rsidP="00A64DBA">
      <w:pPr>
        <w:spacing w:line="360" w:lineRule="auto"/>
      </w:pPr>
      <w:r>
        <w:t xml:space="preserve">β.    μετά την ολοκλήρωση ριζικής ανακαίνισης κτιρίου ή κτιριακής μονάδας, </w:t>
      </w:r>
    </w:p>
    <w:p w14:paraId="5182E399" w14:textId="77777777" w:rsidR="00A64DBA" w:rsidRDefault="00A64DBA" w:rsidP="00A64DBA">
      <w:pPr>
        <w:spacing w:line="360" w:lineRule="auto"/>
      </w:pPr>
      <w:r>
        <w:t>γ.    κατά την πώληση κτιρίου ή κτιριακής μονάδας,</w:t>
      </w:r>
    </w:p>
    <w:p w14:paraId="25623F06" w14:textId="77777777" w:rsidR="00A64DBA" w:rsidRDefault="00A64DBA" w:rsidP="00A64DBA">
      <w:pPr>
        <w:spacing w:line="360" w:lineRule="auto"/>
      </w:pPr>
      <w:r>
        <w:t>δ.    κατά τη μίσθωση σε νέο ενοικιαστή κτιρίου ή κτιριακής μονάδας,</w:t>
      </w:r>
    </w:p>
    <w:p w14:paraId="451885DF" w14:textId="77777777" w:rsidR="00A64DBA" w:rsidRDefault="00A64DBA" w:rsidP="00A64DBA">
      <w:pPr>
        <w:spacing w:line="360" w:lineRule="auto"/>
      </w:pPr>
      <w:r>
        <w:t>ε.    για κτίρια συνολικής επιφάνειας άνω των πεντακοσίων τετραγωνικών μέτρων (500 τ.μ.), τα οποία χρησιμοποιούνται από  υπηρεσίες  του  δημόσιου  και  ευρύτερου  δημόσιου  τομέα,  όπως  αυτός  ορίζεται  κάθε  φορά,  και  τα  οποία επισκέπτεται συχνά το κοινό. Από τις 9 Ιουλίου 2015 το κατώτατο όριο των πεντακοσίων τετραγωνικών μέτρων μειώθηκε στα διακόσια πενήντα τετραγωνικά μέτρα (250 τ.μ.).</w:t>
      </w:r>
    </w:p>
    <w:p w14:paraId="58D49ACB" w14:textId="77777777" w:rsidR="00A64DBA" w:rsidRDefault="00A64DBA" w:rsidP="00A64DBA">
      <w:pPr>
        <w:spacing w:line="360" w:lineRule="auto"/>
      </w:pPr>
      <w:r>
        <w:t xml:space="preserve">Από </w:t>
      </w:r>
      <w:r w:rsidR="001303BB">
        <w:t>0</w:t>
      </w:r>
      <w:r>
        <w:t>1</w:t>
      </w:r>
      <w:r w:rsidR="00E5630E">
        <w:t>.01.</w:t>
      </w:r>
      <w:r>
        <w:t xml:space="preserve">2016, σύμφωνα με την παράγραφο 7 του άρθρου 12 του ιδίου νόμου, η έκδοση ΠΕΑ είναι </w:t>
      </w:r>
    </w:p>
    <w:p w14:paraId="6F435554" w14:textId="77777777" w:rsidR="00A64DBA" w:rsidRDefault="00A64DBA" w:rsidP="00A64DBA">
      <w:pPr>
        <w:spacing w:line="360" w:lineRule="auto"/>
      </w:pPr>
      <w:r>
        <w:t>υποχρεωτική και σε ολική ωφέλιμη επιφάνεια μικρότερη από πενήντα τετραγωνικά μέτρα (50 τ.μ.)»</w:t>
      </w:r>
    </w:p>
    <w:p w14:paraId="052D73D3" w14:textId="77777777" w:rsidR="00A64DBA" w:rsidRDefault="00A64DBA" w:rsidP="00A64DBA">
      <w:pPr>
        <w:spacing w:line="360" w:lineRule="auto"/>
      </w:pPr>
      <w:r>
        <w:t>Από την α</w:t>
      </w:r>
      <w:r w:rsidRPr="00A64DBA">
        <w:t>νάλυση στατιστικών αποτελεσμάτων για την ενεργειακή απόδοση κτιρίων έτους 2018</w:t>
      </w:r>
      <w:r>
        <w:t xml:space="preserve"> του Σώματος Επιθεώρησης Περιβάλλοντος, Δόμησης, Ενέργειας και Μεταλλείων του ΥΠΕΝ, ιδιαίτερα για τα κτίρια κατοικιών </w:t>
      </w:r>
      <w:r w:rsidR="00DF63A4">
        <w:t xml:space="preserve"> εκδόθηκε τ</w:t>
      </w:r>
      <w:r>
        <w:t xml:space="preserve">ο 83,33% επί του συνολικού αριθμού των Π.Ε.Α. του </w:t>
      </w:r>
      <w:r>
        <w:lastRenderedPageBreak/>
        <w:t xml:space="preserve">έτους 2018, δηλαδή συνολικά εκδόθηκαν 254.372 Π.Ε.Α. (153.793 Π.Ε.Α. στη Νότια Ελλάδα και 100.579 Π.Ε.Α. στη Βόρεια Ελλάδα). Επίσης, από τα Π.Ε.Α. για τα κτίρια κατοικιών, το 18,20% αφορά σε μονοκατοικίες (46.305 Π.Ε.Α.), το 80,33% αφορά σε διαμερίσματα (204.345 Π.Ε.Α.) και το 1,46% σε κτίρια πολυκατοικιών (3.722 Π.Ε.Α.). Τα </w:t>
      </w:r>
      <w:proofErr w:type="spellStart"/>
      <w:r>
        <w:t>εκδοθέντα</w:t>
      </w:r>
      <w:proofErr w:type="spellEnd"/>
      <w:r>
        <w:t xml:space="preserve"> Π.Ε.Α. για τα κτίρια κατοικιών καλύπτουν συνολική επιφάνεια αυτών ίση με 21.508.171 m2.</w:t>
      </w:r>
    </w:p>
    <w:p w14:paraId="3BC12651" w14:textId="77777777" w:rsidR="00A64DBA" w:rsidRDefault="00A64DBA" w:rsidP="00A64DBA">
      <w:pPr>
        <w:spacing w:line="360" w:lineRule="auto"/>
      </w:pPr>
      <w:r>
        <w:t>Σχετικά με την ενεργειακή κατηγορία των κτιρίων κατοικιών, παρατηρείται ότι το μεγαλύτερο ποσοστό (71,57%) αυτών κατατάσσεται στην Ε-Η, το 25,64% στην Γ-Δ και μόλις το 2,79% στην Α-Β.</w:t>
      </w:r>
    </w:p>
    <w:p w14:paraId="7BE7C1E5" w14:textId="77777777" w:rsidR="00A64DBA" w:rsidRDefault="00DF63A4" w:rsidP="00A64DBA">
      <w:pPr>
        <w:spacing w:line="360" w:lineRule="auto"/>
      </w:pPr>
      <w:r>
        <w:t>Τ</w:t>
      </w:r>
      <w:r w:rsidR="00A64DBA">
        <w:t>α π</w:t>
      </w:r>
      <w:r>
        <w:t>ερισσότερο</w:t>
      </w:r>
      <w:r w:rsidR="00A64DBA">
        <w:t xml:space="preserve"> </w:t>
      </w:r>
      <w:proofErr w:type="spellStart"/>
      <w:r w:rsidR="00A64DBA">
        <w:t>ενεργοβόρα</w:t>
      </w:r>
      <w:proofErr w:type="spellEnd"/>
      <w:r w:rsidR="00A64DBA">
        <w:t xml:space="preserve"> κτίρια κατοικιών </w:t>
      </w:r>
      <w:r>
        <w:t>με βάση τα στοιχεία των ΠΕΑ που εκδόθηκαν το</w:t>
      </w:r>
      <w:r w:rsidR="00A64DBA">
        <w:t xml:space="preserve"> 2018 είναι οι μονοκατοικίες (μέση ετήσια κατανάλωση πρωτογενούς ενέργειας ίση με 518,69 </w:t>
      </w:r>
      <w:proofErr w:type="spellStart"/>
      <w:r w:rsidR="00A64DBA">
        <w:t>kWh</w:t>
      </w:r>
      <w:proofErr w:type="spellEnd"/>
      <w:r w:rsidR="00A64DBA">
        <w:t xml:space="preserve">/m2), ενώ για τα διαμερίσματα και τα κτίρια των πολυκατοικιών υπολογίστηκε μέση ετήσια κατανάλωση πρωτογενούς ενέργειας ίση με 311,33 </w:t>
      </w:r>
      <w:proofErr w:type="spellStart"/>
      <w:r w:rsidR="00A64DBA">
        <w:t>kWh</w:t>
      </w:r>
      <w:proofErr w:type="spellEnd"/>
      <w:r w:rsidR="00A64DBA">
        <w:t xml:space="preserve">/m2 και 324,97 </w:t>
      </w:r>
      <w:proofErr w:type="spellStart"/>
      <w:r w:rsidR="00A64DBA">
        <w:t>kWh</w:t>
      </w:r>
      <w:proofErr w:type="spellEnd"/>
      <w:r w:rsidR="00A64DBA">
        <w:t xml:space="preserve">/m2 αντίστοιχα. Στα κτίρια κατοικιών, το μεγαλύτερο ποσοστό ενέργειας καταναλώνεται για την κάλυψη αναγκών σε θέρμανση (μέση ετήσια κατανάλωση πρωτογενούς ενέργειας σε θέρμανση ίση με 250,39 </w:t>
      </w:r>
      <w:proofErr w:type="spellStart"/>
      <w:r w:rsidR="00A64DBA">
        <w:t>kWh</w:t>
      </w:r>
      <w:proofErr w:type="spellEnd"/>
      <w:r w:rsidR="00A64DBA">
        <w:t>/m2).</w:t>
      </w:r>
    </w:p>
    <w:p w14:paraId="0506718B" w14:textId="77777777" w:rsidR="00A64DBA" w:rsidRDefault="00154EB5" w:rsidP="00FA5CD9">
      <w:pPr>
        <w:pStyle w:val="3"/>
      </w:pPr>
      <w:bookmarkStart w:id="24" w:name="_Toc36639202"/>
      <w:r>
        <w:t>Καταναλώσεις ενέργειας</w:t>
      </w:r>
      <w:bookmarkEnd w:id="24"/>
    </w:p>
    <w:p w14:paraId="633EA501" w14:textId="77777777" w:rsidR="001B1FA0" w:rsidRPr="001A5251" w:rsidRDefault="001B1FA0" w:rsidP="00524440">
      <w:pPr>
        <w:spacing w:line="360" w:lineRule="auto"/>
      </w:pPr>
      <w:r w:rsidRPr="001A5251">
        <w:t xml:space="preserve">Στο πλαίσιο της έρευνας Κατανάλωσης Ενέργειας στα Νοικοκυριά, που εκπονήθηκε από την Ελληνική Στατιστική Αρχή το χρονικό διάστημα Οκτωβρίου 2011 – Σεπτεμβρίου 2012, συλλέχθηκαν πληροφορίες αναφορικά με την κατανάλωση ενέργειας καθώς και τα επίπεδα κατανάλωσης για διαφορετικές χρήσεις (θέρμανση – ψύξη χώρων, ζεστό νερό χρήσης, μαγείρεμα, φωτισμός κ.α.) στον οικιακό τομέα, καθώς και τις ποσότητες και τα είδη των χρησιμοποιούμενων καυσίμων. Επιπλέον, καταγράφηκαν πληροφορίες αναφορικά με τις συνήθειες των χρηστών σε σχέση με την κατανάλωση ενέργειας στα νοικοκυριά. Τέλος, συλλέχθηκαν πληροφορίες και στοιχεία για τα κοινωνικοοικονομικά χαρακτηριστικά των νοικοκυριών. </w:t>
      </w:r>
    </w:p>
    <w:p w14:paraId="754D0A73" w14:textId="77777777" w:rsidR="001B1FA0" w:rsidRPr="001A5251" w:rsidRDefault="001B1FA0" w:rsidP="00524440">
      <w:pPr>
        <w:spacing w:line="360" w:lineRule="auto"/>
      </w:pPr>
      <w:r w:rsidRPr="001A5251">
        <w:t xml:space="preserve">Η έρευνα υλοποιήθηκε με τη συνδρομή, ως τεχνικού εμπειρογνώμονα, του Κέντρου Ανανεώσιμων Πηγών και Εξοικονόμησης Ενέργειας - ΚΑΠΕ (www.cres.gr). </w:t>
      </w:r>
    </w:p>
    <w:p w14:paraId="2796DDFB" w14:textId="77777777" w:rsidR="001B1FA0" w:rsidRPr="001A5251" w:rsidRDefault="001B1FA0" w:rsidP="00524440">
      <w:pPr>
        <w:spacing w:line="360" w:lineRule="auto"/>
      </w:pPr>
      <w:r w:rsidRPr="001A5251">
        <w:t>Σύμφωνα με τα αποτελέσματα της έρευνας, κατά μέσο όρο, κάθε νοικοκυριό της χώρας καταναλώνει 13.994 k</w:t>
      </w:r>
      <w:r w:rsidR="00113B50" w:rsidRPr="001A5251">
        <w:rPr>
          <w:lang w:val="en-US"/>
        </w:rPr>
        <w:t>w</w:t>
      </w:r>
      <w:r w:rsidRPr="001A5251">
        <w:t xml:space="preserve">h ετησίως για την κάλυψη των ενεργειακών αναγκών του. </w:t>
      </w:r>
    </w:p>
    <w:p w14:paraId="61CEB7EE" w14:textId="77777777" w:rsidR="001B1FA0" w:rsidRPr="001A5251" w:rsidRDefault="001B1FA0" w:rsidP="00524440">
      <w:pPr>
        <w:spacing w:line="360" w:lineRule="auto"/>
      </w:pPr>
    </w:p>
    <w:p w14:paraId="527305D1" w14:textId="77777777" w:rsidR="001B1FA0" w:rsidRPr="001A5251" w:rsidRDefault="00154EB5" w:rsidP="00524440">
      <w:pPr>
        <w:spacing w:line="360" w:lineRule="auto"/>
        <w:rPr>
          <w:rFonts w:cs="Calibri"/>
        </w:rPr>
      </w:pPr>
      <w:r>
        <w:rPr>
          <w:noProof/>
          <w:lang w:eastAsia="el-GR"/>
        </w:rPr>
        <w:lastRenderedPageBreak/>
        <w:drawing>
          <wp:inline distT="0" distB="0" distL="0" distR="0" wp14:anchorId="79630292" wp14:editId="66669E29">
            <wp:extent cx="5580380" cy="3134360"/>
            <wp:effectExtent l="0" t="0" r="127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380" cy="3134360"/>
                    </a:xfrm>
                    <a:prstGeom prst="rect">
                      <a:avLst/>
                    </a:prstGeom>
                  </pic:spPr>
                </pic:pic>
              </a:graphicData>
            </a:graphic>
          </wp:inline>
        </w:drawing>
      </w:r>
      <w:r w:rsidRPr="001A5251">
        <w:rPr>
          <w:rFonts w:cs="Calibri"/>
          <w:noProof/>
          <w:lang w:eastAsia="el-GR"/>
        </w:rPr>
        <w:t xml:space="preserve"> </w:t>
      </w:r>
      <w:r w:rsidR="001B1FA0" w:rsidRPr="00AF433D">
        <w:rPr>
          <w:rStyle w:val="Char7"/>
        </w:rPr>
        <w:t>Μέσος όρος κατα</w:t>
      </w:r>
      <w:r w:rsidR="00FD05B9" w:rsidRPr="00AF433D">
        <w:rPr>
          <w:rStyle w:val="Char7"/>
        </w:rPr>
        <w:t>νάλωσης ενέργεια ανά νοικοκυριό, π</w:t>
      </w:r>
      <w:r w:rsidR="001B1FA0" w:rsidRPr="00AF433D">
        <w:rPr>
          <w:rStyle w:val="Char7"/>
        </w:rPr>
        <w:t>ηγή ΕΛΣΤΑΤ: Έρευνα Κατανάλωσης Ενέργειας στα Νοικοκυριά 2011 2012</w:t>
      </w:r>
      <w:r w:rsidR="00031C57" w:rsidRPr="00AF433D">
        <w:rPr>
          <w:rStyle w:val="ac"/>
          <w:iCs/>
          <w:color w:val="000000"/>
          <w:sz w:val="18"/>
          <w:szCs w:val="18"/>
        </w:rPr>
        <w:footnoteReference w:id="8"/>
      </w:r>
      <w:r w:rsidR="001B1FA0" w:rsidRPr="001A5251">
        <w:t xml:space="preserve"> </w:t>
      </w:r>
    </w:p>
    <w:p w14:paraId="21B31365" w14:textId="77777777" w:rsidR="001B1FA0" w:rsidRPr="001A5251" w:rsidRDefault="001B1FA0" w:rsidP="00524440">
      <w:pPr>
        <w:spacing w:line="360" w:lineRule="auto"/>
      </w:pPr>
      <w:r w:rsidRPr="001A5251">
        <w:t xml:space="preserve">Σύμφωνα με τα αποτελέσματα της έρευνας, οι ανάγκες ενός νοικοκυριού για θέρμανση χώρων και μαγείρεμα αποτελούν το 81% της συνολικής ετήσιας καταναλισκόμενης ενέργειάς του, ενώ συνολικά για την κάλυψη των ετήσιων ενεργειακών αναγκών του καταναλώνει πετρέλαιο θέρμανσης και ηλεκτρισμό σε ποσοστό 44,1% και 26,8%, αντίστοιχα. </w:t>
      </w:r>
    </w:p>
    <w:p w14:paraId="6DFBD5D1" w14:textId="77777777" w:rsidR="00113B50" w:rsidRPr="001A5251" w:rsidRDefault="001B1FA0" w:rsidP="00524440">
      <w:pPr>
        <w:spacing w:line="360" w:lineRule="auto"/>
      </w:pPr>
      <w:r w:rsidRPr="001A5251">
        <w:t xml:space="preserve">Η κατανάλωση θερμικής ενέργειας υπολογίστηκε βάσει των δαπανών για θέρμανση, παραγωγή ζεστού νερού χρήσης και μαγείρεμα, όπως αυτές καταγράφηκαν στα σχετικά ερωτήματα, σε συνδυασμό με τις μέσες τιμές των καυσίμων κατά τις </w:t>
      </w:r>
      <w:r w:rsidR="00EB38B3">
        <w:t>Περιόδου</w:t>
      </w:r>
      <w:r w:rsidRPr="001A5251">
        <w:t>ς αναφοράς των δαπανών και την καθαρή θερμογόνο δύναμη κάθε καυσίμου.</w:t>
      </w:r>
    </w:p>
    <w:p w14:paraId="7146A1BE" w14:textId="77777777" w:rsidR="001B1FA0" w:rsidRPr="001A5251" w:rsidRDefault="001B1FA0" w:rsidP="00524440">
      <w:pPr>
        <w:spacing w:line="360" w:lineRule="auto"/>
      </w:pPr>
      <w:r w:rsidRPr="001A5251">
        <w:t xml:space="preserve">Σύμφωνα με τα αποτελέσματα της έρευνας η μέση ετήσια κατανάλωση θερμικής ενέργειας ανά νοικοκυριό είναι 10.244 </w:t>
      </w:r>
      <w:proofErr w:type="spellStart"/>
      <w:r w:rsidRPr="001A5251">
        <w:t>kWh</w:t>
      </w:r>
      <w:proofErr w:type="spellEnd"/>
      <w:r w:rsidRPr="001A5251">
        <w:t xml:space="preserve">. Η μέση ετήσια κατανάλωση θερμικής ενέργειας κατά τύπο καυσίμου παρουσιάζεται στο σχήμα που ακολουθεί. </w:t>
      </w:r>
    </w:p>
    <w:p w14:paraId="3DB7E8BD" w14:textId="77777777" w:rsidR="00113B50" w:rsidRPr="001A5251" w:rsidRDefault="00154EB5" w:rsidP="00524440">
      <w:pPr>
        <w:spacing w:line="360" w:lineRule="auto"/>
      </w:pPr>
      <w:r>
        <w:rPr>
          <w:noProof/>
          <w:lang w:eastAsia="el-GR"/>
        </w:rPr>
        <w:lastRenderedPageBreak/>
        <w:drawing>
          <wp:inline distT="0" distB="0" distL="0" distR="0" wp14:anchorId="09CE864E" wp14:editId="53031808">
            <wp:extent cx="5580380" cy="270637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380" cy="2706370"/>
                    </a:xfrm>
                    <a:prstGeom prst="rect">
                      <a:avLst/>
                    </a:prstGeom>
                  </pic:spPr>
                </pic:pic>
              </a:graphicData>
            </a:graphic>
          </wp:inline>
        </w:drawing>
      </w:r>
      <w:r w:rsidRPr="001A5251">
        <w:rPr>
          <w:noProof/>
          <w:lang w:eastAsia="el-GR"/>
        </w:rPr>
        <w:t xml:space="preserve"> </w:t>
      </w:r>
    </w:p>
    <w:p w14:paraId="53687818" w14:textId="77777777" w:rsidR="001B1FA0" w:rsidRPr="00AF433D" w:rsidRDefault="001B1FA0" w:rsidP="00524440">
      <w:pPr>
        <w:pStyle w:val="af6"/>
        <w:spacing w:line="360" w:lineRule="auto"/>
      </w:pPr>
      <w:r w:rsidRPr="00AF433D">
        <w:rPr>
          <w:bCs/>
        </w:rPr>
        <w:t>Μέση ετήσια κατανάλωση θερμικής ενέργειας κατά τύπο καυσίμου</w:t>
      </w:r>
      <w:r w:rsidR="00C61366" w:rsidRPr="00AF433D">
        <w:rPr>
          <w:bCs/>
        </w:rPr>
        <w:t>, π</w:t>
      </w:r>
      <w:r w:rsidRPr="00AF433D">
        <w:t>ηγή ΕΛΣΤΑΤ: Έρευνα Κατανάλωσης Ενέργειας στα Νοικοκυριά 2011</w:t>
      </w:r>
      <w:r w:rsidR="00C61366" w:rsidRPr="00AF433D">
        <w:t>-</w:t>
      </w:r>
      <w:r w:rsidRPr="00AF433D">
        <w:t>2012</w:t>
      </w:r>
      <w:r w:rsidR="00C61366" w:rsidRPr="00AF433D">
        <w:t>.</w:t>
      </w:r>
    </w:p>
    <w:p w14:paraId="69D41DF6" w14:textId="77777777" w:rsidR="00C61366" w:rsidRPr="001A5251" w:rsidRDefault="001B1FA0" w:rsidP="00524440">
      <w:pPr>
        <w:spacing w:line="360" w:lineRule="auto"/>
        <w:rPr>
          <w:rFonts w:cs="Calibri"/>
        </w:rPr>
      </w:pPr>
      <w:r w:rsidRPr="001A5251">
        <w:t xml:space="preserve">Η μεθοδολογική προσέγγιση για την εκτίμηση της κατανάλωσης ηλεκτρικής ενέργειας βασίστηκε στις δαπάνες για ηλεκτρική ενέργεια, όπως αυτές καταγράφηκαν από τα νοικοκυριά, στην αντίστοιχη μέση τιμή της ηλεκτρικής ενέργειας κατά τις </w:t>
      </w:r>
      <w:r w:rsidR="00EB38B3">
        <w:t>Περιόδου</w:t>
      </w:r>
      <w:r w:rsidRPr="001A5251">
        <w:t>ς αναφοράς των δαπανών, καθώς και στα χαρακτηριστικά και τη χρήση των ηλεκτρικών συσκευών που διαθέτουν τα νοικοκυριά</w:t>
      </w:r>
      <w:r w:rsidR="00C40330" w:rsidRPr="001A5251">
        <w:t>.</w:t>
      </w:r>
      <w:r w:rsidRPr="001A5251">
        <w:t xml:space="preserve"> Σύμφωνα με τα αποτελέσματα της έρευνας η μέση ετήσια κατανάλωση ηλεκτρικής </w:t>
      </w:r>
      <w:r w:rsidR="00C40330" w:rsidRPr="001A5251">
        <w:t>ε</w:t>
      </w:r>
      <w:r w:rsidRPr="001A5251">
        <w:t>νέργειας ανά νοικοκυριό είναι 3.750 k</w:t>
      </w:r>
      <w:r w:rsidR="00C40330" w:rsidRPr="001A5251">
        <w:rPr>
          <w:lang w:val="en-US"/>
        </w:rPr>
        <w:t>w</w:t>
      </w:r>
      <w:r w:rsidRPr="001A5251">
        <w:t xml:space="preserve">h. </w:t>
      </w:r>
    </w:p>
    <w:p w14:paraId="098E6021" w14:textId="77777777" w:rsidR="00C61366" w:rsidRPr="001A5251" w:rsidRDefault="00C61366" w:rsidP="00524440">
      <w:pPr>
        <w:spacing w:line="360" w:lineRule="auto"/>
      </w:pPr>
      <w:r w:rsidRPr="001A5251">
        <w:rPr>
          <w:noProof/>
          <w:lang w:eastAsia="el-GR"/>
        </w:rPr>
        <w:drawing>
          <wp:inline distT="0" distB="0" distL="0" distR="0" wp14:anchorId="38BDBF80" wp14:editId="62686E1C">
            <wp:extent cx="4044713" cy="24569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386" cy="2464651"/>
                    </a:xfrm>
                    <a:prstGeom prst="rect">
                      <a:avLst/>
                    </a:prstGeom>
                    <a:noFill/>
                    <a:ln>
                      <a:noFill/>
                    </a:ln>
                  </pic:spPr>
                </pic:pic>
              </a:graphicData>
            </a:graphic>
          </wp:inline>
        </w:drawing>
      </w:r>
    </w:p>
    <w:p w14:paraId="360A8BD5" w14:textId="77777777" w:rsidR="001B1FA0" w:rsidRPr="00AF433D" w:rsidRDefault="001B1FA0" w:rsidP="00524440">
      <w:pPr>
        <w:pStyle w:val="af6"/>
        <w:spacing w:line="360" w:lineRule="auto"/>
      </w:pPr>
      <w:r w:rsidRPr="00AF433D">
        <w:rPr>
          <w:bCs/>
        </w:rPr>
        <w:t>Μέση ετήσια κατανάλωση ηλεκ</w:t>
      </w:r>
      <w:r w:rsidR="00C61366" w:rsidRPr="00AF433D">
        <w:rPr>
          <w:bCs/>
        </w:rPr>
        <w:t>τρικής ενέργειας ανά νοικοκυριό, π</w:t>
      </w:r>
      <w:r w:rsidR="00C61366" w:rsidRPr="00AF433D">
        <w:t xml:space="preserve">ηγή </w:t>
      </w:r>
      <w:r w:rsidRPr="00AF433D">
        <w:t>ΕΛΣΤΑΤ: Έρευνα Κατανάλωσης Ενέργειας στα Νοικοκυριά 2011</w:t>
      </w:r>
      <w:r w:rsidR="00C61366" w:rsidRPr="00AF433D">
        <w:t>-</w:t>
      </w:r>
      <w:r w:rsidRPr="00AF433D">
        <w:t xml:space="preserve">2012 </w:t>
      </w:r>
    </w:p>
    <w:p w14:paraId="4DA34CE9" w14:textId="77777777" w:rsidR="001B1FA0" w:rsidRPr="001A5251" w:rsidRDefault="001B1FA0" w:rsidP="00524440">
      <w:pPr>
        <w:spacing w:line="360" w:lineRule="auto"/>
      </w:pPr>
      <w:r w:rsidRPr="001A5251">
        <w:t xml:space="preserve">Σύμφωνα με τα στοιχεία της έρευνας, η κατανάλωση ενέργειας επηρεάζεται άμεσα από το βαθμό </w:t>
      </w:r>
      <w:proofErr w:type="spellStart"/>
      <w:r w:rsidRPr="001A5251">
        <w:t>αστικότητας</w:t>
      </w:r>
      <w:proofErr w:type="spellEnd"/>
      <w:r w:rsidRPr="001A5251">
        <w:t xml:space="preserve"> της περιοχής στην οποία βρίσκεται η κατοικία. Για παράδειγμα η θερμική ενέργεια που καταναλώνει ετησίως, κατά μέσο όρο, ένα νοικοκυριό σε μ</w:t>
      </w:r>
      <w:r w:rsidR="00C61366" w:rsidRPr="001A5251">
        <w:t>ια αστική περιοχή είναι 8.453k</w:t>
      </w:r>
      <w:r w:rsidR="00C61366" w:rsidRPr="001A5251">
        <w:rPr>
          <w:lang w:val="en-US"/>
        </w:rPr>
        <w:t>w</w:t>
      </w:r>
      <w:r w:rsidRPr="001A5251">
        <w:t xml:space="preserve">h </w:t>
      </w:r>
      <w:r w:rsidRPr="001A5251">
        <w:lastRenderedPageBreak/>
        <w:t>ενώ αντίστοιχα σε μια αγροτική περιοχή είναι 16.923k</w:t>
      </w:r>
      <w:r w:rsidR="00C61366" w:rsidRPr="001A5251">
        <w:rPr>
          <w:lang w:val="en-US"/>
        </w:rPr>
        <w:t>w</w:t>
      </w:r>
      <w:r w:rsidRPr="001A5251">
        <w:t>h. Η ηλεκτρική ενέργεια που καταναλώνει ετησίως, κατά μέσο όρο, ένα νοικοκυριό σε μια αστική περιοχή είναι 4.000k</w:t>
      </w:r>
      <w:r w:rsidR="00C61366" w:rsidRPr="001A5251">
        <w:rPr>
          <w:lang w:val="en-US"/>
        </w:rPr>
        <w:t>w</w:t>
      </w:r>
      <w:r w:rsidRPr="001A5251">
        <w:t>h ενώ αντίστοιχα σε μια αγροτική περιοχή είναι 3.070k</w:t>
      </w:r>
      <w:r w:rsidR="00C61366" w:rsidRPr="001A5251">
        <w:rPr>
          <w:lang w:val="en-US"/>
        </w:rPr>
        <w:t>w</w:t>
      </w:r>
      <w:r w:rsidRPr="001A5251">
        <w:t xml:space="preserve">h. </w:t>
      </w:r>
    </w:p>
    <w:p w14:paraId="0CCA5B04" w14:textId="77777777" w:rsidR="001B1FA0" w:rsidRPr="001A5251" w:rsidRDefault="001B1FA0" w:rsidP="00524440">
      <w:pPr>
        <w:spacing w:line="360" w:lineRule="auto"/>
      </w:pPr>
      <w:r w:rsidRPr="001A5251">
        <w:t xml:space="preserve">Η ανάλυση της καταναλισκόμενης ενέργειας κατά βαθμό </w:t>
      </w:r>
      <w:proofErr w:type="spellStart"/>
      <w:r w:rsidRPr="001A5251">
        <w:t>αστικότητας</w:t>
      </w:r>
      <w:proofErr w:type="spellEnd"/>
      <w:r w:rsidRPr="001A5251">
        <w:t xml:space="preserve"> οδήγησε στο συμπέρασμα ότι τα νοικοκυριά των αστικών περιοχών παρουσιάζουν αυξημένη χρήση ηλεκτρικής ενέργειας και, σε ένα βαθμό και, πετρελαίου θέρμανσης, συγκρινόμενα με αυτά των αγροτικών περιοχών</w:t>
      </w:r>
      <w:r w:rsidR="00183C1E" w:rsidRPr="001A5251">
        <w:t xml:space="preserve"> καθώς η</w:t>
      </w:r>
      <w:r w:rsidRPr="001A5251">
        <w:t xml:space="preserve"> χρήση καυσόξυλων είναι σημαντικά υψηλότερη στις αγροτικές περιοχές. </w:t>
      </w:r>
    </w:p>
    <w:p w14:paraId="4A127029" w14:textId="77777777" w:rsidR="001B1FA0" w:rsidRPr="001A5251" w:rsidRDefault="001B1FA0" w:rsidP="00524440">
      <w:pPr>
        <w:spacing w:line="360" w:lineRule="auto"/>
      </w:pPr>
      <w:r w:rsidRPr="001A5251">
        <w:t xml:space="preserve">Η συσχέτιση των κοινωνικοοικονομικών χαρακτηριστικών των μελών των νοικοκυριών με την ενεργειακή τους κατανάλωση δείχνει ότι: </w:t>
      </w:r>
    </w:p>
    <w:p w14:paraId="4065A837" w14:textId="77777777" w:rsidR="001B1FA0" w:rsidRPr="001A5251" w:rsidRDefault="001B1FA0" w:rsidP="00524440">
      <w:pPr>
        <w:pStyle w:val="a3"/>
        <w:numPr>
          <w:ilvl w:val="0"/>
          <w:numId w:val="14"/>
        </w:numPr>
        <w:spacing w:line="360" w:lineRule="auto"/>
      </w:pPr>
      <w:r w:rsidRPr="001A5251">
        <w:t xml:space="preserve">Η μέση κατανάλωση θερμικής ενέργειας ανά άτομο σε μονομελή νοικοκυριά είναι κατά μέσο όρο 66% υψηλότερη από αυτήν σε νοικοκυριά με περισσότερα μέλη. Αντίστοιχα, η μέση κατανάλωση ηλεκτρικής ενέργειας ανά άτομο είναι κατά μέσο όρο 69% υψηλότερη στην περίπτωση των μονομελών νοικοκυριών. </w:t>
      </w:r>
    </w:p>
    <w:p w14:paraId="16F31F39" w14:textId="77777777" w:rsidR="001B1FA0" w:rsidRPr="001A5251" w:rsidRDefault="001B1FA0" w:rsidP="00524440">
      <w:pPr>
        <w:pStyle w:val="a3"/>
        <w:numPr>
          <w:ilvl w:val="0"/>
          <w:numId w:val="14"/>
        </w:numPr>
        <w:spacing w:line="360" w:lineRule="auto"/>
      </w:pPr>
      <w:r w:rsidRPr="001A5251">
        <w:t xml:space="preserve">Η μέση κατανάλωση θερμικής ενέργειας στα νοικοκυριά τα οποία διαθέτουν τουλάχιστον ένα μέλος άνω των 65 ετών είναι υψηλότερη κατά 8% σε σχέση με νοικοκυριά που δεν διαθέτουν ούτε ένα μέλος άνω των 65 ετών. Αντίθετα, τα νοικοκυριά με ένα μέλος άνω των 65 ετών εμφανίζουν χαμηλότερη μέση κατανάλωση ηλεκτρικής ενέργειας κατά 17% σε σχέση με τα νοικοκυριά χωρίς μέλη ηλικίας άνω των 65 ετών. </w:t>
      </w:r>
    </w:p>
    <w:p w14:paraId="08018E00" w14:textId="77777777" w:rsidR="001B1FA0" w:rsidRPr="001A5251" w:rsidRDefault="001B1FA0" w:rsidP="00524440">
      <w:pPr>
        <w:pStyle w:val="a3"/>
        <w:numPr>
          <w:ilvl w:val="0"/>
          <w:numId w:val="14"/>
        </w:numPr>
        <w:spacing w:line="360" w:lineRule="auto"/>
      </w:pPr>
      <w:r w:rsidRPr="001A5251">
        <w:t xml:space="preserve">Νοικοκυριά με μέλη που εργάζονται εμφανίζουν υψηλότερη μέση κατανάλωση ηλεκτρικής ενέργειας κατά 32% και θερμικής ενέργειας κατά 15% σε σχέση με νοικοκυριά τα οποία δεν διαθέτουν κανένα μέλος που εργάζεται. </w:t>
      </w:r>
    </w:p>
    <w:p w14:paraId="3EB143A2" w14:textId="77777777" w:rsidR="001B1FA0" w:rsidRPr="001A5251" w:rsidRDefault="001B1FA0" w:rsidP="00524440">
      <w:pPr>
        <w:pStyle w:val="a3"/>
        <w:numPr>
          <w:ilvl w:val="0"/>
          <w:numId w:val="14"/>
        </w:numPr>
        <w:spacing w:line="360" w:lineRule="auto"/>
      </w:pPr>
      <w:r w:rsidRPr="001A5251">
        <w:t xml:space="preserve">Νοικοκυριά με άνεργα μέλη εμφανίζουν υψηλότερη μέση κατανάλωση ηλεκτρικής ενέργειας κατά 16% και χαμηλότερη μέση κατανάλωση θερμικής ενέργειας κατά 10% σε σχέση με νοικοκυριά τα οποία δεν διαθέτουν κανένα άνεργο μέλος. </w:t>
      </w:r>
    </w:p>
    <w:p w14:paraId="317C6915" w14:textId="77777777" w:rsidR="001B1FA0" w:rsidRPr="001A5251" w:rsidRDefault="001B1FA0" w:rsidP="00524440">
      <w:pPr>
        <w:pStyle w:val="a3"/>
        <w:numPr>
          <w:ilvl w:val="0"/>
          <w:numId w:val="14"/>
        </w:numPr>
        <w:spacing w:line="360" w:lineRule="auto"/>
      </w:pPr>
      <w:r w:rsidRPr="001A5251">
        <w:t xml:space="preserve">Στις ενοικιασμένες κατοικίες η κατανάλωση θερμικής ενέργειας ήταν χαμηλότερη κατά 52% συγκριτικά με τις ιδιόκτητες και κατά 47% συγκριτικά με τις παραχωρημένες δωρεάν. Επιπλέον, η κατανάλωση ηλεκτρικής ενέργειας στις ενοικιασμένες κατοικίες ήταν χαμηλότερη κατά 11% συγκριτικά με τις ιδιόκτητες και κατά 1% συγκριτικά με τις παραχωρημένες δωρεάν. </w:t>
      </w:r>
    </w:p>
    <w:p w14:paraId="0CD80C32" w14:textId="77777777" w:rsidR="00A72DB1" w:rsidRPr="001A5251" w:rsidRDefault="00B67AE6" w:rsidP="00D26E1F">
      <w:pPr>
        <w:pStyle w:val="2"/>
      </w:pPr>
      <w:bookmarkStart w:id="25" w:name="_Toc36639203"/>
      <w:r>
        <w:t>Προσδιορισμός προβλημάτων της Αγοράς</w:t>
      </w:r>
      <w:bookmarkEnd w:id="25"/>
    </w:p>
    <w:p w14:paraId="57588B2B" w14:textId="77777777" w:rsidR="00FB1ED9" w:rsidRPr="001A5251" w:rsidRDefault="00FB1ED9" w:rsidP="00524440">
      <w:pPr>
        <w:spacing w:line="360" w:lineRule="auto"/>
      </w:pPr>
      <w:r w:rsidRPr="001A5251">
        <w:t xml:space="preserve">Στην παρούσα ενότητα προσδιορίζονται, βάσει της εγχώριας και διεθνούς βιβλιογραφίας, τα κυριότερα προβλήματα και εμπόδια που </w:t>
      </w:r>
      <w:proofErr w:type="spellStart"/>
      <w:r w:rsidRPr="001A5251">
        <w:t>χαρα</w:t>
      </w:r>
      <w:r w:rsidR="00971D9A">
        <w:t>κτιρί</w:t>
      </w:r>
      <w:r w:rsidRPr="001A5251">
        <w:t>ζουν</w:t>
      </w:r>
      <w:proofErr w:type="spellEnd"/>
      <w:r w:rsidRPr="001A5251">
        <w:t xml:space="preserve"> την εγχώρια αγορά και περιορίζουν τη δυνατότητα αφομοίωσης μέτρων βελτίωσης της ενεργειακής απόδοσης των κατοικιών στη χώρα μας.</w:t>
      </w:r>
    </w:p>
    <w:p w14:paraId="7ADFC284" w14:textId="77777777" w:rsidR="00FB1ED9" w:rsidRPr="001A5251" w:rsidRDefault="00FB1ED9" w:rsidP="00FA5CD9">
      <w:pPr>
        <w:pStyle w:val="3"/>
      </w:pPr>
      <w:bookmarkStart w:id="26" w:name="_Toc36639204"/>
      <w:r w:rsidRPr="001A5251">
        <w:lastRenderedPageBreak/>
        <w:t>Μείωση εισοδημάτων – Αλλαγή καταναλωτικών προτύπων</w:t>
      </w:r>
      <w:bookmarkEnd w:id="26"/>
    </w:p>
    <w:p w14:paraId="7536303F" w14:textId="77777777" w:rsidR="00FB1ED9" w:rsidRPr="001A5251" w:rsidRDefault="00FB1ED9" w:rsidP="00524440">
      <w:pPr>
        <w:spacing w:line="360" w:lineRule="auto"/>
      </w:pPr>
      <w:r w:rsidRPr="001A5251">
        <w:t>Σύμφωνα με τα πορίσματα της έρευνας οικογενειακών προϋπολογισμών που διενήργησε η ΕΛΣΤΑΤ</w:t>
      </w:r>
      <w:r w:rsidR="002D4597">
        <w:rPr>
          <w:rStyle w:val="ac"/>
        </w:rPr>
        <w:footnoteReference w:id="9"/>
      </w:r>
      <w:r w:rsidRPr="001A5251">
        <w:t xml:space="preserve"> για το 201</w:t>
      </w:r>
      <w:r w:rsidR="002D4597">
        <w:t>8</w:t>
      </w:r>
      <w:r w:rsidRPr="001A5251">
        <w:t>, τα τελευταία χρόνια παρουσιάζονται αξιοσημείωτες μεταβολές στη διάρθρωση των δαπανών που πραγματοποιούν τα ελληνικά νοικοκυριά.</w:t>
      </w:r>
    </w:p>
    <w:p w14:paraId="3AE5C91D" w14:textId="77777777" w:rsidR="00FB1ED9" w:rsidRDefault="00FB1ED9" w:rsidP="00524440">
      <w:pPr>
        <w:spacing w:line="360" w:lineRule="auto"/>
      </w:pPr>
      <w:r w:rsidRPr="001A5251">
        <w:t>Η εν λόγω έρευνα κατατάσσει τις δαπάνες σε δώδεκα κύριες κατηγορίες αγαθών και υπηρεσιών ατομικής κατανάλωσης, ακολουθώντας τα πρότυπα του Ευρωπαϊκού Στατιστικού Συστήματος.</w:t>
      </w:r>
    </w:p>
    <w:p w14:paraId="1C612A7D" w14:textId="77777777" w:rsidR="004A4C43" w:rsidRDefault="004A4C43" w:rsidP="004A4C43">
      <w:pPr>
        <w:spacing w:line="360" w:lineRule="auto"/>
      </w:pPr>
      <w:r>
        <w:t>Στα κύρια χαρακτηριστικά της έρευνας αναφέρεται πως:</w:t>
      </w:r>
    </w:p>
    <w:p w14:paraId="56A7C5CA" w14:textId="77777777" w:rsidR="004A4C43" w:rsidRDefault="004A4C43" w:rsidP="003663F4">
      <w:pPr>
        <w:pStyle w:val="a3"/>
        <w:numPr>
          <w:ilvl w:val="0"/>
          <w:numId w:val="27"/>
        </w:numPr>
        <w:spacing w:line="360" w:lineRule="auto"/>
      </w:pPr>
      <w:r>
        <w:t>Η μέση μηνιαία δαπάνη των νοικοκυριών για αγορές, κατά το 2018, ανήλθε στα 1.441,03€, καταγράφοντας αύξηση 1,9% σε σχέση με το 2017.</w:t>
      </w:r>
    </w:p>
    <w:p w14:paraId="7D5BC20D" w14:textId="77777777" w:rsidR="004A4C43" w:rsidRDefault="004A4C43" w:rsidP="003663F4">
      <w:pPr>
        <w:pStyle w:val="a3"/>
        <w:numPr>
          <w:ilvl w:val="0"/>
          <w:numId w:val="27"/>
        </w:numPr>
        <w:spacing w:line="360" w:lineRule="auto"/>
      </w:pPr>
      <w:r>
        <w:t>Το 50% των νοικοκυριών δαπανούν περισσότερα από 1.158€ το μήνα.</w:t>
      </w:r>
    </w:p>
    <w:p w14:paraId="44306D99" w14:textId="77777777" w:rsidR="004A4C43" w:rsidRDefault="004A4C43" w:rsidP="003663F4">
      <w:pPr>
        <w:pStyle w:val="a3"/>
        <w:numPr>
          <w:ilvl w:val="0"/>
          <w:numId w:val="27"/>
        </w:numPr>
        <w:spacing w:line="360" w:lineRule="auto"/>
      </w:pPr>
      <w:r>
        <w:t>Τα νοικοκυριά που διαμένουν σε ενοικιασμένη κατοικία δαπανούν το 17,8% του προϋπολογισμού τους κατά μέσο όρο για ενοίκιο.</w:t>
      </w:r>
    </w:p>
    <w:p w14:paraId="10E9709C" w14:textId="77777777" w:rsidR="004A4C43" w:rsidRPr="001A5251" w:rsidRDefault="004A4C43" w:rsidP="003663F4">
      <w:pPr>
        <w:pStyle w:val="a3"/>
        <w:numPr>
          <w:ilvl w:val="0"/>
          <w:numId w:val="27"/>
        </w:numPr>
        <w:spacing w:line="360" w:lineRule="auto"/>
      </w:pPr>
      <w:r>
        <w:t>Το μερίδιο της μέσης δαπάνης για είδη διατροφής και στέγαση των νοικοκυριών του φτωχότερου 20% του πληθυσμού ανέρχεται στο 55,4% των δαπανών των νοικοκυριών, ενώ το αντίστοιχο μερίδιο του πλουσιότερου 20% του πληθυσμού ανέρχεται στο 24,9%.</w:t>
      </w:r>
    </w:p>
    <w:p w14:paraId="6691C4F8" w14:textId="77777777" w:rsidR="00FB1ED9" w:rsidRPr="001A5251" w:rsidRDefault="00FB1ED9" w:rsidP="00524440">
      <w:pPr>
        <w:spacing w:line="360" w:lineRule="auto"/>
      </w:pPr>
      <w:r w:rsidRPr="001A5251">
        <w:t>Οι δαπάνες που πραγματοποιούν τα νοικοκυριά για στέγαση, αποτελεί μία από τις κυριότερες υποκατηγορίες που εξετάζονται και περιλαμβάνει το κόστος ενοικίασης μισθωμένων κατοικιών ή επισκευής και συντήρησης ιδιόκτητων. Συγκεκριμένα, το 201</w:t>
      </w:r>
      <w:r w:rsidR="004D6A91">
        <w:t>2</w:t>
      </w:r>
      <w:r w:rsidRPr="001A5251">
        <w:t xml:space="preserve"> η δαπάνη για στέγαση απέσπασε σε τρέχουσες τιμές το 13,</w:t>
      </w:r>
      <w:r w:rsidR="004D6A91">
        <w:t>9</w:t>
      </w:r>
      <w:r w:rsidRPr="001A5251">
        <w:t>% των μέσων μηνιαίων δαπανών των νοικοκυριών, καταλαμβάνοντας τη δεύτερη θέση μετά τα είδη διατροφής</w:t>
      </w:r>
      <w:r w:rsidR="004A4C43">
        <w:t xml:space="preserve"> ενώ το 2018 (όπως και το 2017) ανέρχεται σε 14,1%</w:t>
      </w:r>
      <w:r w:rsidR="004D6A91">
        <w:t xml:space="preserve"> ακολουθώντας μια σταθερά ανοδική πορεία</w:t>
      </w:r>
      <w:r w:rsidRPr="001A5251">
        <w:t>.</w:t>
      </w:r>
    </w:p>
    <w:p w14:paraId="013E560F" w14:textId="77777777" w:rsidR="004D6A91" w:rsidRDefault="004D6A91" w:rsidP="00524440">
      <w:pPr>
        <w:spacing w:line="360" w:lineRule="auto"/>
      </w:pPr>
      <w:r>
        <w:rPr>
          <w:noProof/>
          <w:lang w:eastAsia="el-GR"/>
        </w:rPr>
        <w:lastRenderedPageBreak/>
        <w:drawing>
          <wp:inline distT="0" distB="0" distL="0" distR="0" wp14:anchorId="5B55157E" wp14:editId="6A265D22">
            <wp:extent cx="5580380" cy="4127500"/>
            <wp:effectExtent l="0" t="0" r="127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0380" cy="4127500"/>
                    </a:xfrm>
                    <a:prstGeom prst="rect">
                      <a:avLst/>
                    </a:prstGeom>
                  </pic:spPr>
                </pic:pic>
              </a:graphicData>
            </a:graphic>
          </wp:inline>
        </w:drawing>
      </w:r>
      <w:r>
        <w:rPr>
          <w:noProof/>
          <w:lang w:eastAsia="el-GR"/>
        </w:rPr>
        <w:t xml:space="preserve"> </w:t>
      </w:r>
    </w:p>
    <w:p w14:paraId="4F782982" w14:textId="77777777" w:rsidR="00FB1ED9" w:rsidRPr="001A5251" w:rsidRDefault="004A4C43" w:rsidP="00524440">
      <w:pPr>
        <w:spacing w:line="360" w:lineRule="auto"/>
      </w:pPr>
      <w:r>
        <w:t>Τ</w:t>
      </w:r>
      <w:r w:rsidR="00FB1ED9" w:rsidRPr="001A5251">
        <w:t xml:space="preserve">ο κόστος στέγασης διατηρεί μια σημαντική θέση στη διάρθρωση των μηνιαίων δαπανών των νοικοκυριών, όπως προκύπτει από τα διαθέσιμα στοιχεία, τη διετία 2013-2012 η εν λόγω δαπάνη </w:t>
      </w:r>
      <w:r>
        <w:t>είχε μειωθεί λόγω οικονομικής κρίσης κατά 8,8% για να αυξηθεί οριακά κατά 0,4% έως το 2018.</w:t>
      </w:r>
    </w:p>
    <w:p w14:paraId="4FDD3293" w14:textId="77777777" w:rsidR="00FB1ED9" w:rsidRPr="001A5251" w:rsidRDefault="00FB1ED9" w:rsidP="00524440">
      <w:pPr>
        <w:spacing w:line="360" w:lineRule="auto"/>
      </w:pPr>
      <w:r w:rsidRPr="001A5251">
        <w:t>Το ύψος της δαπάνης για στέγαση διαφοροποιείται επίσης ανάλογα με τον τύπο του νοικοκυριού. Τη μεγαλύτερη συμμετοχή, εμφανίζει η εξεταζόμενη κατηγορία στα νοικοκυριά που αποτελούνται από ένα άτομο ηλικίας άνω των 65 ετών, αποσπώντας το 2013 το 19,1% των συνολικών δαπανών που πραγματοποιούν. Αντίθετα, τα ζευγάρια ή ένας γονέας με παιδιά άνω των 16 ετών, εμφανίζονται να διαθέτουν το χαμηλότερο ποσοστό των δαπανών τους στον τομέα της στέγασης (11,5%).</w:t>
      </w:r>
    </w:p>
    <w:p w14:paraId="73EA083E" w14:textId="77777777" w:rsidR="00FB1ED9" w:rsidRPr="001A5251" w:rsidRDefault="00E55430" w:rsidP="00524440">
      <w:pPr>
        <w:spacing w:line="360" w:lineRule="auto"/>
      </w:pPr>
      <w:r>
        <w:t>Το</w:t>
      </w:r>
      <w:r w:rsidR="00FB1ED9" w:rsidRPr="001A5251">
        <w:t xml:space="preserve"> 201</w:t>
      </w:r>
      <w:r>
        <w:t>8</w:t>
      </w:r>
      <w:r w:rsidR="00FB1ED9" w:rsidRPr="001A5251">
        <w:t xml:space="preserve"> η </w:t>
      </w:r>
      <w:r>
        <w:t xml:space="preserve">μηνιαία κατανάλωση ηλεκτρικής ενέργειας εμφανίζεται αυξημένη σε σχέση με το προηγούμενο έτος, ενώ μικρή αύξηση εμφανίζει η κατανάλωση Φ.Α. Οι υπόλοιπες πηγές ενέργειας εμφανίζουν μείωση. </w:t>
      </w:r>
    </w:p>
    <w:p w14:paraId="744B205E" w14:textId="77777777" w:rsidR="002B46C9" w:rsidRPr="001A5251" w:rsidRDefault="004D6A91" w:rsidP="00524440">
      <w:pPr>
        <w:spacing w:line="360" w:lineRule="auto"/>
      </w:pPr>
      <w:r>
        <w:rPr>
          <w:noProof/>
          <w:lang w:eastAsia="el-GR"/>
        </w:rPr>
        <w:lastRenderedPageBreak/>
        <w:drawing>
          <wp:inline distT="0" distB="0" distL="0" distR="0" wp14:anchorId="5CCFE3CD" wp14:editId="2E631261">
            <wp:extent cx="5580380" cy="2197735"/>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380" cy="2197735"/>
                    </a:xfrm>
                    <a:prstGeom prst="rect">
                      <a:avLst/>
                    </a:prstGeom>
                  </pic:spPr>
                </pic:pic>
              </a:graphicData>
            </a:graphic>
          </wp:inline>
        </w:drawing>
      </w:r>
    </w:p>
    <w:p w14:paraId="01259B15" w14:textId="77777777" w:rsidR="00FB1ED9" w:rsidRPr="001A5251" w:rsidRDefault="00FB1ED9" w:rsidP="00FA5CD9">
      <w:pPr>
        <w:pStyle w:val="3"/>
      </w:pPr>
      <w:bookmarkStart w:id="27" w:name="_Toc36639205"/>
      <w:r w:rsidRPr="001A5251">
        <w:t>Επιδείνωση συνθηκών πρόσβασης σε τραπεζικά κεφάλαια</w:t>
      </w:r>
      <w:r w:rsidR="00FB1E96" w:rsidRPr="001A5251">
        <w:t>.</w:t>
      </w:r>
      <w:bookmarkEnd w:id="27"/>
    </w:p>
    <w:p w14:paraId="1ABB1B85" w14:textId="77777777" w:rsidR="00FB1ED9" w:rsidRPr="001A5251" w:rsidRDefault="00FB1ED9" w:rsidP="00524440">
      <w:pPr>
        <w:spacing w:line="360" w:lineRule="auto"/>
      </w:pPr>
      <w:r w:rsidRPr="001A5251">
        <w:t xml:space="preserve">Ο τραπεζικός δανεισμός αποτελεί το κυρίαρχο εργαλείο χρηματοδότησης των καταναλωτικών και επενδυτικών αναγκών των νοικοκυριών στην Ελλάδα. </w:t>
      </w:r>
      <w:r w:rsidR="00FB1E96" w:rsidRPr="001A5251">
        <w:t xml:space="preserve">Η </w:t>
      </w:r>
      <w:r w:rsidRPr="001A5251">
        <w:t>πιστωτική συρρίκνωση που έχει επιβάλει την τελευταία τετραετία το εγχώριο χρηματοπιστωτικό σύστημα (στο πλαίσιο εξασθένησης της πιστοδοτικής του ικανότητας) έχει συντελέσει στον περιορισμό των επενδυτικών δαπανών για κατοικίες. Ενδεικτικά αναφέρεται ότι ο ακαθάριστος σχηματισμός παγίου κεφαλαίου στην αγορά των κατοικιών στη χώρα μας από το 2008 και μετά, σημειώνει μέση ετήσια συρρίκνωση της τάξης του 27% (από €19,3 δις το 2008 σε €4 δις το 2013) .</w:t>
      </w:r>
    </w:p>
    <w:p w14:paraId="171B7B36" w14:textId="77777777" w:rsidR="00FB1ED9" w:rsidRDefault="00FB1ED9" w:rsidP="00524440">
      <w:pPr>
        <w:spacing w:line="360" w:lineRule="auto"/>
      </w:pPr>
      <w:r w:rsidRPr="001A5251">
        <w:t xml:space="preserve">Εστιάζοντας στη χρηματοδότηση των νοικοκυριών για δαπάνες κατασκευής </w:t>
      </w:r>
      <w:r w:rsidR="00FB1E96" w:rsidRPr="001A5251">
        <w:t>ή και</w:t>
      </w:r>
      <w:r w:rsidRPr="001A5251">
        <w:t xml:space="preserve"> επισκευής κατοικιών, προκύπτει ο ετήσιος ρυθμός μεταβολής των στεγαστικών δανείων από τα τραπεζικά ιδρύματα σημειώνει έντονη πτώση ήδη από το 2008, ενώ από 2010 ο ρυθμός μεταβολής των τραπεζικών δανείων διαμορφώνεται σε αρνητικά επίπεδα με αποτέλεσμα το υπόλοιπο των στεγαστικ</w:t>
      </w:r>
      <w:r w:rsidR="00FB1E96" w:rsidRPr="001A5251">
        <w:t>ών δανείων να σημειώνει μείωση</w:t>
      </w:r>
      <w:r w:rsidR="00972E6C">
        <w:rPr>
          <w:rStyle w:val="ac"/>
        </w:rPr>
        <w:footnoteReference w:id="10"/>
      </w:r>
      <w:r w:rsidR="00FB1E96" w:rsidRPr="001A5251">
        <w:t>.</w:t>
      </w:r>
    </w:p>
    <w:p w14:paraId="145286F2" w14:textId="77777777" w:rsidR="00972E6C" w:rsidRPr="001A5251" w:rsidRDefault="00972E6C" w:rsidP="00524440">
      <w:pPr>
        <w:spacing w:line="360" w:lineRule="auto"/>
      </w:pPr>
      <w:r>
        <w:rPr>
          <w:noProof/>
          <w:lang w:eastAsia="el-GR"/>
        </w:rPr>
        <w:lastRenderedPageBreak/>
        <w:drawing>
          <wp:inline distT="0" distB="0" distL="0" distR="0" wp14:anchorId="29C4E416" wp14:editId="016EF976">
            <wp:extent cx="5580380" cy="3333750"/>
            <wp:effectExtent l="0" t="0" r="127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0FB636" w14:textId="77777777" w:rsidR="002B46C9" w:rsidRPr="001A5251" w:rsidRDefault="002B46C9" w:rsidP="00524440">
      <w:pPr>
        <w:spacing w:line="360" w:lineRule="auto"/>
      </w:pPr>
    </w:p>
    <w:p w14:paraId="1ECE11F8" w14:textId="77777777" w:rsidR="002B46C9" w:rsidRPr="001A5251" w:rsidRDefault="002B46C9" w:rsidP="00524440">
      <w:pPr>
        <w:spacing w:line="360" w:lineRule="auto"/>
        <w:rPr>
          <w:i/>
        </w:rPr>
      </w:pPr>
      <w:r w:rsidRPr="001A5251">
        <w:t>Παρά την ονομαστική μείωση των επιτοκίων στα στεγαστικά δάνεια όπως φαίνεται και στον προηγούμενο πίνακα , αυξάνονται τα δάνεια σε καθυστέρηση, κάτι που αναδεικνύει την επιβαρυμένη αγορά στο χώρο των ακινήτων.</w:t>
      </w:r>
    </w:p>
    <w:p w14:paraId="629418E1" w14:textId="77777777" w:rsidR="002B46C9" w:rsidRPr="001A5251" w:rsidRDefault="002B46C9" w:rsidP="00524440">
      <w:pPr>
        <w:spacing w:line="360" w:lineRule="auto"/>
      </w:pPr>
      <w:r w:rsidRPr="001A5251">
        <w:rPr>
          <w:noProof/>
          <w:lang w:eastAsia="el-GR"/>
        </w:rPr>
        <w:drawing>
          <wp:inline distT="0" distB="0" distL="0" distR="0" wp14:anchorId="1964D2B3" wp14:editId="4BF3E4A9">
            <wp:extent cx="4641850" cy="2266950"/>
            <wp:effectExtent l="57150" t="57150" r="63500" b="57150"/>
            <wp:docPr id="11" name="Chart 11" title="Ποσοστό στεγαστικών δανείων σε καθυστέρηση"/>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8B5C02" w14:textId="77777777" w:rsidR="002B46C9" w:rsidRPr="001A5251" w:rsidRDefault="002B46C9" w:rsidP="00524440">
      <w:pPr>
        <w:spacing w:line="360" w:lineRule="auto"/>
      </w:pPr>
    </w:p>
    <w:p w14:paraId="0B55A4A0" w14:textId="77777777" w:rsidR="00406DDB" w:rsidRDefault="00791808" w:rsidP="00524440">
      <w:pPr>
        <w:spacing w:line="360" w:lineRule="auto"/>
      </w:pPr>
      <w:r w:rsidRPr="005F1F0A">
        <w:t xml:space="preserve">Η επιτυχής </w:t>
      </w:r>
      <w:proofErr w:type="spellStart"/>
      <w:r w:rsidRPr="005F1F0A">
        <w:t>ανακεφαλοποίηση</w:t>
      </w:r>
      <w:proofErr w:type="spellEnd"/>
      <w:r w:rsidRPr="005F1F0A">
        <w:t xml:space="preserve"> των ελληνικών τραπεζών</w:t>
      </w:r>
      <w:r w:rsidRPr="00B20A3C">
        <w:t xml:space="preserve"> </w:t>
      </w:r>
      <w:r w:rsidRPr="005F1F0A">
        <w:t>στα τέλη του 2015, η τραπεζική αργία</w:t>
      </w:r>
      <w:r w:rsidR="00972E6C">
        <w:t xml:space="preserve">, η οποία τέθηκε σε ισχύ με την </w:t>
      </w:r>
      <w:r w:rsidR="00972E6C" w:rsidRPr="00972E6C">
        <w:t>-</w:t>
      </w:r>
      <w:r w:rsidR="00972E6C" w:rsidRPr="00972E6C">
        <w:tab/>
        <w:t xml:space="preserve">Πράξη νομοθετικού περιεχομένου : «Τραπεζική αργία βραχείας διάρκειας», ΦΕΚ 65/Α/28.06.2015 </w:t>
      </w:r>
      <w:r w:rsidR="00972E6C">
        <w:t>και λύθηκε με την αριθ.30/1 26</w:t>
      </w:r>
      <w:r w:rsidR="00E5630E">
        <w:t>.08.</w:t>
      </w:r>
      <w:r w:rsidR="00972E6C">
        <w:t xml:space="preserve">2019 τροπολογία και υπερψηφίστηκε στη Βουλή, από 1 </w:t>
      </w:r>
      <w:proofErr w:type="spellStart"/>
      <w:r w:rsidR="00972E6C">
        <w:t>Σεπτεβρίου</w:t>
      </w:r>
      <w:proofErr w:type="spellEnd"/>
      <w:r w:rsidR="00972E6C">
        <w:t xml:space="preserve"> 2019, όπου πραγματοποιείται η πλήρης άρση των </w:t>
      </w:r>
      <w:r w:rsidR="00972E6C">
        <w:lastRenderedPageBreak/>
        <w:t>υφιστάμενων περιορισμών στην κίνηση κεφαλαίων,</w:t>
      </w:r>
      <w:r w:rsidR="00972E6C">
        <w:rPr>
          <w:rStyle w:val="ac"/>
          <w:color w:val="000000"/>
        </w:rPr>
        <w:t xml:space="preserve"> </w:t>
      </w:r>
      <w:r w:rsidRPr="005F1F0A">
        <w:t xml:space="preserve"> αποτέλεσαν τις βασικότερες εξελίξεις που αφορούσαν τον τραπεζικό κλάδο </w:t>
      </w:r>
      <w:r w:rsidR="00972E6C">
        <w:t>από το</w:t>
      </w:r>
      <w:r w:rsidRPr="005F1F0A">
        <w:t xml:space="preserve"> 2015</w:t>
      </w:r>
      <w:r w:rsidR="00972E6C">
        <w:t xml:space="preserve"> έως το 2019. </w:t>
      </w:r>
    </w:p>
    <w:p w14:paraId="6F99572D" w14:textId="77777777" w:rsidR="00956E3B" w:rsidRDefault="00956E3B" w:rsidP="00FA5CD9">
      <w:pPr>
        <w:pStyle w:val="3"/>
      </w:pPr>
      <w:bookmarkStart w:id="28" w:name="_Toc36639206"/>
      <w:r>
        <w:t>Θεσμικό πλαίσιο προστασίας της πρώτης κατοικίας</w:t>
      </w:r>
      <w:bookmarkEnd w:id="28"/>
    </w:p>
    <w:p w14:paraId="68B25D5F" w14:textId="77777777" w:rsidR="00956E3B" w:rsidRPr="00956E3B" w:rsidRDefault="00DA7129" w:rsidP="00DA7129">
      <w:pPr>
        <w:spacing w:line="360" w:lineRule="auto"/>
        <w:rPr>
          <w:rFonts w:ascii="Calibri" w:hAnsi="Calibri" w:cs="Calibri"/>
          <w:color w:val="1F1F1E"/>
        </w:rPr>
      </w:pPr>
      <w:r>
        <w:rPr>
          <w:rFonts w:ascii="Calibri" w:hAnsi="Calibri" w:cs="Calibri"/>
          <w:b/>
          <w:bCs/>
          <w:color w:val="1F1F1E"/>
        </w:rPr>
        <w:t xml:space="preserve">Α) </w:t>
      </w:r>
      <w:r w:rsidR="00956E3B" w:rsidRPr="00DA7129">
        <w:rPr>
          <w:rFonts w:ascii="Calibri" w:hAnsi="Calibri" w:cs="Calibri"/>
          <w:b/>
          <w:bCs/>
          <w:color w:val="1F1F1E"/>
        </w:rPr>
        <w:t>Ν. 3869/2010</w:t>
      </w:r>
      <w:r w:rsidR="00956E3B" w:rsidRPr="00956E3B">
        <w:t xml:space="preserve"> </w:t>
      </w:r>
      <w:r>
        <w:t>«</w:t>
      </w:r>
      <w:r w:rsidR="00956E3B" w:rsidRPr="00DA7129">
        <w:rPr>
          <w:rFonts w:ascii="Calibri" w:hAnsi="Calibri" w:cs="Calibri"/>
          <w:bCs/>
          <w:i/>
          <w:color w:val="1F1F1E"/>
        </w:rPr>
        <w:t>Ρύθμιση των οφειλών υπερχρεωμένων φυσικών προσώπων και άλλες διατάξεις</w:t>
      </w:r>
      <w:r>
        <w:rPr>
          <w:rFonts w:ascii="Calibri" w:hAnsi="Calibri" w:cs="Calibri"/>
          <w:bCs/>
          <w:color w:val="1F1F1E"/>
        </w:rPr>
        <w:t>»</w:t>
      </w:r>
      <w:r w:rsidR="00956E3B" w:rsidRPr="00956E3B">
        <w:rPr>
          <w:rFonts w:ascii="Calibri" w:hAnsi="Calibri" w:cs="Calibri"/>
          <w:bCs/>
          <w:color w:val="1F1F1E"/>
        </w:rPr>
        <w:t xml:space="preserve">. [Νόμος Κατσέλη-Σταθάκη] </w:t>
      </w:r>
      <w:r w:rsidR="00956E3B">
        <w:t xml:space="preserve">είχε καθιερώσει από το 2010  και </w:t>
      </w:r>
      <w:r w:rsidR="00956E3B" w:rsidRPr="00956E3B">
        <w:rPr>
          <w:rFonts w:ascii="Calibri" w:hAnsi="Calibri" w:cs="Calibri"/>
          <w:bCs/>
          <w:color w:val="1F1F1E"/>
        </w:rPr>
        <w:t xml:space="preserve">ίσχυσε έως το 2019 </w:t>
      </w:r>
      <w:r w:rsidR="00956E3B">
        <w:t>την προστασία της κύριας κατοικίας  ως δικαίωμα  του - μη δόλιου - υπερχρεωμένου οφειλέτη. Μέσα στην κρίση ο νόμος αυτός αποτέλεσε το κατ’ εξοχήν θεσμικό εργαλείο των υπερχρεωμένων νοικοκυριών για ρύθμιση των χρεών τους,  με βάση τις πραγματικές  δυνατότητές τους, .</w:t>
      </w:r>
    </w:p>
    <w:p w14:paraId="1DB4E173" w14:textId="77777777" w:rsidR="00956E3B" w:rsidRDefault="00956E3B" w:rsidP="00DA7129">
      <w:pPr>
        <w:spacing w:line="360" w:lineRule="auto"/>
      </w:pPr>
      <w:r>
        <w:t>Για να μπορέσει κάποιος να κάνει χρήση του Νόμου Κατσέλη, θα πρέπει να  είναι φυσικό πρόσωπο, δηλαδή ο νόμος δεν αφορά εταιρείες, να μην έχει πτωχευτική ικανότητα, δηλαδή να μην έχει εμπορική ιδιότητα. Πρώην έμποροι υπάγονται μόνο σε περίπτωση που όταν έκλεισαν τα βιβλία τους, τα δάνεια τους ήταν ενήμερα. Να βρίσκεται, χωρίς δόλο, σε μόνιμη και γενική αδυναμία πληρωμής</w:t>
      </w:r>
      <w:r w:rsidR="00DA7129">
        <w:t>.</w:t>
      </w:r>
    </w:p>
    <w:p w14:paraId="3F39CDBF" w14:textId="77777777" w:rsidR="00956E3B" w:rsidRDefault="00956E3B" w:rsidP="00DA7129">
      <w:pPr>
        <w:spacing w:line="360" w:lineRule="auto"/>
      </w:pPr>
      <w:r>
        <w:t xml:space="preserve">Οι οφειλές που μπορούσαν να ρυθμιστούν με το συγκεκριμένο νόμο </w:t>
      </w:r>
      <w:r w:rsidR="00DA7129">
        <w:t>ήταν</w:t>
      </w:r>
      <w:r>
        <w:t>:</w:t>
      </w:r>
    </w:p>
    <w:p w14:paraId="2796F17A" w14:textId="77777777" w:rsidR="00956E3B" w:rsidRDefault="00956E3B" w:rsidP="00DA7129">
      <w:pPr>
        <w:spacing w:line="360" w:lineRule="auto"/>
      </w:pPr>
      <w:r>
        <w:t>Όλες οι οφειλές προς ιδιώτες</w:t>
      </w:r>
      <w:r w:rsidR="00DA7129">
        <w:t xml:space="preserve"> και </w:t>
      </w:r>
      <w:r w:rsidR="00DA7129">
        <w:rPr>
          <w:color w:val="323232"/>
        </w:rPr>
        <w:t>προς πιστωτικά ιδρύματα</w:t>
      </w:r>
      <w:r w:rsidR="00DA7129">
        <w:t>, ο</w:t>
      </w:r>
      <w:r>
        <w:t>ι βεβαιωμένες οφειλές στη Φορολογική Διοίκηση (Εφορία κλπ.), με τις προσαυξήσεις και τους τόκους εκπρόθεσμης καταβολής</w:t>
      </w:r>
      <w:r w:rsidR="00DA7129">
        <w:t>, ο</w:t>
      </w:r>
      <w:r>
        <w:t>ι βεβαιωμένες οφειλές προς τους Οργανισμούς Τοπικής Αυτοδιοίκησης και τα νομικά τους πρόσωπα, με τις προσαυξήσεις και τους τόκους εκπρόθεσμης καταβολής</w:t>
      </w:r>
      <w:r w:rsidR="00DA7129">
        <w:t xml:space="preserve"> και ο</w:t>
      </w:r>
      <w:r>
        <w:t>ι ασφαλιστικές οφειλές προς τους Οργανισμούς Κοινωνικής Ασφάλισης με τις προσαυξήσεις και τους τόκους εκπρόθεσμης καταβολής</w:t>
      </w:r>
    </w:p>
    <w:p w14:paraId="64BAAE09" w14:textId="77777777" w:rsidR="00956E3B" w:rsidRDefault="00956E3B" w:rsidP="00DA7129">
      <w:pPr>
        <w:spacing w:line="360" w:lineRule="auto"/>
      </w:pPr>
      <w:r>
        <w:t>Η διαδικασία υπαγωγής στο Ν.3869/10, είχε ως εξής:</w:t>
      </w:r>
    </w:p>
    <w:p w14:paraId="68B36B81" w14:textId="77777777" w:rsidR="00956E3B" w:rsidRDefault="00956E3B" w:rsidP="00DA7129">
      <w:pPr>
        <w:spacing w:line="360" w:lineRule="auto"/>
      </w:pPr>
      <w:r>
        <w:t>Κατάθεση αίτησης του Ν.3869/10 στο Ειρηνοδικείο</w:t>
      </w:r>
      <w:r w:rsidR="00DA7129" w:rsidRPr="00DA7129">
        <w:t xml:space="preserve"> </w:t>
      </w:r>
      <w:r w:rsidR="00DA7129">
        <w:t>που περιλαμβάνει τα οικονομικά δεδομένα του αιτούντα, την περιουσία του, τις οφειλές του, τις ανάγκες διαβίωσής του, αλλά και τους λόγους που έφτασε στην υπερχρέωση. Με την κατάθεση της αίτησης, δίνονται από το Ειρηνοδικείο δύο ημερομηνίες δικασίμων, για το προσωρινό και το τελικό δικαστήριο.</w:t>
      </w:r>
    </w:p>
    <w:p w14:paraId="463024B5" w14:textId="77777777" w:rsidR="00956E3B" w:rsidRDefault="00956E3B" w:rsidP="00DA7129">
      <w:pPr>
        <w:spacing w:line="360" w:lineRule="auto"/>
      </w:pPr>
      <w:r>
        <w:t>Εκδίκαση προσωρινού δικαστηρίου και ορισμός προσωρινής δόσης</w:t>
      </w:r>
      <w:r w:rsidR="00DA7129" w:rsidRPr="00DA7129">
        <w:t xml:space="preserve"> </w:t>
      </w:r>
      <w:r w:rsidR="00DA7129">
        <w:t>Παράλληλα προστατεύεται η κύρια κατοικία του οφειλέτη, εφόσον καταβάλει τη δόση που του έχει ορίσει το προσωρινό δικαστήριο.</w:t>
      </w:r>
    </w:p>
    <w:p w14:paraId="3FFCFC5C" w14:textId="77777777" w:rsidR="00956E3B" w:rsidRPr="00956E3B" w:rsidRDefault="00956E3B" w:rsidP="00DA7129">
      <w:pPr>
        <w:spacing w:line="360" w:lineRule="auto"/>
        <w:rPr>
          <w:rFonts w:ascii="Calibri" w:hAnsi="Calibri" w:cs="Calibri"/>
          <w:color w:val="1F1F1E"/>
        </w:rPr>
      </w:pPr>
      <w:r>
        <w:t>Εκδίκαση τελικού δικαστηρίου</w:t>
      </w:r>
      <w:r w:rsidR="00DA7129">
        <w:t xml:space="preserve"> όπου </w:t>
      </w:r>
      <w:r>
        <w:t>η υπόθεση εξετάζεται σε βάθος και εφόσον κριθεί ότι ο οφειλέτης υπάγεται στο νόμο, τότε ορίζεται η τελική δόση που θα καταβάλλει στις τράπεζες, ο χρόνος αποπληρωμής, η διάσωση της κύριας κατοικίας του, η τυχόν ρευστοποίηση άλλης ακίνητης περιουσίας που διαθέτει καθώς και η ενδεχόμενη διαγραφή μέρους των οφειλών του.</w:t>
      </w:r>
    </w:p>
    <w:p w14:paraId="676A2FA2" w14:textId="77777777" w:rsidR="00DA7129" w:rsidRPr="00DA7129" w:rsidRDefault="00DA7129" w:rsidP="002B02A7">
      <w:pPr>
        <w:pStyle w:val="Default"/>
        <w:spacing w:line="360" w:lineRule="auto"/>
        <w:jc w:val="both"/>
        <w:rPr>
          <w:rFonts w:ascii="Calibri" w:hAnsi="Calibri" w:cs="Calibri"/>
          <w:b/>
          <w:bCs/>
          <w:color w:val="1F1F1E"/>
          <w:sz w:val="22"/>
          <w:szCs w:val="22"/>
        </w:rPr>
      </w:pPr>
      <w:r w:rsidRPr="00DA7129">
        <w:rPr>
          <w:rFonts w:ascii="Calibri" w:hAnsi="Calibri" w:cs="Calibri"/>
          <w:b/>
          <w:bCs/>
          <w:color w:val="1F1F1E"/>
          <w:sz w:val="22"/>
          <w:szCs w:val="22"/>
        </w:rPr>
        <w:lastRenderedPageBreak/>
        <w:t xml:space="preserve">Β) ν.4605/2019 </w:t>
      </w:r>
      <w:r w:rsidRPr="00DA7129">
        <w:rPr>
          <w:rFonts w:ascii="Calibri" w:hAnsi="Calibri" w:cs="Calibri"/>
          <w:bCs/>
          <w:color w:val="1F1F1E"/>
          <w:sz w:val="22"/>
          <w:szCs w:val="22"/>
        </w:rPr>
        <w:t>όπου Σκοπός του νόμου είναι η ρύθμιση οφειλών φυσικών προσώπων από στεγαστικά και επιχειρηματικά δάνεια, για την προστασία της κύριας κατοικίας τους από την αναγκαστική ρευστοποίηση</w:t>
      </w:r>
      <w:r>
        <w:rPr>
          <w:rFonts w:ascii="Calibri" w:hAnsi="Calibri" w:cs="Calibri"/>
          <w:bCs/>
          <w:color w:val="1F1F1E"/>
          <w:sz w:val="22"/>
          <w:szCs w:val="22"/>
        </w:rPr>
        <w:t>. Στον νέο νόμο υπάγονται και οι έμποροι</w:t>
      </w:r>
      <w:r w:rsidR="002B02A7">
        <w:rPr>
          <w:rFonts w:ascii="Calibri" w:hAnsi="Calibri" w:cs="Calibri"/>
          <w:bCs/>
          <w:color w:val="1F1F1E"/>
          <w:sz w:val="22"/>
          <w:szCs w:val="22"/>
        </w:rPr>
        <w:t xml:space="preserve"> ενώ δεν </w:t>
      </w:r>
      <w:r w:rsidR="002B02A7" w:rsidRPr="002B02A7">
        <w:rPr>
          <w:rFonts w:ascii="Calibri" w:hAnsi="Calibri" w:cs="Calibri"/>
          <w:bCs/>
          <w:color w:val="1F1F1E"/>
          <w:sz w:val="22"/>
          <w:szCs w:val="22"/>
        </w:rPr>
        <w:t xml:space="preserve">ρυθμίζονται </w:t>
      </w:r>
      <w:r w:rsidR="002B02A7">
        <w:rPr>
          <w:rFonts w:ascii="Calibri" w:hAnsi="Calibri" w:cs="Calibri"/>
          <w:bCs/>
          <w:color w:val="1F1F1E"/>
          <w:sz w:val="22"/>
          <w:szCs w:val="22"/>
        </w:rPr>
        <w:t>ο</w:t>
      </w:r>
      <w:r w:rsidR="002B02A7" w:rsidRPr="002B02A7">
        <w:rPr>
          <w:rFonts w:ascii="Calibri" w:hAnsi="Calibri" w:cs="Calibri"/>
          <w:bCs/>
          <w:color w:val="1F1F1E"/>
          <w:sz w:val="22"/>
          <w:szCs w:val="22"/>
        </w:rPr>
        <w:t>φειλές φυσικών προσώπων προς ΑΑΔΕ και ΕΦΚΑ</w:t>
      </w:r>
      <w:r w:rsidR="002B02A7">
        <w:rPr>
          <w:rFonts w:ascii="Calibri" w:hAnsi="Calibri" w:cs="Calibri"/>
          <w:bCs/>
          <w:color w:val="1F1F1E"/>
          <w:sz w:val="22"/>
          <w:szCs w:val="22"/>
        </w:rPr>
        <w:t>. Επίσης υ</w:t>
      </w:r>
      <w:r w:rsidR="002B02A7" w:rsidRPr="002B02A7">
        <w:rPr>
          <w:rFonts w:ascii="Calibri" w:hAnsi="Calibri" w:cs="Calibri"/>
          <w:bCs/>
          <w:color w:val="1F1F1E"/>
          <w:sz w:val="22"/>
          <w:szCs w:val="22"/>
        </w:rPr>
        <w:t>πάρχει όριο στην αξία της προστατευόμενης κύριας κατοικίας</w:t>
      </w:r>
      <w:r w:rsidR="002B02A7">
        <w:rPr>
          <w:rFonts w:ascii="Calibri" w:hAnsi="Calibri" w:cs="Calibri"/>
          <w:bCs/>
          <w:color w:val="1F1F1E"/>
          <w:sz w:val="22"/>
          <w:szCs w:val="22"/>
        </w:rPr>
        <w:t xml:space="preserve"> όπου</w:t>
      </w:r>
      <w:r w:rsidR="002B02A7" w:rsidRPr="002B02A7">
        <w:rPr>
          <w:rFonts w:ascii="Calibri" w:hAnsi="Calibri" w:cs="Calibri"/>
          <w:bCs/>
          <w:color w:val="1F1F1E"/>
          <w:sz w:val="22"/>
          <w:szCs w:val="22"/>
        </w:rPr>
        <w:t xml:space="preserve"> λαμβάνεται</w:t>
      </w:r>
      <w:r w:rsidR="002B02A7">
        <w:rPr>
          <w:rFonts w:ascii="Calibri" w:hAnsi="Calibri" w:cs="Calibri"/>
          <w:bCs/>
          <w:color w:val="1F1F1E"/>
          <w:sz w:val="22"/>
          <w:szCs w:val="22"/>
        </w:rPr>
        <w:t xml:space="preserve"> </w:t>
      </w:r>
      <w:proofErr w:type="spellStart"/>
      <w:r w:rsidR="002B02A7">
        <w:rPr>
          <w:rFonts w:ascii="Calibri" w:hAnsi="Calibri" w:cs="Calibri"/>
          <w:bCs/>
          <w:color w:val="1F1F1E"/>
          <w:sz w:val="22"/>
          <w:szCs w:val="22"/>
        </w:rPr>
        <w:t>υπ’οψη</w:t>
      </w:r>
      <w:proofErr w:type="spellEnd"/>
      <w:r w:rsidR="002B02A7" w:rsidRPr="002B02A7">
        <w:rPr>
          <w:rFonts w:ascii="Calibri" w:hAnsi="Calibri" w:cs="Calibri"/>
          <w:bCs/>
          <w:color w:val="1F1F1E"/>
          <w:sz w:val="22"/>
          <w:szCs w:val="22"/>
        </w:rPr>
        <w:t xml:space="preserve"> η φορολογητέα αξία για τον υπολογισμό του Ε.Ν.Φ.Ι.Α. </w:t>
      </w:r>
    </w:p>
    <w:p w14:paraId="6FB24E5D" w14:textId="77777777" w:rsidR="00FB1ED9" w:rsidRPr="00094A04" w:rsidRDefault="00FB1ED9" w:rsidP="00FA5CD9">
      <w:pPr>
        <w:pStyle w:val="3"/>
        <w:rPr>
          <w:rStyle w:val="af4"/>
          <w:b/>
          <w:bCs/>
          <w:i/>
          <w:iCs w:val="0"/>
        </w:rPr>
      </w:pPr>
      <w:bookmarkStart w:id="29" w:name="_Toc36639207"/>
      <w:r w:rsidRPr="00094A04">
        <w:rPr>
          <w:rStyle w:val="af4"/>
          <w:b/>
          <w:bCs/>
          <w:i/>
          <w:iCs w:val="0"/>
        </w:rPr>
        <w:t xml:space="preserve">Η </w:t>
      </w:r>
      <w:r w:rsidR="002C119E" w:rsidRPr="00094A04">
        <w:rPr>
          <w:rStyle w:val="af4"/>
          <w:b/>
          <w:bCs/>
          <w:i/>
          <w:iCs w:val="0"/>
        </w:rPr>
        <w:t>περιβαλλοντική υποβάθμιση</w:t>
      </w:r>
      <w:r w:rsidR="00991C7B">
        <w:rPr>
          <w:rStyle w:val="af4"/>
          <w:b/>
          <w:bCs/>
          <w:i/>
          <w:iCs w:val="0"/>
        </w:rPr>
        <w:t xml:space="preserve"> – ενεργειακή φτώχεια</w:t>
      </w:r>
      <w:bookmarkEnd w:id="29"/>
    </w:p>
    <w:p w14:paraId="267530EF" w14:textId="77777777" w:rsidR="009F7904" w:rsidRDefault="002B02A7" w:rsidP="00524440">
      <w:pPr>
        <w:spacing w:line="360" w:lineRule="auto"/>
      </w:pPr>
      <w:r>
        <w:t xml:space="preserve">Εστιάζοντας στον οικιακό τομέα και </w:t>
      </w:r>
      <w:r w:rsidR="00FB1ED9" w:rsidRPr="001A5251">
        <w:t xml:space="preserve">σύμφωνα με τα στοιχεία σχετικής έρευνας της ΕΛΣΤΑΤ, την </w:t>
      </w:r>
      <w:r w:rsidR="00EB38B3">
        <w:t>Περίοδο</w:t>
      </w:r>
      <w:r w:rsidR="00FB1ED9" w:rsidRPr="001A5251">
        <w:t xml:space="preserve"> 2011- 2012 το 93% της συνολικής κατανάλωσης ενέργειας των νοικοκυριών προήλθε από μη ανανεώσιμες πηγές. </w:t>
      </w:r>
      <w:r w:rsidR="002E72E6">
        <w:t>Η έλλειψη πληροφόρησης, η ημιμάθεια στην αγορά, η οικονομική ένδεια</w:t>
      </w:r>
      <w:r w:rsidR="003B7BD5">
        <w:t xml:space="preserve"> και γενικότερα οι δυσκολίες κάλυψης των ενεργειακών αναγκών των νοικοκυριών είναι ένα </w:t>
      </w:r>
      <w:proofErr w:type="spellStart"/>
      <w:r w:rsidR="003B7BD5">
        <w:t>πολυπαραγοντικό</w:t>
      </w:r>
      <w:proofErr w:type="spellEnd"/>
      <w:r w:rsidR="003B7BD5">
        <w:t xml:space="preserve"> πρόβλημα και συναρτάται με ένα πλήθος κοινωνικών και υλικών παραμέτρων, όπως το εισόδημα, η </w:t>
      </w:r>
      <w:r w:rsidR="00991C7B">
        <w:t xml:space="preserve">χαμηλή </w:t>
      </w:r>
      <w:r w:rsidR="003B7BD5">
        <w:t>ενεργειακή απόδοση των κτιρίων, οι τιμές των καυσίμων, τα δίκτυα και οι προωθούμενες πολιτικές.</w:t>
      </w:r>
      <w:r w:rsidR="007473F7">
        <w:t xml:space="preserve"> Επίσης θα πρέπει να λάβουμε υπόψη μας τη συνύπαρξη νοικοκυριών διαφορετικών κοινωνικών στρωμάτων στο ίδιο κτίριο, καθώς και τη συνύπαρξη της κατοικίας με άλλες χρήσεις στο ίδιο κτίριο.</w:t>
      </w:r>
    </w:p>
    <w:p w14:paraId="78E31112" w14:textId="77777777" w:rsidR="003B7BD5" w:rsidRPr="001A5251" w:rsidRDefault="003B7BD5" w:rsidP="00524440">
      <w:pPr>
        <w:spacing w:line="360" w:lineRule="auto"/>
      </w:pPr>
      <w:r>
        <w:rPr>
          <w:noProof/>
          <w:lang w:eastAsia="el-GR"/>
        </w:rPr>
        <w:drawing>
          <wp:inline distT="0" distB="0" distL="0" distR="0" wp14:anchorId="6697FF3F" wp14:editId="7027FFEE">
            <wp:extent cx="5580380" cy="3282315"/>
            <wp:effectExtent l="0" t="0" r="1270" b="1333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12CDFC" w14:textId="77777777" w:rsidR="00FB1ED9" w:rsidRPr="001A5251" w:rsidRDefault="00FB1ED9" w:rsidP="00524440">
      <w:pPr>
        <w:spacing w:line="360" w:lineRule="auto"/>
      </w:pPr>
      <w:r w:rsidRPr="001A5251">
        <w:t>Το γεγονός μάλιστα ότι το πετρέλαιο θέρμανσης αποτελεί τον πλέον δημοφιλή τύπο καυσίμου για την κάλυψη των ενεργειακών αναγκών των νοικοκυριών</w:t>
      </w:r>
      <w:r w:rsidR="00B42E69">
        <w:rPr>
          <w:rStyle w:val="ac"/>
        </w:rPr>
        <w:footnoteReference w:id="11"/>
      </w:r>
      <w:r w:rsidRPr="001A5251">
        <w:t xml:space="preserve">, οδηγεί στο συμπέρασμα ότι οι </w:t>
      </w:r>
      <w:r w:rsidRPr="001A5251">
        <w:lastRenderedPageBreak/>
        <w:t>επιπτώσεις της εν λόγω αστοχίας της αγοράς επιβαρύνει μεταξύ άλλων και το εμπορικό ισοζύγιο της χώρας.</w:t>
      </w:r>
    </w:p>
    <w:tbl>
      <w:tblPr>
        <w:tblW w:w="0" w:type="auto"/>
        <w:tblInd w:w="1842" w:type="dxa"/>
        <w:tblLayout w:type="fixed"/>
        <w:tblCellMar>
          <w:left w:w="0" w:type="dxa"/>
          <w:right w:w="0" w:type="dxa"/>
        </w:tblCellMar>
        <w:tblLook w:val="0000" w:firstRow="0" w:lastRow="0" w:firstColumn="0" w:lastColumn="0" w:noHBand="0" w:noVBand="0"/>
      </w:tblPr>
      <w:tblGrid>
        <w:gridCol w:w="3800"/>
        <w:gridCol w:w="659"/>
      </w:tblGrid>
      <w:tr w:rsidR="00CC0A23" w:rsidRPr="001A5251" w14:paraId="57D89E2F" w14:textId="77777777">
        <w:trPr>
          <w:trHeight w:hRule="exact" w:val="357"/>
        </w:trPr>
        <w:tc>
          <w:tcPr>
            <w:tcW w:w="3800" w:type="dxa"/>
            <w:tcBorders>
              <w:top w:val="nil"/>
              <w:left w:val="nil"/>
              <w:bottom w:val="dotted" w:sz="4" w:space="0" w:color="AEAEAD"/>
              <w:right w:val="single" w:sz="2" w:space="0" w:color="E5E4E4"/>
            </w:tcBorders>
          </w:tcPr>
          <w:p w14:paraId="7E750C7E" w14:textId="77777777" w:rsidR="00CC0A23" w:rsidRPr="001A5251" w:rsidRDefault="00CC0A23" w:rsidP="00524440">
            <w:pPr>
              <w:spacing w:line="360" w:lineRule="auto"/>
              <w:rPr>
                <w:rFonts w:cs="Times New Roman"/>
                <w:sz w:val="24"/>
                <w:szCs w:val="24"/>
              </w:rPr>
            </w:pPr>
            <w:r w:rsidRPr="001A5251">
              <w:t>Πετρέλαιο Θέρμανσης</w:t>
            </w:r>
          </w:p>
        </w:tc>
        <w:tc>
          <w:tcPr>
            <w:tcW w:w="659" w:type="dxa"/>
            <w:tcBorders>
              <w:top w:val="nil"/>
              <w:left w:val="single" w:sz="2" w:space="0" w:color="E5E4E4"/>
              <w:bottom w:val="dotted" w:sz="4" w:space="0" w:color="AEAEAD"/>
              <w:right w:val="nil"/>
            </w:tcBorders>
          </w:tcPr>
          <w:p w14:paraId="6B6D36B5" w14:textId="77777777" w:rsidR="00CC0A23" w:rsidRPr="001A5251" w:rsidRDefault="00CC0A23" w:rsidP="00524440">
            <w:pPr>
              <w:spacing w:line="360" w:lineRule="auto"/>
              <w:rPr>
                <w:rFonts w:cs="Times New Roman"/>
                <w:sz w:val="24"/>
                <w:szCs w:val="24"/>
                <w:lang w:val="en-US"/>
              </w:rPr>
            </w:pPr>
            <w:r w:rsidRPr="001A5251">
              <w:t>44,1</w:t>
            </w:r>
            <w:r w:rsidR="00B71945" w:rsidRPr="001A5251">
              <w:rPr>
                <w:lang w:val="en-US"/>
              </w:rPr>
              <w:t>%</w:t>
            </w:r>
          </w:p>
        </w:tc>
      </w:tr>
      <w:tr w:rsidR="00CC0A23" w:rsidRPr="001A5251" w14:paraId="66A0ED4D" w14:textId="77777777">
        <w:trPr>
          <w:trHeight w:hRule="exact" w:val="357"/>
        </w:trPr>
        <w:tc>
          <w:tcPr>
            <w:tcW w:w="3800" w:type="dxa"/>
            <w:tcBorders>
              <w:top w:val="dotted" w:sz="4" w:space="0" w:color="AEAEAD"/>
              <w:left w:val="nil"/>
              <w:bottom w:val="dotted" w:sz="4" w:space="0" w:color="AEAEAD"/>
              <w:right w:val="single" w:sz="2" w:space="0" w:color="E5E4E4"/>
            </w:tcBorders>
            <w:shd w:val="clear" w:color="auto" w:fill="BBC2DC"/>
          </w:tcPr>
          <w:p w14:paraId="2C396896" w14:textId="77777777" w:rsidR="00CC0A23" w:rsidRPr="001A5251" w:rsidRDefault="00CC0A23" w:rsidP="00524440">
            <w:pPr>
              <w:spacing w:line="360" w:lineRule="auto"/>
              <w:rPr>
                <w:rFonts w:cs="Times New Roman"/>
                <w:sz w:val="24"/>
                <w:szCs w:val="24"/>
              </w:rPr>
            </w:pPr>
            <w:r w:rsidRPr="001A5251">
              <w:t>Φυσικό Αέριο</w:t>
            </w:r>
          </w:p>
        </w:tc>
        <w:tc>
          <w:tcPr>
            <w:tcW w:w="659" w:type="dxa"/>
            <w:tcBorders>
              <w:top w:val="dotted" w:sz="4" w:space="0" w:color="AEAEAD"/>
              <w:left w:val="single" w:sz="2" w:space="0" w:color="E5E4E4"/>
              <w:bottom w:val="dotted" w:sz="4" w:space="0" w:color="AEAEAD"/>
              <w:right w:val="nil"/>
            </w:tcBorders>
            <w:shd w:val="clear" w:color="auto" w:fill="BBC2DC"/>
          </w:tcPr>
          <w:p w14:paraId="316E1178" w14:textId="77777777" w:rsidR="00CC0A23" w:rsidRPr="001A5251" w:rsidRDefault="00CC0A23" w:rsidP="00524440">
            <w:pPr>
              <w:spacing w:line="360" w:lineRule="auto"/>
              <w:rPr>
                <w:rFonts w:cs="Times New Roman"/>
                <w:sz w:val="24"/>
                <w:szCs w:val="24"/>
                <w:lang w:val="en-US"/>
              </w:rPr>
            </w:pPr>
            <w:r w:rsidRPr="001A5251">
              <w:t>5,4</w:t>
            </w:r>
            <w:r w:rsidR="00B71945" w:rsidRPr="001A5251">
              <w:rPr>
                <w:lang w:val="en-US"/>
              </w:rPr>
              <w:t>%</w:t>
            </w:r>
          </w:p>
        </w:tc>
      </w:tr>
      <w:tr w:rsidR="00CC0A23" w:rsidRPr="001A5251" w14:paraId="34A5A697" w14:textId="77777777">
        <w:trPr>
          <w:trHeight w:hRule="exact" w:val="357"/>
        </w:trPr>
        <w:tc>
          <w:tcPr>
            <w:tcW w:w="3800" w:type="dxa"/>
            <w:tcBorders>
              <w:top w:val="dotted" w:sz="4" w:space="0" w:color="AEAEAD"/>
              <w:left w:val="nil"/>
              <w:bottom w:val="dotted" w:sz="4" w:space="0" w:color="AEAEAD"/>
              <w:right w:val="single" w:sz="2" w:space="0" w:color="E5E4E4"/>
            </w:tcBorders>
          </w:tcPr>
          <w:p w14:paraId="46BC9277" w14:textId="77777777" w:rsidR="00CC0A23" w:rsidRPr="001A5251" w:rsidRDefault="00CC0A23" w:rsidP="00524440">
            <w:pPr>
              <w:spacing w:line="360" w:lineRule="auto"/>
              <w:rPr>
                <w:rFonts w:cs="Times New Roman"/>
                <w:sz w:val="24"/>
                <w:szCs w:val="24"/>
              </w:rPr>
            </w:pPr>
            <w:r w:rsidRPr="001A5251">
              <w:t>Τηλεθέρμανση</w:t>
            </w:r>
          </w:p>
        </w:tc>
        <w:tc>
          <w:tcPr>
            <w:tcW w:w="659" w:type="dxa"/>
            <w:tcBorders>
              <w:top w:val="dotted" w:sz="4" w:space="0" w:color="AEAEAD"/>
              <w:left w:val="single" w:sz="2" w:space="0" w:color="E5E4E4"/>
              <w:bottom w:val="dotted" w:sz="4" w:space="0" w:color="AEAEAD"/>
              <w:right w:val="nil"/>
            </w:tcBorders>
          </w:tcPr>
          <w:p w14:paraId="4B4BC3DC" w14:textId="77777777" w:rsidR="00CC0A23" w:rsidRPr="001A5251" w:rsidRDefault="00CC0A23" w:rsidP="00524440">
            <w:pPr>
              <w:spacing w:line="360" w:lineRule="auto"/>
              <w:rPr>
                <w:rFonts w:cs="Times New Roman"/>
                <w:sz w:val="24"/>
                <w:szCs w:val="24"/>
                <w:lang w:val="en-US"/>
              </w:rPr>
            </w:pPr>
            <w:r w:rsidRPr="001A5251">
              <w:t>0,5</w:t>
            </w:r>
            <w:r w:rsidR="00B71945" w:rsidRPr="001A5251">
              <w:rPr>
                <w:lang w:val="en-US"/>
              </w:rPr>
              <w:t>%</w:t>
            </w:r>
          </w:p>
        </w:tc>
      </w:tr>
      <w:tr w:rsidR="00CC0A23" w:rsidRPr="001A5251" w14:paraId="2655C988" w14:textId="77777777">
        <w:trPr>
          <w:trHeight w:hRule="exact" w:val="357"/>
        </w:trPr>
        <w:tc>
          <w:tcPr>
            <w:tcW w:w="3800" w:type="dxa"/>
            <w:tcBorders>
              <w:top w:val="dotted" w:sz="4" w:space="0" w:color="AEAEAD"/>
              <w:left w:val="nil"/>
              <w:bottom w:val="dotted" w:sz="4" w:space="0" w:color="AEAEAD"/>
              <w:right w:val="single" w:sz="2" w:space="0" w:color="E5E4E4"/>
            </w:tcBorders>
            <w:shd w:val="clear" w:color="auto" w:fill="BBC2DC"/>
          </w:tcPr>
          <w:p w14:paraId="51F4B643" w14:textId="77777777" w:rsidR="00CC0A23" w:rsidRPr="001A5251" w:rsidRDefault="00CC0A23" w:rsidP="00524440">
            <w:pPr>
              <w:spacing w:line="360" w:lineRule="auto"/>
              <w:rPr>
                <w:rFonts w:cs="Times New Roman"/>
                <w:sz w:val="24"/>
                <w:szCs w:val="24"/>
              </w:rPr>
            </w:pPr>
            <w:r w:rsidRPr="001A5251">
              <w:t>Κηροζίνη</w:t>
            </w:r>
          </w:p>
        </w:tc>
        <w:tc>
          <w:tcPr>
            <w:tcW w:w="659" w:type="dxa"/>
            <w:tcBorders>
              <w:top w:val="dotted" w:sz="4" w:space="0" w:color="AEAEAD"/>
              <w:left w:val="single" w:sz="2" w:space="0" w:color="E5E4E4"/>
              <w:bottom w:val="dotted" w:sz="4" w:space="0" w:color="AEAEAD"/>
              <w:right w:val="nil"/>
            </w:tcBorders>
            <w:shd w:val="clear" w:color="auto" w:fill="BBC2DC"/>
          </w:tcPr>
          <w:p w14:paraId="34010627" w14:textId="77777777" w:rsidR="00CC0A23" w:rsidRPr="001A5251" w:rsidRDefault="00CC0A23" w:rsidP="00524440">
            <w:pPr>
              <w:spacing w:line="360" w:lineRule="auto"/>
              <w:rPr>
                <w:rFonts w:cs="Times New Roman"/>
                <w:sz w:val="24"/>
                <w:szCs w:val="24"/>
                <w:lang w:val="en-US"/>
              </w:rPr>
            </w:pPr>
            <w:r w:rsidRPr="001A5251">
              <w:t>0,3</w:t>
            </w:r>
            <w:r w:rsidR="00B71945" w:rsidRPr="001A5251">
              <w:rPr>
                <w:lang w:val="en-US"/>
              </w:rPr>
              <w:t>%</w:t>
            </w:r>
          </w:p>
        </w:tc>
      </w:tr>
      <w:tr w:rsidR="00CC0A23" w:rsidRPr="001A5251" w14:paraId="09142ED0" w14:textId="77777777">
        <w:trPr>
          <w:trHeight w:hRule="exact" w:val="357"/>
        </w:trPr>
        <w:tc>
          <w:tcPr>
            <w:tcW w:w="3800" w:type="dxa"/>
            <w:tcBorders>
              <w:top w:val="dotted" w:sz="4" w:space="0" w:color="AEAEAD"/>
              <w:left w:val="nil"/>
              <w:bottom w:val="dotted" w:sz="4" w:space="0" w:color="AEAEAD"/>
              <w:right w:val="single" w:sz="2" w:space="0" w:color="E5E4E4"/>
            </w:tcBorders>
          </w:tcPr>
          <w:p w14:paraId="44212532" w14:textId="77777777" w:rsidR="00CC0A23" w:rsidRPr="001A5251" w:rsidRDefault="00CC0A23" w:rsidP="00524440">
            <w:pPr>
              <w:spacing w:line="360" w:lineRule="auto"/>
              <w:rPr>
                <w:rFonts w:cs="Times New Roman"/>
                <w:sz w:val="24"/>
                <w:szCs w:val="24"/>
              </w:rPr>
            </w:pPr>
            <w:r w:rsidRPr="001A5251">
              <w:t>Πυρήνας</w:t>
            </w:r>
          </w:p>
        </w:tc>
        <w:tc>
          <w:tcPr>
            <w:tcW w:w="659" w:type="dxa"/>
            <w:tcBorders>
              <w:top w:val="dotted" w:sz="4" w:space="0" w:color="AEAEAD"/>
              <w:left w:val="single" w:sz="2" w:space="0" w:color="E5E4E4"/>
              <w:bottom w:val="dotted" w:sz="4" w:space="0" w:color="AEAEAD"/>
              <w:right w:val="nil"/>
            </w:tcBorders>
          </w:tcPr>
          <w:p w14:paraId="469CD13F" w14:textId="77777777" w:rsidR="00CC0A23" w:rsidRPr="001A5251" w:rsidRDefault="00CC0A23" w:rsidP="00524440">
            <w:pPr>
              <w:spacing w:line="360" w:lineRule="auto"/>
              <w:rPr>
                <w:rFonts w:cs="Times New Roman"/>
                <w:sz w:val="24"/>
                <w:szCs w:val="24"/>
                <w:lang w:val="en-US"/>
              </w:rPr>
            </w:pPr>
            <w:r w:rsidRPr="001A5251">
              <w:t>0,3</w:t>
            </w:r>
            <w:r w:rsidR="00B71945" w:rsidRPr="001A5251">
              <w:rPr>
                <w:lang w:val="en-US"/>
              </w:rPr>
              <w:t>%</w:t>
            </w:r>
          </w:p>
        </w:tc>
      </w:tr>
      <w:tr w:rsidR="00CC0A23" w:rsidRPr="001A5251" w14:paraId="6CF05A1A" w14:textId="77777777">
        <w:trPr>
          <w:trHeight w:hRule="exact" w:val="357"/>
        </w:trPr>
        <w:tc>
          <w:tcPr>
            <w:tcW w:w="3800" w:type="dxa"/>
            <w:tcBorders>
              <w:top w:val="dotted" w:sz="4" w:space="0" w:color="AEAEAD"/>
              <w:left w:val="nil"/>
              <w:bottom w:val="dotted" w:sz="4" w:space="0" w:color="AEAEAD"/>
              <w:right w:val="single" w:sz="2" w:space="0" w:color="E5E4E4"/>
            </w:tcBorders>
            <w:shd w:val="clear" w:color="auto" w:fill="BBC2DC"/>
          </w:tcPr>
          <w:p w14:paraId="66549BA1" w14:textId="77777777" w:rsidR="00CC0A23" w:rsidRPr="001A5251" w:rsidRDefault="00CC0A23" w:rsidP="00524440">
            <w:pPr>
              <w:spacing w:line="360" w:lineRule="auto"/>
              <w:rPr>
                <w:rFonts w:cs="Times New Roman"/>
                <w:sz w:val="24"/>
                <w:szCs w:val="24"/>
              </w:rPr>
            </w:pPr>
            <w:r w:rsidRPr="001A5251">
              <w:t>Υγραέριο</w:t>
            </w:r>
          </w:p>
        </w:tc>
        <w:tc>
          <w:tcPr>
            <w:tcW w:w="659" w:type="dxa"/>
            <w:tcBorders>
              <w:top w:val="dotted" w:sz="4" w:space="0" w:color="AEAEAD"/>
              <w:left w:val="single" w:sz="2" w:space="0" w:color="E5E4E4"/>
              <w:bottom w:val="dotted" w:sz="4" w:space="0" w:color="AEAEAD"/>
              <w:right w:val="nil"/>
            </w:tcBorders>
            <w:shd w:val="clear" w:color="auto" w:fill="BBC2DC"/>
          </w:tcPr>
          <w:p w14:paraId="56E366EC" w14:textId="77777777" w:rsidR="00CC0A23" w:rsidRPr="001A5251" w:rsidRDefault="00CC0A23" w:rsidP="00524440">
            <w:pPr>
              <w:spacing w:line="360" w:lineRule="auto"/>
              <w:rPr>
                <w:rFonts w:cs="Times New Roman"/>
                <w:sz w:val="24"/>
                <w:szCs w:val="24"/>
                <w:lang w:val="en-US"/>
              </w:rPr>
            </w:pPr>
            <w:r w:rsidRPr="001A5251">
              <w:t>1,8</w:t>
            </w:r>
            <w:r w:rsidR="00B71945" w:rsidRPr="001A5251">
              <w:rPr>
                <w:lang w:val="en-US"/>
              </w:rPr>
              <w:t>%</w:t>
            </w:r>
          </w:p>
        </w:tc>
      </w:tr>
      <w:tr w:rsidR="00CC0A23" w:rsidRPr="001A5251" w14:paraId="71104707" w14:textId="77777777">
        <w:trPr>
          <w:trHeight w:hRule="exact" w:val="357"/>
        </w:trPr>
        <w:tc>
          <w:tcPr>
            <w:tcW w:w="3800" w:type="dxa"/>
            <w:tcBorders>
              <w:top w:val="dotted" w:sz="4" w:space="0" w:color="AEAEAD"/>
              <w:left w:val="nil"/>
              <w:bottom w:val="dotted" w:sz="4" w:space="0" w:color="AEAEAD"/>
              <w:right w:val="single" w:sz="2" w:space="0" w:color="E5E4E4"/>
            </w:tcBorders>
          </w:tcPr>
          <w:p w14:paraId="5BBD86A3" w14:textId="77777777" w:rsidR="00CC0A23" w:rsidRPr="001A5251" w:rsidRDefault="00CC0A23" w:rsidP="00524440">
            <w:pPr>
              <w:spacing w:line="360" w:lineRule="auto"/>
              <w:rPr>
                <w:rFonts w:cs="Times New Roman"/>
                <w:sz w:val="24"/>
                <w:szCs w:val="24"/>
              </w:rPr>
            </w:pPr>
            <w:r w:rsidRPr="001A5251">
              <w:t>Καυσόξυλα</w:t>
            </w:r>
          </w:p>
        </w:tc>
        <w:tc>
          <w:tcPr>
            <w:tcW w:w="659" w:type="dxa"/>
            <w:tcBorders>
              <w:top w:val="dotted" w:sz="4" w:space="0" w:color="AEAEAD"/>
              <w:left w:val="single" w:sz="2" w:space="0" w:color="E5E4E4"/>
              <w:bottom w:val="dotted" w:sz="4" w:space="0" w:color="AEAEAD"/>
              <w:right w:val="nil"/>
            </w:tcBorders>
          </w:tcPr>
          <w:p w14:paraId="10E30A56" w14:textId="77777777" w:rsidR="00CC0A23" w:rsidRPr="001A5251" w:rsidRDefault="00CC0A23" w:rsidP="00524440">
            <w:pPr>
              <w:spacing w:line="360" w:lineRule="auto"/>
              <w:rPr>
                <w:rFonts w:cs="Times New Roman"/>
                <w:sz w:val="24"/>
                <w:szCs w:val="24"/>
                <w:lang w:val="en-US"/>
              </w:rPr>
            </w:pPr>
            <w:r w:rsidRPr="001A5251">
              <w:t>17,4</w:t>
            </w:r>
            <w:r w:rsidR="00B71945" w:rsidRPr="001A5251">
              <w:rPr>
                <w:lang w:val="en-US"/>
              </w:rPr>
              <w:t>%</w:t>
            </w:r>
          </w:p>
        </w:tc>
      </w:tr>
      <w:tr w:rsidR="00CC0A23" w:rsidRPr="001A5251" w14:paraId="0D68CDCC" w14:textId="77777777">
        <w:trPr>
          <w:trHeight w:hRule="exact" w:val="357"/>
        </w:trPr>
        <w:tc>
          <w:tcPr>
            <w:tcW w:w="3800" w:type="dxa"/>
            <w:tcBorders>
              <w:top w:val="dotted" w:sz="4" w:space="0" w:color="AEAEAD"/>
              <w:left w:val="nil"/>
              <w:bottom w:val="dotted" w:sz="4" w:space="0" w:color="AEAEAD"/>
              <w:right w:val="single" w:sz="2" w:space="0" w:color="E5E4E4"/>
            </w:tcBorders>
            <w:shd w:val="clear" w:color="auto" w:fill="BBC2DC"/>
          </w:tcPr>
          <w:p w14:paraId="1881C3D1" w14:textId="77777777" w:rsidR="00CC0A23" w:rsidRPr="001A5251" w:rsidRDefault="00B71945" w:rsidP="00524440">
            <w:pPr>
              <w:spacing w:line="360" w:lineRule="auto"/>
              <w:rPr>
                <w:rFonts w:cs="Times New Roman"/>
                <w:sz w:val="24"/>
                <w:szCs w:val="24"/>
              </w:rPr>
            </w:pPr>
            <w:r w:rsidRPr="001A5251">
              <w:rPr>
                <w:lang w:val="en-US"/>
              </w:rPr>
              <w:t>Pellets</w:t>
            </w:r>
            <w:r w:rsidR="00CC0A23" w:rsidRPr="001A5251">
              <w:t xml:space="preserve"> (Συσσωματώματα ξύλου)</w:t>
            </w:r>
          </w:p>
        </w:tc>
        <w:tc>
          <w:tcPr>
            <w:tcW w:w="659" w:type="dxa"/>
            <w:tcBorders>
              <w:top w:val="dotted" w:sz="4" w:space="0" w:color="AEAEAD"/>
              <w:left w:val="single" w:sz="2" w:space="0" w:color="E5E4E4"/>
              <w:bottom w:val="dotted" w:sz="4" w:space="0" w:color="AEAEAD"/>
              <w:right w:val="nil"/>
            </w:tcBorders>
            <w:shd w:val="clear" w:color="auto" w:fill="BBC2DC"/>
          </w:tcPr>
          <w:p w14:paraId="4541EE89" w14:textId="77777777" w:rsidR="00CC0A23" w:rsidRPr="001A5251" w:rsidRDefault="00CC0A23" w:rsidP="00524440">
            <w:pPr>
              <w:spacing w:line="360" w:lineRule="auto"/>
              <w:rPr>
                <w:rFonts w:cs="Times New Roman"/>
                <w:sz w:val="24"/>
                <w:szCs w:val="24"/>
                <w:lang w:val="en-US"/>
              </w:rPr>
            </w:pPr>
            <w:r w:rsidRPr="001A5251">
              <w:t>0,5</w:t>
            </w:r>
            <w:r w:rsidR="00B71945" w:rsidRPr="001A5251">
              <w:rPr>
                <w:lang w:val="en-US"/>
              </w:rPr>
              <w:t>%</w:t>
            </w:r>
          </w:p>
        </w:tc>
      </w:tr>
      <w:tr w:rsidR="00CC0A23" w:rsidRPr="001A5251" w14:paraId="57324715" w14:textId="77777777">
        <w:trPr>
          <w:trHeight w:hRule="exact" w:val="357"/>
        </w:trPr>
        <w:tc>
          <w:tcPr>
            <w:tcW w:w="3800" w:type="dxa"/>
            <w:tcBorders>
              <w:top w:val="dotted" w:sz="4" w:space="0" w:color="AEAEAD"/>
              <w:left w:val="nil"/>
              <w:bottom w:val="dotted" w:sz="4" w:space="0" w:color="AEAEAD"/>
              <w:right w:val="single" w:sz="2" w:space="0" w:color="E5E4E4"/>
            </w:tcBorders>
          </w:tcPr>
          <w:p w14:paraId="08ABBE4A" w14:textId="77777777" w:rsidR="00CC0A23" w:rsidRPr="001A5251" w:rsidRDefault="00CC0A23" w:rsidP="00524440">
            <w:pPr>
              <w:spacing w:line="360" w:lineRule="auto"/>
              <w:rPr>
                <w:rFonts w:cs="Times New Roman"/>
                <w:sz w:val="24"/>
                <w:szCs w:val="24"/>
              </w:rPr>
            </w:pPr>
            <w:r w:rsidRPr="001A5251">
              <w:rPr>
                <w:w w:val="95"/>
              </w:rPr>
              <w:t>Θερμική Ενέργεια (από Θερμικά Ηλιακά Συστήματα)</w:t>
            </w:r>
          </w:p>
        </w:tc>
        <w:tc>
          <w:tcPr>
            <w:tcW w:w="659" w:type="dxa"/>
            <w:tcBorders>
              <w:top w:val="dotted" w:sz="4" w:space="0" w:color="AEAEAD"/>
              <w:left w:val="single" w:sz="2" w:space="0" w:color="E5E4E4"/>
              <w:bottom w:val="dotted" w:sz="4" w:space="0" w:color="AEAEAD"/>
              <w:right w:val="nil"/>
            </w:tcBorders>
          </w:tcPr>
          <w:p w14:paraId="3FAFD2AF" w14:textId="77777777" w:rsidR="00CC0A23" w:rsidRPr="001A5251" w:rsidRDefault="00CC0A23" w:rsidP="00524440">
            <w:pPr>
              <w:spacing w:line="360" w:lineRule="auto"/>
              <w:rPr>
                <w:rFonts w:cs="Times New Roman"/>
                <w:sz w:val="24"/>
                <w:szCs w:val="24"/>
                <w:lang w:val="en-US"/>
              </w:rPr>
            </w:pPr>
            <w:r w:rsidRPr="001A5251">
              <w:t>2,9</w:t>
            </w:r>
            <w:r w:rsidR="00B71945" w:rsidRPr="001A5251">
              <w:rPr>
                <w:lang w:val="en-US"/>
              </w:rPr>
              <w:t>%</w:t>
            </w:r>
          </w:p>
        </w:tc>
      </w:tr>
      <w:tr w:rsidR="00CC0A23" w:rsidRPr="001A5251" w14:paraId="02AC8240" w14:textId="77777777">
        <w:trPr>
          <w:trHeight w:hRule="exact" w:val="357"/>
        </w:trPr>
        <w:tc>
          <w:tcPr>
            <w:tcW w:w="3800" w:type="dxa"/>
            <w:tcBorders>
              <w:top w:val="dotted" w:sz="4" w:space="0" w:color="AEAEAD"/>
              <w:left w:val="nil"/>
              <w:bottom w:val="dotted" w:sz="4" w:space="0" w:color="AEAEAD"/>
              <w:right w:val="single" w:sz="2" w:space="0" w:color="E5E4E4"/>
            </w:tcBorders>
            <w:shd w:val="clear" w:color="auto" w:fill="BBC2DC"/>
          </w:tcPr>
          <w:p w14:paraId="3EDDE3B8" w14:textId="77777777" w:rsidR="00CC0A23" w:rsidRPr="001A5251" w:rsidRDefault="00CC0A23" w:rsidP="00524440">
            <w:pPr>
              <w:spacing w:line="360" w:lineRule="auto"/>
              <w:rPr>
                <w:rFonts w:cs="Times New Roman"/>
                <w:sz w:val="24"/>
                <w:szCs w:val="24"/>
              </w:rPr>
            </w:pPr>
            <w:r w:rsidRPr="001A5251">
              <w:t>Ηλεκτρισμός</w:t>
            </w:r>
          </w:p>
        </w:tc>
        <w:tc>
          <w:tcPr>
            <w:tcW w:w="659" w:type="dxa"/>
            <w:tcBorders>
              <w:top w:val="dotted" w:sz="4" w:space="0" w:color="AEAEAD"/>
              <w:left w:val="single" w:sz="2" w:space="0" w:color="E5E4E4"/>
              <w:bottom w:val="dotted" w:sz="4" w:space="0" w:color="AEAEAD"/>
              <w:right w:val="nil"/>
            </w:tcBorders>
            <w:shd w:val="clear" w:color="auto" w:fill="BBC2DC"/>
          </w:tcPr>
          <w:p w14:paraId="6175E3AE" w14:textId="77777777" w:rsidR="00CC0A23" w:rsidRPr="001A5251" w:rsidRDefault="00CC0A23" w:rsidP="00524440">
            <w:pPr>
              <w:spacing w:line="360" w:lineRule="auto"/>
              <w:rPr>
                <w:rFonts w:cs="Times New Roman"/>
                <w:sz w:val="24"/>
                <w:szCs w:val="24"/>
                <w:lang w:val="en-US"/>
              </w:rPr>
            </w:pPr>
            <w:r w:rsidRPr="001A5251">
              <w:t>26,8</w:t>
            </w:r>
            <w:r w:rsidR="00B71945" w:rsidRPr="001A5251">
              <w:rPr>
                <w:lang w:val="en-US"/>
              </w:rPr>
              <w:t>%</w:t>
            </w:r>
          </w:p>
        </w:tc>
      </w:tr>
      <w:tr w:rsidR="00CC0A23" w:rsidRPr="001A5251" w14:paraId="558EB092" w14:textId="77777777">
        <w:trPr>
          <w:trHeight w:hRule="exact" w:val="357"/>
        </w:trPr>
        <w:tc>
          <w:tcPr>
            <w:tcW w:w="3800" w:type="dxa"/>
            <w:tcBorders>
              <w:top w:val="dotted" w:sz="4" w:space="0" w:color="AEAEAD"/>
              <w:left w:val="nil"/>
              <w:bottom w:val="nil"/>
              <w:right w:val="single" w:sz="2" w:space="0" w:color="E5E4E4"/>
            </w:tcBorders>
          </w:tcPr>
          <w:p w14:paraId="2F0D8447" w14:textId="77777777" w:rsidR="00CC0A23" w:rsidRPr="001A5251" w:rsidRDefault="00CC0A23" w:rsidP="00524440">
            <w:pPr>
              <w:spacing w:line="360" w:lineRule="auto"/>
              <w:rPr>
                <w:rFonts w:cs="Times New Roman"/>
                <w:sz w:val="24"/>
                <w:szCs w:val="24"/>
              </w:rPr>
            </w:pPr>
            <w:r w:rsidRPr="001A5251">
              <w:t>Σύνολο</w:t>
            </w:r>
          </w:p>
        </w:tc>
        <w:tc>
          <w:tcPr>
            <w:tcW w:w="659" w:type="dxa"/>
            <w:tcBorders>
              <w:top w:val="dotted" w:sz="4" w:space="0" w:color="AEAEAD"/>
              <w:left w:val="single" w:sz="2" w:space="0" w:color="E5E4E4"/>
              <w:bottom w:val="nil"/>
              <w:right w:val="nil"/>
            </w:tcBorders>
          </w:tcPr>
          <w:p w14:paraId="34986605" w14:textId="77777777" w:rsidR="00CC0A23" w:rsidRPr="001A5251" w:rsidRDefault="00CC0A23" w:rsidP="00524440">
            <w:pPr>
              <w:spacing w:line="360" w:lineRule="auto"/>
              <w:rPr>
                <w:rFonts w:cs="Times New Roman"/>
                <w:sz w:val="24"/>
                <w:szCs w:val="24"/>
                <w:lang w:val="en-US"/>
              </w:rPr>
            </w:pPr>
            <w:r w:rsidRPr="001A5251">
              <w:t>100,0</w:t>
            </w:r>
            <w:r w:rsidR="00B71945" w:rsidRPr="001A5251">
              <w:rPr>
                <w:lang w:val="en-US"/>
              </w:rPr>
              <w:t>%</w:t>
            </w:r>
          </w:p>
        </w:tc>
      </w:tr>
    </w:tbl>
    <w:p w14:paraId="5E18BA50" w14:textId="77777777" w:rsidR="00CC0A23" w:rsidRPr="00791808" w:rsidRDefault="00CC0A23" w:rsidP="00524440">
      <w:pPr>
        <w:pStyle w:val="af6"/>
        <w:spacing w:line="360" w:lineRule="auto"/>
      </w:pPr>
      <w:r w:rsidRPr="00791808">
        <w:t>Ποσοστιαία κατανομή της συνολικής κατανάλωσης ενέργειας των νοικοκυριών κατά τύπο χρησιμοποιούμενου καυσίμου</w:t>
      </w:r>
      <w:r w:rsidR="009F7904" w:rsidRPr="00791808">
        <w:rPr>
          <w:rStyle w:val="ac"/>
          <w:color w:val="424241"/>
        </w:rPr>
        <w:footnoteReference w:id="12"/>
      </w:r>
      <w:r w:rsidR="009F7904" w:rsidRPr="00791808">
        <w:t>.</w:t>
      </w:r>
    </w:p>
    <w:p w14:paraId="75B070C4" w14:textId="77777777" w:rsidR="00FB1ED9" w:rsidRPr="001A5251" w:rsidRDefault="00FB1ED9" w:rsidP="00FA5CD9">
      <w:pPr>
        <w:pStyle w:val="3"/>
      </w:pPr>
      <w:bookmarkStart w:id="30" w:name="_Toc36639208"/>
      <w:r w:rsidRPr="001A5251">
        <w:t>Ανεπάρκεια στο συντονισμό - Απόκλιση κινήτρων</w:t>
      </w:r>
      <w:bookmarkEnd w:id="30"/>
    </w:p>
    <w:p w14:paraId="0CE30A04" w14:textId="77777777" w:rsidR="00FB1ED9" w:rsidRPr="001A5251" w:rsidRDefault="00FB1ED9" w:rsidP="00524440">
      <w:pPr>
        <w:spacing w:line="360" w:lineRule="auto"/>
      </w:pPr>
      <w:r w:rsidRPr="001A5251">
        <w:t xml:space="preserve">Μια επιπλέον αστοχία της αγοράς στον τομέα της ενεργειακής απόδοσης των </w:t>
      </w:r>
      <w:r w:rsidR="00971D9A">
        <w:t>κτιρί</w:t>
      </w:r>
      <w:r w:rsidRPr="001A5251">
        <w:t xml:space="preserve">ων, αποτελεί το γεγονός ότι σε πολλές περιπτώσεις το άτομο που αποφασίζει (και αναλαμβάνει το αντίστοιχο κόστος) για το επίπεδο ενεργειακής απόδοσης ενός </w:t>
      </w:r>
      <w:r w:rsidR="00971D9A">
        <w:t>κτιρί</w:t>
      </w:r>
      <w:r w:rsidRPr="001A5251">
        <w:t>ου δεν συμπίπτει με το άτομο που αναλαμβάνει το κόστος της καταναλισκόμενης ενέργειας εντός αυτού.</w:t>
      </w:r>
    </w:p>
    <w:p w14:paraId="7D03E3D6" w14:textId="77777777" w:rsidR="00FB1ED9" w:rsidRPr="001A5251" w:rsidRDefault="00FB1ED9" w:rsidP="00524440">
      <w:pPr>
        <w:spacing w:line="360" w:lineRule="auto"/>
      </w:pPr>
      <w:r w:rsidRPr="001A5251">
        <w:t xml:space="preserve">Παραδείγματα τέτοιων αστοχιών συνιστούν κυρίως οι περιπτώσεις μίσθωσης </w:t>
      </w:r>
      <w:r w:rsidR="00971D9A">
        <w:t>κτιρί</w:t>
      </w:r>
      <w:r w:rsidRPr="001A5251">
        <w:t xml:space="preserve">ων, όπου το κόστος της ενεργειακής τους αναβάθμισης βαραίνει τον ιδιοκτήτη ενώ το όφελος από την εξοικονόμηση ενέργειας αποδίδεται στο μισθωτή. Το υψηλό ποσοστό ιδιοκατοίκησης - ιδιόχρησης στη χώρα μας έναντι της μίσθωσης περιορίζει σε σημαντικό βαθμό τις αρνητικές επιπτώσεις που επιφέρει η εν λόγω αστοχία της αγοράς, η οποία ωστόσο οφείλεται να αναγνωρισθεί στο πλαίσιο σχεδιασμού ενός νέου </w:t>
      </w:r>
      <w:r w:rsidR="005E65CC">
        <w:t>Χρηματοοικονομικού Εργαλείου (FI)</w:t>
      </w:r>
      <w:r w:rsidRPr="001A5251">
        <w:t xml:space="preserve"> στον ευρύτερο τομέα της εξοικονόμησης ενέργειας.</w:t>
      </w:r>
    </w:p>
    <w:p w14:paraId="19488547" w14:textId="77777777" w:rsidR="00FB1ED9" w:rsidRPr="001A5251" w:rsidRDefault="00FB1ED9" w:rsidP="00524440">
      <w:pPr>
        <w:spacing w:line="360" w:lineRule="auto"/>
      </w:pPr>
      <w:r w:rsidRPr="001A5251">
        <w:t xml:space="preserve">Η εν λόγω αστοχία δύναται να διορθωθεί με τη </w:t>
      </w:r>
      <w:proofErr w:type="spellStart"/>
      <w:r w:rsidRPr="001A5251">
        <w:t>μετακύλιση</w:t>
      </w:r>
      <w:proofErr w:type="spellEnd"/>
      <w:r w:rsidRPr="001A5251">
        <w:t xml:space="preserve"> του κόστους ενεργειακής αναβάθμισης στο μισθωτή (μέσω της διαχρονικής ενσωμάτωσης του στο μίσθωμα) ως ανταπόδοση του </w:t>
      </w:r>
      <w:r w:rsidRPr="001A5251">
        <w:lastRenderedPageBreak/>
        <w:t>περιορισμένου κόστους κατανάλωσης ενέργειας. Δεδομένου ωστόσο ότι η εν λόγω ανταπόδοση</w:t>
      </w:r>
      <w:r w:rsidR="009C1B02" w:rsidRPr="001A5251">
        <w:t xml:space="preserve"> </w:t>
      </w:r>
      <w:r w:rsidRPr="001A5251">
        <w:t>λαμβάνει χώρα σε βάθος χρόνου, γίνεται αντιληπτό ότι η επίτευξη αντίστοιχων συμφωνιών μπορεί δύσκολα να πραγματοποιηθεί σε περιπτώσεις μίσθωσης κατοικιών μικρής διάρκειας.</w:t>
      </w:r>
    </w:p>
    <w:p w14:paraId="0E2DA413" w14:textId="77777777" w:rsidR="00FB1ED9" w:rsidRPr="001A5251" w:rsidRDefault="00FB1ED9" w:rsidP="00524440">
      <w:pPr>
        <w:spacing w:line="360" w:lineRule="auto"/>
      </w:pPr>
      <w:r w:rsidRPr="001A5251">
        <w:t xml:space="preserve">Αντίστοιχες αστοχίες παρατηρούνται και στις περιπτώσεις που ο κατασκευαστής δεν συμπίπτει με τον ιδιοκτήτη του </w:t>
      </w:r>
      <w:r w:rsidR="00971D9A">
        <w:t>κτιρί</w:t>
      </w:r>
      <w:r w:rsidRPr="001A5251">
        <w:t xml:space="preserve">ου, παρά το γεγονός ότι δυνητικά το κόστος για την εξασφάλιση του επιθυμητού επιπέδου ενεργειακής απόδοσης ενσωματώνεται πιο αποτελεσματικά στην τιμή πώλησης του ακινήτου. Σημαντικό παράγοντα σε αυτή την αστοχία αποτελεί το γεγονός της περιορισμένης ζήτησης στη χώρα μας ενεργειακά αποδοτικών </w:t>
      </w:r>
      <w:r w:rsidR="00971D9A">
        <w:t>κτιρί</w:t>
      </w:r>
      <w:r w:rsidRPr="001A5251">
        <w:t xml:space="preserve">ων, με αποτέλεσμα η ενσωμάτωση του αντίστοιχου κόστους στην τιμή πώλησης να πλήττει την ανταγωνιστικότητα τους έναντι των λοιπών </w:t>
      </w:r>
      <w:r w:rsidR="00971D9A">
        <w:t>κτιρί</w:t>
      </w:r>
      <w:r w:rsidRPr="001A5251">
        <w:t>ων.</w:t>
      </w:r>
    </w:p>
    <w:p w14:paraId="07FC37FC" w14:textId="77777777" w:rsidR="00FB1ED9" w:rsidRPr="001A5251" w:rsidRDefault="00FB1ED9" w:rsidP="00FA5CD9">
      <w:pPr>
        <w:pStyle w:val="3"/>
      </w:pPr>
      <w:bookmarkStart w:id="31" w:name="_Toc36639209"/>
      <w:r w:rsidRPr="001A5251">
        <w:t>Περιορισμένη πρόσβαση σε πηγές χρηματοδότησης</w:t>
      </w:r>
      <w:r w:rsidR="006B046A" w:rsidRPr="001A5251">
        <w:t>.</w:t>
      </w:r>
      <w:bookmarkEnd w:id="31"/>
    </w:p>
    <w:p w14:paraId="71FC722B" w14:textId="77777777" w:rsidR="00FB1ED9" w:rsidRPr="001A5251" w:rsidRDefault="00FB1ED9" w:rsidP="00524440">
      <w:pPr>
        <w:spacing w:line="360" w:lineRule="auto"/>
      </w:pPr>
      <w:r w:rsidRPr="001A5251">
        <w:t>Παραδοσιακά, το πλέον κοινό εργαλείο χρηματοδότησης των δραστηριοτήτων των νοικοκυριών στον τομέα της εξοικονόμησης ενέργειας, αποτέλεσε ο τραπεζικός δανεισμός.</w:t>
      </w:r>
    </w:p>
    <w:p w14:paraId="7CB4E197" w14:textId="77777777" w:rsidR="00FB1ED9" w:rsidRPr="001A5251" w:rsidRDefault="00FB1ED9" w:rsidP="00524440">
      <w:pPr>
        <w:spacing w:line="360" w:lineRule="auto"/>
      </w:pPr>
      <w:r w:rsidRPr="001A5251">
        <w:t>Ωστόσο, η επέκταση των επιπτώσεων της οικονομικής κρίσης στο χρηματοπιστωτικό σύστημα και η μείωση του ρυθμού πιστωτικής επέκτασης που επέβαλε στο πλαίσιο προστασίας του έναντι του συνεχώς αυξανόμενου πιστωτικού κινδύνου, έχει δυσχεράνει σημαντικά την πρόσβαση των νοικοκυριών σε δανειακά κεφάλαια για την χρηματοδότηση σχετικών παρεμβάσεων.</w:t>
      </w:r>
    </w:p>
    <w:p w14:paraId="423F555E" w14:textId="77777777" w:rsidR="009C1B02" w:rsidRPr="001A5251" w:rsidRDefault="00766635" w:rsidP="00524440">
      <w:pPr>
        <w:spacing w:line="360" w:lineRule="auto"/>
      </w:pPr>
      <w:r w:rsidRPr="001A5251">
        <w:t xml:space="preserve"> </w:t>
      </w:r>
    </w:p>
    <w:p w14:paraId="12BAC633" w14:textId="77777777" w:rsidR="009C1B02" w:rsidRPr="001A5251" w:rsidRDefault="00791808" w:rsidP="00D26E1F">
      <w:pPr>
        <w:pStyle w:val="2"/>
      </w:pPr>
      <w:bookmarkStart w:id="32" w:name="_Toc36639210"/>
      <w:r>
        <w:t>Τεκμηρίωση των αστοχιών της αγοράς</w:t>
      </w:r>
      <w:bookmarkEnd w:id="32"/>
    </w:p>
    <w:p w14:paraId="22525E35" w14:textId="77777777" w:rsidR="009C1B02" w:rsidRPr="001A5251" w:rsidRDefault="009C1B02" w:rsidP="00FA5CD9">
      <w:pPr>
        <w:pStyle w:val="3"/>
      </w:pPr>
      <w:bookmarkStart w:id="33" w:name="_Toc36639211"/>
      <w:r w:rsidRPr="001A5251">
        <w:t>Ανάλυση Ζήτησης</w:t>
      </w:r>
      <w:bookmarkEnd w:id="33"/>
    </w:p>
    <w:p w14:paraId="4CF4DC43" w14:textId="77777777" w:rsidR="009C1B02" w:rsidRDefault="009C1B02" w:rsidP="00524440">
      <w:pPr>
        <w:spacing w:line="360" w:lineRule="auto"/>
      </w:pPr>
      <w:r w:rsidRPr="001A5251">
        <w:t>Για τον προσδιορισμό της ζήτησης εκ μέρους των δυνητικών ωφελούμενων ενισχύσεων στον τομέα της ενεργειακής απόδοσης των κατοικιών, κρίνεται απαραίτητη η αποτύπωση του κτιριακού αποθέματος της χώρας καθώς και των βασικότερων χαρακτηριστικών που επηρεάζουν την ενεργειακή του απόδοση.</w:t>
      </w:r>
    </w:p>
    <w:p w14:paraId="68B2DB57" w14:textId="77777777" w:rsidR="00791808" w:rsidRPr="001A5251" w:rsidRDefault="00791808" w:rsidP="00524440">
      <w:pPr>
        <w:spacing w:line="360" w:lineRule="auto"/>
      </w:pPr>
    </w:p>
    <w:p w14:paraId="3095931D" w14:textId="77777777" w:rsidR="00094A04" w:rsidRPr="00094A04" w:rsidRDefault="00094A04" w:rsidP="00DC12D0">
      <w:pPr>
        <w:pStyle w:val="4"/>
      </w:pPr>
      <w:r w:rsidRPr="00094A04">
        <w:t>Πλήθος κτιρίων</w:t>
      </w:r>
    </w:p>
    <w:p w14:paraId="753998B2" w14:textId="77777777" w:rsidR="00766635" w:rsidRPr="001A5251" w:rsidRDefault="009C1B02" w:rsidP="00524440">
      <w:pPr>
        <w:spacing w:line="360" w:lineRule="auto"/>
      </w:pPr>
      <w:r w:rsidRPr="001A5251">
        <w:t xml:space="preserve">Το σύνολο των κτιρίων στη χώρα μας ξεπερνά τα 3,5 εκατομμύρια, με το 78% αυτών να αποτελεί κατοικίες, γεγονός που αναδεικνύει τη σημαντικότητά τους για την επίτευξη των εθνικών στόχων στον τομέα της εξοικονόμησης ενέργειας. Εστιάζοντας στις κατοικίες, προκύπτει ότι το 85% (ήτοι το 66,3% του συνολικού κτιριακού αποθέματος της χώρας) αφορά μονοκατοικίες, ενώ οι </w:t>
      </w:r>
      <w:r w:rsidRPr="001A5251">
        <w:lastRenderedPageBreak/>
        <w:t>πολυκατοικίες αποτελούν μόλις το 15% των κατοικιών (ήτοι το 11,7% του συνολικού κτιριακού αποθέματος).</w:t>
      </w:r>
    </w:p>
    <w:p w14:paraId="3DA3EAB6" w14:textId="77777777" w:rsidR="009C1B02" w:rsidRPr="001A5251" w:rsidRDefault="009C1B02" w:rsidP="00524440">
      <w:pPr>
        <w:spacing w:line="360" w:lineRule="auto"/>
      </w:pPr>
      <w:r w:rsidRPr="001A5251">
        <w:t>Η κατανομή των κατοικιών ανά είδος (πολυκατοικία – μονοκατοικία) συγκρινόμενη με την αντίστοιχη κατανομή των νοικοκυριών που φιλοξενούν, είναι σε θέση να δώσει μια πρώτη εικόνα σχετικά με τη δυναμικότητα των πολυκατοικιών (πλήθος κατοικιών που φιλοξενούν). Στο πλαίσιο αυτό, προκύπτει ότι ενώ για κάθε μία πολυκατοικία αντιστοιχούν περίπου 6 μονοκατοικίες, ο αριθμός των νοικοκυριών που φιλοξενούνται σε πολυκατοικίες είναι σχεδόν αντίστοιχος με τον αριθμό των νοικοκυριών που φιλοξενούνται σε μονοκατοικίες.</w:t>
      </w:r>
    </w:p>
    <w:p w14:paraId="5470204F" w14:textId="77777777" w:rsidR="009C1B02" w:rsidRPr="001A5251" w:rsidRDefault="009C1B02" w:rsidP="00524440">
      <w:pPr>
        <w:spacing w:line="360" w:lineRule="auto"/>
      </w:pPr>
      <w:r w:rsidRPr="001A5251">
        <w:t xml:space="preserve">Στο πλαίσιο αυτό προκύπτει (σύμφωνα και με την τελευταία δημοσιοποιημένη απογραφή που πραγματοποίησε η ΕΛΣΤΑΤ) ότι το σύνολο των -καταγεγραμμένων ως κανονικών- κατοικιών στη χώρα μας ανέρχεται σε 6.348.353, με την πλειοψηφία αυτών να συγκεντρώνεται στην </w:t>
      </w:r>
      <w:r w:rsidR="00E5630E">
        <w:t>Περιφέρ</w:t>
      </w:r>
      <w:r w:rsidRPr="001A5251">
        <w:t>εια Αττικής (33,2%).</w:t>
      </w:r>
    </w:p>
    <w:p w14:paraId="6C944885" w14:textId="77777777" w:rsidR="009C1B02" w:rsidRPr="001A5251" w:rsidRDefault="009C1B02" w:rsidP="00524440">
      <w:pPr>
        <w:spacing w:line="360" w:lineRule="auto"/>
      </w:pPr>
      <w:r w:rsidRPr="001A5251">
        <w:t xml:space="preserve">Ακολουθούν οι κατοικίες της </w:t>
      </w:r>
      <w:r w:rsidR="00E5630E">
        <w:t>Περιφέρ</w:t>
      </w:r>
      <w:r w:rsidRPr="001A5251">
        <w:t xml:space="preserve">ειας Κ. Μακεδονίας, οι οποίες καταλαμβάνουν το 16,9 % του συνόλου, ενώ τα ποσοστά των κατοικιών στις υπόλοιπες </w:t>
      </w:r>
      <w:r w:rsidR="00E5630E">
        <w:t>Περιφέρ</w:t>
      </w:r>
      <w:r w:rsidRPr="001A5251">
        <w:t xml:space="preserve">ειες της χώρας κυμαίνονται από 2,5% </w:t>
      </w:r>
      <w:proofErr w:type="spellStart"/>
      <w:r w:rsidRPr="001A5251">
        <w:t>εως</w:t>
      </w:r>
      <w:proofErr w:type="spellEnd"/>
      <w:r w:rsidRPr="001A5251">
        <w:t xml:space="preserve"> 6,4 %.</w:t>
      </w:r>
    </w:p>
    <w:p w14:paraId="0FAEFDA5" w14:textId="77777777" w:rsidR="003252DE" w:rsidRDefault="009C1B02" w:rsidP="00524440">
      <w:pPr>
        <w:spacing w:line="360" w:lineRule="auto"/>
      </w:pPr>
      <w:r w:rsidRPr="001A5251">
        <w:t>Από τα στοιχεία της ίδιας έρευνας (</w:t>
      </w:r>
      <w:r w:rsidR="003252DE" w:rsidRPr="001A5251">
        <w:t>α</w:t>
      </w:r>
      <w:r w:rsidRPr="001A5251">
        <w:t xml:space="preserve">πογραφή </w:t>
      </w:r>
      <w:r w:rsidR="003252DE" w:rsidRPr="001A5251">
        <w:t xml:space="preserve">ΕΛΣΤΑΤ το </w:t>
      </w:r>
      <w:r w:rsidRPr="001A5251">
        <w:t>2014), αναφορικά με την επιφάνεια των κατοικιών, προκύπτει ότι στην Ελλάδα συναντάμε κατά κύριο λόγο μικρές και μεσαίου μεγέθους κατοικίες, καθώς η πλειοψηφία τους (ποσοστό περίπου 70%) έχει επιφάνεια έως 100τμ, ενώ μόλις το 4% των κατοικιών ξεπερνά τα 150</w:t>
      </w:r>
      <w:r w:rsidR="00766635" w:rsidRPr="001A5251">
        <w:t>τμ</w:t>
      </w:r>
      <w:r w:rsidRPr="001A5251">
        <w:t>.</w:t>
      </w:r>
    </w:p>
    <w:p w14:paraId="47456900" w14:textId="77777777" w:rsidR="00094A04" w:rsidRDefault="00094A04" w:rsidP="00524440">
      <w:pPr>
        <w:spacing w:line="360" w:lineRule="auto"/>
      </w:pPr>
    </w:p>
    <w:p w14:paraId="4CD9F878" w14:textId="77777777" w:rsidR="00791808" w:rsidRPr="001A5251" w:rsidRDefault="00094A04" w:rsidP="00DC12D0">
      <w:pPr>
        <w:pStyle w:val="4"/>
      </w:pPr>
      <w:r>
        <w:t>Οικοδομική δραστηριότητα</w:t>
      </w:r>
    </w:p>
    <w:p w14:paraId="611DFAC5" w14:textId="77777777" w:rsidR="009C1B02" w:rsidRPr="001A5251" w:rsidRDefault="009C1B02" w:rsidP="00524440">
      <w:pPr>
        <w:spacing w:line="360" w:lineRule="auto"/>
      </w:pPr>
      <w:r w:rsidRPr="001A5251">
        <w:t>Αναλυτικότερα, οι κατοικίες επιφάνειας έως 49τμ καταλαμβάνουν το 40% του συνόλου, ενώ ποσοστό 60% μοιράζονται εξίσου οι κατοικίες με επιφάνεια 50-74τμ και 75-99τμ.</w:t>
      </w:r>
    </w:p>
    <w:p w14:paraId="562A35FA" w14:textId="77777777" w:rsidR="003252DE" w:rsidRDefault="009C1B02" w:rsidP="00524440">
      <w:pPr>
        <w:spacing w:line="360" w:lineRule="auto"/>
      </w:pPr>
      <w:r w:rsidRPr="001A5251">
        <w:t>Σύμφωνα με τα στοιχεία της Ελληνικής Στατιστικής Αρχής, το μέγεθος της συνολικής οικοδομικής δραστηριότητας (</w:t>
      </w:r>
      <w:r w:rsidR="00D81939" w:rsidRPr="001A5251">
        <w:t>ι</w:t>
      </w:r>
      <w:r w:rsidRPr="001A5251">
        <w:t>διωτικής</w:t>
      </w:r>
      <w:r w:rsidR="00D81939" w:rsidRPr="001A5251">
        <w:t xml:space="preserve"> και δ</w:t>
      </w:r>
      <w:r w:rsidRPr="001A5251">
        <w:t xml:space="preserve">ημόσιας) στο σύνολο της </w:t>
      </w:r>
      <w:r w:rsidR="00D81939" w:rsidRPr="001A5251">
        <w:t>χ</w:t>
      </w:r>
      <w:r w:rsidRPr="001A5251">
        <w:t xml:space="preserve">ώρας μετρούμενο με βάση τις </w:t>
      </w:r>
      <w:proofErr w:type="spellStart"/>
      <w:r w:rsidRPr="001A5251">
        <w:t>εκδοθείσες</w:t>
      </w:r>
      <w:proofErr w:type="spellEnd"/>
      <w:r w:rsidRPr="001A5251">
        <w:t xml:space="preserve"> οικοδομικές άδειες, σημειώνει συνεχή υποχώρηση από το 2006 και μετά</w:t>
      </w:r>
      <w:r w:rsidR="006C192F">
        <w:t xml:space="preserve"> και μικρή αύξηση από το 2016</w:t>
      </w:r>
      <w:r w:rsidR="00B66B12">
        <w:t>.</w:t>
      </w:r>
    </w:p>
    <w:p w14:paraId="2C658C91" w14:textId="77777777" w:rsidR="00B66B12" w:rsidRDefault="00B66B12" w:rsidP="00B66B12">
      <w:pPr>
        <w:spacing w:line="360" w:lineRule="auto"/>
      </w:pPr>
      <w:r>
        <w:rPr>
          <w:b/>
          <w:bCs/>
        </w:rPr>
        <w:t>Ετήσια Ιδιωτική Οικοδομική Δραστηριότητα (2009 – 2018)</w:t>
      </w:r>
      <w:r>
        <w:rPr>
          <w:rStyle w:val="ac"/>
        </w:rPr>
        <w:footnoteReference w:id="13"/>
      </w:r>
    </w:p>
    <w:p w14:paraId="4ECE5ADC" w14:textId="77777777" w:rsidR="006C192F" w:rsidRDefault="006C192F" w:rsidP="00524440">
      <w:pPr>
        <w:spacing w:line="360" w:lineRule="auto"/>
      </w:pPr>
      <w:r>
        <w:rPr>
          <w:noProof/>
          <w:lang w:eastAsia="el-GR"/>
        </w:rPr>
        <w:lastRenderedPageBreak/>
        <w:drawing>
          <wp:inline distT="0" distB="0" distL="0" distR="0" wp14:anchorId="49924AD1" wp14:editId="0C4D096C">
            <wp:extent cx="5580380" cy="3218180"/>
            <wp:effectExtent l="0" t="0" r="127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0380" cy="3218180"/>
                    </a:xfrm>
                    <a:prstGeom prst="rect">
                      <a:avLst/>
                    </a:prstGeom>
                  </pic:spPr>
                </pic:pic>
              </a:graphicData>
            </a:graphic>
          </wp:inline>
        </w:drawing>
      </w:r>
    </w:p>
    <w:p w14:paraId="5D808F00" w14:textId="77777777" w:rsidR="00D81939" w:rsidRPr="001A5251" w:rsidRDefault="009C1B02" w:rsidP="00524440">
      <w:pPr>
        <w:spacing w:line="360" w:lineRule="auto"/>
      </w:pPr>
      <w:r w:rsidRPr="001A5251">
        <w:t xml:space="preserve">Εστιάζοντας στην </w:t>
      </w:r>
      <w:r w:rsidR="00EB38B3">
        <w:t>Περίοδο</w:t>
      </w:r>
      <w:r w:rsidRPr="001A5251">
        <w:t xml:space="preserve"> περιορισμού της οικοδομικής δραστηριότητας στη χώρα μας, προκύπτει</w:t>
      </w:r>
      <w:r w:rsidR="003252DE" w:rsidRPr="001A5251">
        <w:t xml:space="preserve"> </w:t>
      </w:r>
      <w:r w:rsidRPr="001A5251">
        <w:t>ότι η μεγαλύτερη συρρίκνωση συντελείται την τριετία (2011-2013), με τον αριθμό των</w:t>
      </w:r>
      <w:r w:rsidR="003252DE" w:rsidRPr="001A5251">
        <w:t xml:space="preserve"> </w:t>
      </w:r>
      <w:r w:rsidRPr="001A5251">
        <w:t xml:space="preserve">νέων οικοδομικών αδειών να παρουσιάζει μέση ετήσια μείωση της τάξης του 37,6%. </w:t>
      </w:r>
    </w:p>
    <w:p w14:paraId="27FACE1D" w14:textId="77777777" w:rsidR="009C1B02" w:rsidRPr="001A5251" w:rsidRDefault="009C1B02" w:rsidP="00524440">
      <w:pPr>
        <w:spacing w:line="360" w:lineRule="auto"/>
      </w:pPr>
      <w:r w:rsidRPr="001A5251">
        <w:t>Αντίστοιχα,</w:t>
      </w:r>
      <w:r w:rsidR="003252DE" w:rsidRPr="001A5251">
        <w:t xml:space="preserve"> </w:t>
      </w:r>
      <w:r w:rsidRPr="001A5251">
        <w:t>σύμφωνα με τα τελευταία διαθέσιμα στοιχεία προκύπτει ότι η συρρίκνωση της οικονομικής</w:t>
      </w:r>
      <w:r w:rsidR="003252DE" w:rsidRPr="001A5251">
        <w:t xml:space="preserve"> </w:t>
      </w:r>
      <w:r w:rsidRPr="001A5251">
        <w:t xml:space="preserve">δραστηριότητας συνεχίζεται </w:t>
      </w:r>
      <w:r w:rsidRPr="00B42E69">
        <w:t>και το πρώτο εξάμηνο του 2014</w:t>
      </w:r>
      <w:r w:rsidRPr="001A5251">
        <w:t xml:space="preserve"> καθώς η ιδιωτική οικοδομική</w:t>
      </w:r>
      <w:r w:rsidR="003252DE" w:rsidRPr="001A5251">
        <w:t xml:space="preserve"> </w:t>
      </w:r>
      <w:r w:rsidRPr="001A5251">
        <w:t xml:space="preserve">δραστηριότητα στο σύνολο της χώρας εμφανίζει (σε σχέση με την αντίστοιχη </w:t>
      </w:r>
      <w:r w:rsidR="00EB38B3">
        <w:t>Περίοδο</w:t>
      </w:r>
      <w:r w:rsidRPr="001A5251">
        <w:t xml:space="preserve"> Ιανουαρίου -</w:t>
      </w:r>
      <w:r w:rsidR="003252DE" w:rsidRPr="001A5251">
        <w:t xml:space="preserve"> </w:t>
      </w:r>
      <w:r w:rsidRPr="001A5251">
        <w:t>Ιουνίου 2013) μείωση κατά 20,6% και κατά 8,8% στον αριθμό των οικοδομικών αδειών και στην</w:t>
      </w:r>
      <w:r w:rsidR="003252DE" w:rsidRPr="001A5251">
        <w:t xml:space="preserve"> </w:t>
      </w:r>
      <w:r w:rsidRPr="001A5251">
        <w:t>επιφάνεια αντίστοιχα, ενώ σημειώνει μικρή αύξηση κατά 1,4% στον όγκο.</w:t>
      </w:r>
    </w:p>
    <w:p w14:paraId="5BC20394" w14:textId="77777777" w:rsidR="009C1B02" w:rsidRDefault="009C1B02" w:rsidP="00524440">
      <w:pPr>
        <w:spacing w:line="360" w:lineRule="auto"/>
      </w:pPr>
      <w:r w:rsidRPr="001A5251">
        <w:t xml:space="preserve">Εξετάζοντας την κατανομή των νέων οικοδομικών αδειών ανά </w:t>
      </w:r>
      <w:r w:rsidR="00E5630E">
        <w:t>Περιφέρ</w:t>
      </w:r>
      <w:r w:rsidRPr="001A5251">
        <w:t>εια, προκύπτει ότι οι</w:t>
      </w:r>
      <w:r w:rsidR="003252DE" w:rsidRPr="001A5251">
        <w:t xml:space="preserve"> </w:t>
      </w:r>
      <w:r w:rsidR="00E5630E">
        <w:t>Περιφέρ</w:t>
      </w:r>
      <w:r w:rsidRPr="001A5251">
        <w:t>ειες Αττικής και Κεντρικής Μακεδονίας συγκεντρώνουν διαχρονικά το μεγαλύτερο μερίδιο</w:t>
      </w:r>
      <w:r w:rsidR="003252DE" w:rsidRPr="001A5251">
        <w:t xml:space="preserve"> </w:t>
      </w:r>
      <w:r w:rsidRPr="001A5251">
        <w:t>τόσο επί του πλήθους των νέων οικοδομικών αδειών, όσο και επί της αντίστοιχης επιφάνειας και του αντίστοιχου όγκου.</w:t>
      </w:r>
      <w:r w:rsidR="00B66B12">
        <w:t xml:space="preserve"> </w:t>
      </w:r>
      <w:r w:rsidRPr="001A5251">
        <w:t xml:space="preserve">Εξετάζοντας τη μεταβολή της οικοδομικής δραστηριότητας </w:t>
      </w:r>
      <w:r w:rsidR="00B5782F" w:rsidRPr="001A5251">
        <w:t>τα τελευταία χρόνια</w:t>
      </w:r>
      <w:r w:rsidRPr="001A5251">
        <w:t xml:space="preserve"> ανά </w:t>
      </w:r>
      <w:r w:rsidR="00E5630E">
        <w:t>Περιφέρ</w:t>
      </w:r>
      <w:r w:rsidRPr="001A5251">
        <w:t>εια, προκύπτει ότι τη μείωση στην έκδοση νέων οικοδομικών αδειών σημειών</w:t>
      </w:r>
      <w:r w:rsidR="00B66B12">
        <w:t>ουν</w:t>
      </w:r>
      <w:r w:rsidRPr="001A5251">
        <w:t xml:space="preserve"> η </w:t>
      </w:r>
      <w:r w:rsidR="00E5630E">
        <w:t>Περιφέρ</w:t>
      </w:r>
      <w:r w:rsidRPr="001A5251">
        <w:t>εια Ηπείρου</w:t>
      </w:r>
      <w:r w:rsidR="00B66B12">
        <w:t>,</w:t>
      </w:r>
      <w:r w:rsidRPr="001A5251">
        <w:t xml:space="preserve"> η </w:t>
      </w:r>
      <w:r w:rsidR="00E5630E">
        <w:t>Περιφέρ</w:t>
      </w:r>
      <w:r w:rsidRPr="001A5251">
        <w:t>εια Ιονίων Νήσων</w:t>
      </w:r>
      <w:r w:rsidR="00B66B12">
        <w:t xml:space="preserve">, η </w:t>
      </w:r>
      <w:r w:rsidR="00E5630E">
        <w:t>Περιφέρ</w:t>
      </w:r>
      <w:r w:rsidR="00B66B12">
        <w:t xml:space="preserve">εια Θεσσαλίας </w:t>
      </w:r>
      <w:r w:rsidRPr="001A5251">
        <w:t xml:space="preserve"> και η </w:t>
      </w:r>
      <w:r w:rsidR="00E5630E">
        <w:t>Περιφέρ</w:t>
      </w:r>
      <w:r w:rsidRPr="001A5251">
        <w:t xml:space="preserve">εια </w:t>
      </w:r>
      <w:r w:rsidR="00B66B12">
        <w:t xml:space="preserve">Στερεάς Ελλάδας ενώ αύξηση η </w:t>
      </w:r>
      <w:r w:rsidR="00E5630E">
        <w:t>Περιφέρ</w:t>
      </w:r>
      <w:r w:rsidR="00B66B12">
        <w:t xml:space="preserve">εια Αττικής, η </w:t>
      </w:r>
      <w:r w:rsidR="00E5630E">
        <w:t>Περιφέρ</w:t>
      </w:r>
      <w:r w:rsidR="00B66B12">
        <w:t xml:space="preserve">εια Κεντρικής Μακεδονίας, Η </w:t>
      </w:r>
      <w:r w:rsidR="00E5630E">
        <w:t>Περιφέρ</w:t>
      </w:r>
      <w:r w:rsidR="00B66B12">
        <w:t xml:space="preserve">εια Κρήτης, η </w:t>
      </w:r>
      <w:r w:rsidR="00E5630E">
        <w:t>Περιφέρ</w:t>
      </w:r>
      <w:r w:rsidR="00B66B12">
        <w:t xml:space="preserve">εια Πελοποννήσου και η </w:t>
      </w:r>
      <w:r w:rsidR="00E5630E">
        <w:t>Περιφέρ</w:t>
      </w:r>
      <w:r w:rsidR="00B66B12">
        <w:t>εια Νοτίου Αιγαίου.</w:t>
      </w:r>
    </w:p>
    <w:p w14:paraId="3D1024D3" w14:textId="77777777" w:rsidR="00B66B12" w:rsidRDefault="00B66B12" w:rsidP="00B66B12">
      <w:pPr>
        <w:spacing w:line="360" w:lineRule="auto"/>
      </w:pPr>
      <w:r>
        <w:rPr>
          <w:b/>
          <w:bCs/>
        </w:rPr>
        <w:t xml:space="preserve">Ιδιωτική Οικοδομική Δραστηριότητα (όγκος), κατά </w:t>
      </w:r>
      <w:r w:rsidR="00E5630E">
        <w:rPr>
          <w:b/>
          <w:bCs/>
        </w:rPr>
        <w:t>Περιφέρ</w:t>
      </w:r>
      <w:r>
        <w:rPr>
          <w:b/>
          <w:bCs/>
        </w:rPr>
        <w:t>εια, για τον μήνα Σεπτέμβριο των ετών 2018 και 2019</w:t>
      </w:r>
    </w:p>
    <w:p w14:paraId="2F61873F" w14:textId="77777777" w:rsidR="00B66B12" w:rsidRPr="001A5251" w:rsidRDefault="00B66B12" w:rsidP="00524440">
      <w:pPr>
        <w:spacing w:line="360" w:lineRule="auto"/>
      </w:pPr>
      <w:r>
        <w:rPr>
          <w:noProof/>
          <w:lang w:eastAsia="el-GR"/>
        </w:rPr>
        <w:lastRenderedPageBreak/>
        <w:drawing>
          <wp:inline distT="0" distB="0" distL="0" distR="0" wp14:anchorId="026F3161" wp14:editId="7EC6121A">
            <wp:extent cx="5580380" cy="3178810"/>
            <wp:effectExtent l="0" t="0" r="127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0380" cy="3178810"/>
                    </a:xfrm>
                    <a:prstGeom prst="rect">
                      <a:avLst/>
                    </a:prstGeom>
                  </pic:spPr>
                </pic:pic>
              </a:graphicData>
            </a:graphic>
          </wp:inline>
        </w:drawing>
      </w:r>
    </w:p>
    <w:p w14:paraId="4B8E587F" w14:textId="77777777" w:rsidR="00791808" w:rsidRDefault="009C1B02" w:rsidP="00524440">
      <w:pPr>
        <w:spacing w:line="360" w:lineRule="auto"/>
      </w:pPr>
      <w:r w:rsidRPr="001A5251">
        <w:t>Πέραν του πλήθους των νέων οικοδομικών αδειών και λαμβάνοντας υπόψη και τις προσθήκες οικοδομικού όγκου επί των υφιστάμενων οικοδομών, προκύπτει ότι ο αριθμός των νέων κατοικιών το 201</w:t>
      </w:r>
      <w:r w:rsidR="00B66B12">
        <w:t>9</w:t>
      </w:r>
      <w:r w:rsidRPr="001A5251">
        <w:t xml:space="preserve"> ανέρχεται σε 11.7</w:t>
      </w:r>
      <w:r w:rsidR="00B66B12">
        <w:t>24</w:t>
      </w:r>
      <w:r w:rsidRPr="001A5251">
        <w:t xml:space="preserve">, σημειώνοντας </w:t>
      </w:r>
      <w:r w:rsidR="00B66B12">
        <w:t>αύξηση</w:t>
      </w:r>
      <w:r w:rsidRPr="001A5251">
        <w:t xml:space="preserve"> της τάξης του </w:t>
      </w:r>
      <w:r w:rsidR="00B66B12">
        <w:t>8,4</w:t>
      </w:r>
      <w:r w:rsidRPr="001A5251">
        <w:t>% έναντι του 201</w:t>
      </w:r>
      <w:r w:rsidR="00B66B12">
        <w:t>8</w:t>
      </w:r>
      <w:r w:rsidRPr="001A5251">
        <w:t xml:space="preserve">, ενώ εξετάζοντας της κατανομή ανά </w:t>
      </w:r>
      <w:r w:rsidR="00E5630E">
        <w:t>Περιφέρ</w:t>
      </w:r>
      <w:r w:rsidRPr="001A5251">
        <w:t xml:space="preserve">εια προκύπτει και σε αυτή την περίπτωση ότι τη μεγαλύτερη συγκέντρωση σημειώνουν οι </w:t>
      </w:r>
      <w:r w:rsidR="00E5630E">
        <w:t>Περιφέρ</w:t>
      </w:r>
      <w:r w:rsidRPr="001A5251">
        <w:t xml:space="preserve">ειες Αττικής και Κεντρικής Μακεδονίας. </w:t>
      </w:r>
    </w:p>
    <w:p w14:paraId="2EE5ED75" w14:textId="77777777" w:rsidR="00094A04" w:rsidRPr="001A5251" w:rsidRDefault="00094A04" w:rsidP="00DC12D0">
      <w:pPr>
        <w:pStyle w:val="4"/>
      </w:pPr>
      <w:r>
        <w:t>Ηλικία κτιρίων</w:t>
      </w:r>
    </w:p>
    <w:p w14:paraId="45D37BDE" w14:textId="77777777" w:rsidR="009C1B02" w:rsidRDefault="009C1B02" w:rsidP="00524440">
      <w:pPr>
        <w:spacing w:line="360" w:lineRule="auto"/>
      </w:pPr>
      <w:r w:rsidRPr="001A5251">
        <w:t xml:space="preserve">Δεδομένου ότι το 1980 αποτελεί ορόσημο για την υιοθέτηση του Κανονισμού θερμομόνωσης Κτιρίων στη χώρα μας, συμπεραίνεται προκύπτει ότι ένα πολύ σημαντικό μέρος των κατοικιών της χώρας μας είναι θερμικά απροστάτευτα. Αντίθετα, μόλις το 18% των κατοικιών έχουν κατασκευαστεί μετά το 2000, ήτοι κατά την </w:t>
      </w:r>
      <w:r w:rsidR="00EB38B3">
        <w:t>Περίοδο</w:t>
      </w:r>
      <w:r w:rsidRPr="001A5251">
        <w:t xml:space="preserve"> όπου αναπτύχθηκαν και εφαρμόσθηκαν νέες τεχνολογίες και προϊόντα στον τομέα της ενεργειακής απόδοσης των κτιρίων.</w:t>
      </w:r>
    </w:p>
    <w:p w14:paraId="5D43CFBC" w14:textId="77777777" w:rsidR="00CB6DBD" w:rsidRDefault="00CB6DBD" w:rsidP="00524440">
      <w:pPr>
        <w:spacing w:line="360" w:lineRule="auto"/>
      </w:pPr>
    </w:p>
    <w:p w14:paraId="0D854235" w14:textId="77777777" w:rsidR="00CB6DBD" w:rsidRPr="001A5251" w:rsidRDefault="00CB6DBD" w:rsidP="00524440">
      <w:pPr>
        <w:spacing w:line="360" w:lineRule="auto"/>
      </w:pPr>
    </w:p>
    <w:p w14:paraId="4C4995BD" w14:textId="77777777" w:rsidR="003252DE" w:rsidRPr="001A5251" w:rsidRDefault="009C1B02" w:rsidP="00524440">
      <w:pPr>
        <w:spacing w:line="360" w:lineRule="auto"/>
      </w:pPr>
      <w:r w:rsidRPr="001A5251">
        <w:t xml:space="preserve">Όπως γίνεται αντιληπτό, η </w:t>
      </w:r>
      <w:r w:rsidR="00EB38B3">
        <w:t>Περίοδος</w:t>
      </w:r>
      <w:r w:rsidRPr="001A5251">
        <w:t xml:space="preserve"> κατασκευής ενός κτιρίου συσχετίζεται άμεσα με την ενεργειακή του απόδοση. Το γεγονός αυτό επιβεβαιώνεται και από τα στατιστικά στοιχεία των Πιστοποιητικών Ενεργειακής Απόδοσης (ΠΕΑ) που έχουν εκδοθεί μέχρι σήμερα, τα οποία αποτελούν ένα πρώτο δείγμα για την ενεργειακή απόδοση του κτιριακού αποθέματος της χώρας. Σύμφωνα με την επεξεργασία αυτώ</w:t>
      </w:r>
      <w:r w:rsidR="003252DE" w:rsidRPr="001A5251">
        <w:t>ν των στοιχείων, προκύπτει ότι:</w:t>
      </w:r>
    </w:p>
    <w:p w14:paraId="3E024D20" w14:textId="77777777" w:rsidR="009C1B02" w:rsidRPr="001A5251" w:rsidRDefault="009C1B02" w:rsidP="00524440">
      <w:pPr>
        <w:pStyle w:val="a3"/>
        <w:numPr>
          <w:ilvl w:val="0"/>
          <w:numId w:val="15"/>
        </w:numPr>
        <w:spacing w:line="360" w:lineRule="auto"/>
      </w:pPr>
      <w:r w:rsidRPr="001A5251">
        <w:t xml:space="preserve">Τα </w:t>
      </w:r>
      <w:proofErr w:type="spellStart"/>
      <w:r w:rsidRPr="001A5251">
        <w:t>εκδοθέντα</w:t>
      </w:r>
      <w:proofErr w:type="spellEnd"/>
      <w:r w:rsidRPr="001A5251">
        <w:t xml:space="preserve"> Πιστοποιητικά αφορούν κυρίως (79%) κτίρια που κατασκευάστηκαν την </w:t>
      </w:r>
      <w:r w:rsidR="00EB38B3">
        <w:t>Περίοδο</w:t>
      </w:r>
      <w:r w:rsidRPr="001A5251">
        <w:t xml:space="preserve"> 1950-2009</w:t>
      </w:r>
    </w:p>
    <w:p w14:paraId="795599D1" w14:textId="77777777" w:rsidR="009C1B02" w:rsidRPr="001A5251" w:rsidRDefault="009C1B02" w:rsidP="00524440">
      <w:pPr>
        <w:pStyle w:val="a3"/>
        <w:numPr>
          <w:ilvl w:val="0"/>
          <w:numId w:val="15"/>
        </w:numPr>
        <w:spacing w:line="360" w:lineRule="auto"/>
      </w:pPr>
      <w:r w:rsidRPr="001A5251">
        <w:lastRenderedPageBreak/>
        <w:t xml:space="preserve">Το μεγαλύτερο ποσοστό (65,5%) των </w:t>
      </w:r>
      <w:proofErr w:type="spellStart"/>
      <w:r w:rsidRPr="001A5251">
        <w:t>εκδοθέντων</w:t>
      </w:r>
      <w:proofErr w:type="spellEnd"/>
      <w:r w:rsidRPr="001A5251">
        <w:t xml:space="preserve"> Πιστοποιητικών αφορά σε κτίρια (κυρίως διαμερίσματα) που επρόκειτο να μισθωθούν, καθώς υπάρχει νομοθετική υποχρέωση για έκδοση ΠΕΑ κατά την ενοικίαση κτιρίων άνω των 50τμ</w:t>
      </w:r>
    </w:p>
    <w:p w14:paraId="63FAD4EB" w14:textId="77777777" w:rsidR="009C1B02" w:rsidRPr="001A5251" w:rsidRDefault="009C1B02" w:rsidP="00524440">
      <w:pPr>
        <w:pStyle w:val="a3"/>
        <w:numPr>
          <w:ilvl w:val="0"/>
          <w:numId w:val="15"/>
        </w:numPr>
        <w:spacing w:line="360" w:lineRule="auto"/>
      </w:pPr>
      <w:r w:rsidRPr="001A5251">
        <w:t>Ένα σημαντικό ποσοστό κτιρίων βρίσκεται στην χαμηλότερη ενεργειακή κλάση (Η) και αφορά σε κτίρια χωρίς θερμομόνωση και με παλαιά και μη αποδοτικά συστήματα θέρμανσης και ψύξης.</w:t>
      </w:r>
    </w:p>
    <w:p w14:paraId="28C72E17" w14:textId="77777777" w:rsidR="009C1B02" w:rsidRPr="001A5251" w:rsidRDefault="009C1B02" w:rsidP="00524440">
      <w:pPr>
        <w:pStyle w:val="a3"/>
        <w:numPr>
          <w:ilvl w:val="0"/>
          <w:numId w:val="15"/>
        </w:numPr>
        <w:spacing w:line="360" w:lineRule="auto"/>
      </w:pPr>
      <w:r w:rsidRPr="001A5251">
        <w:t>Τα περισσότερα Πιστοποιητικά έχουν εκδοθεί στη Νομαρχία Αθηνών (30,77%), στο Νομό Θεσσαλονίκης (12%), στη Νομαρχία Πειραιώς (4,7%) και στη Νομαρχία Ανατολικής Αττικής (4,3%).</w:t>
      </w:r>
    </w:p>
    <w:p w14:paraId="7C3FDF59" w14:textId="77777777" w:rsidR="009C1B02" w:rsidRPr="001A5251" w:rsidRDefault="009C1B02" w:rsidP="00524440">
      <w:pPr>
        <w:pStyle w:val="a3"/>
        <w:numPr>
          <w:ilvl w:val="0"/>
          <w:numId w:val="15"/>
        </w:numPr>
        <w:spacing w:line="360" w:lineRule="auto"/>
      </w:pPr>
      <w:r w:rsidRPr="001A5251">
        <w:t>Οι μονοκατοικίες, πολυκατοικίες (κυρίως διαμερίσματα), γραφεία και καταστήματα, καλύπτουν το μεγαλύτερο ποσοστό (85%) των χρήσεων ακινήτων για τα οποία έχουν εκδοθεί Πιστοποιητικά, ενώ κτίρια του τριτογενούς τομέα υπολείπονται των προηγούμενων.</w:t>
      </w:r>
    </w:p>
    <w:p w14:paraId="396865F9" w14:textId="77777777" w:rsidR="009C1B02" w:rsidRDefault="009C1B02" w:rsidP="00524440">
      <w:pPr>
        <w:spacing w:line="360" w:lineRule="auto"/>
      </w:pPr>
    </w:p>
    <w:p w14:paraId="751CD90C" w14:textId="77777777" w:rsidR="00094A04" w:rsidRPr="001A5251" w:rsidRDefault="00094A04" w:rsidP="00DC12D0">
      <w:pPr>
        <w:pStyle w:val="4"/>
      </w:pPr>
      <w:r>
        <w:t>Κλιματικές Ζώνες</w:t>
      </w:r>
    </w:p>
    <w:p w14:paraId="6EBF8829" w14:textId="77777777" w:rsidR="009C1B02" w:rsidRPr="001A5251" w:rsidRDefault="009C1B02" w:rsidP="00524440">
      <w:pPr>
        <w:spacing w:line="360" w:lineRule="auto"/>
      </w:pPr>
      <w:r w:rsidRPr="001A5251">
        <w:t xml:space="preserve">Στο πλαίσιο υπολογισμού της ενεργειακής απόδοσης των κτιρίων η Ελληνική επικράτεια έχει χωριστεί σε 4 κλιματικές ζώνες (Α, Β, Γ και Δ -από τη θερμότερη στην ψυχρότερη) βάσει των </w:t>
      </w:r>
      <w:proofErr w:type="spellStart"/>
      <w:r w:rsidRPr="001A5251">
        <w:t>βαθμοημερών</w:t>
      </w:r>
      <w:proofErr w:type="spellEnd"/>
      <w:r w:rsidRPr="001A5251">
        <w:t xml:space="preserve"> θέρμανσης, με την πλειοψηφία της καταγεγραμμένης επιφάνειας των κατοικιών να συγκεντρώνεται στις ζώνες Β και Γ7. Το σύνολο σχεδόν των πολυκατοικιών (ποσοστό %) συναντάται σε περιοχές κλιματικής ζώνης Β και Γ.</w:t>
      </w:r>
    </w:p>
    <w:p w14:paraId="44D76ED3" w14:textId="77777777" w:rsidR="009C1B02" w:rsidRPr="001A5251" w:rsidRDefault="009C1B02" w:rsidP="00524440">
      <w:pPr>
        <w:spacing w:line="360" w:lineRule="auto"/>
      </w:pPr>
      <w:r w:rsidRPr="001A5251">
        <w:t>Όπως είναι αναμενόμενο η μέση κατανάλωση ενέργειας στις κατοικίες διαφέρει αισθητά ανά</w:t>
      </w:r>
      <w:r w:rsidR="00975A1E" w:rsidRPr="001A5251">
        <w:t xml:space="preserve"> </w:t>
      </w:r>
      <w:r w:rsidRPr="001A5251">
        <w:t>κλιματική ζώνη, γεγονός που αποτυπώνεται και βάσει των στατιστικών στοιχείων από την έκδοση</w:t>
      </w:r>
      <w:r w:rsidR="00975A1E" w:rsidRPr="001A5251">
        <w:t xml:space="preserve"> </w:t>
      </w:r>
      <w:r w:rsidRPr="001A5251">
        <w:t>των Πιστοποιητικών Ενεργειακής Απόδοσης. Επίσης, χαρακτηριστικό είναι το γεγονός ότι η μέση</w:t>
      </w:r>
      <w:r w:rsidR="00975A1E" w:rsidRPr="001A5251">
        <w:t xml:space="preserve"> </w:t>
      </w:r>
      <w:r w:rsidRPr="001A5251">
        <w:t>κατανάλωση ενέργειας διαφέρει και ανά χρήση, με τις μονοκατοικίες να καταναλώνουν σαφώς</w:t>
      </w:r>
      <w:r w:rsidR="00975A1E" w:rsidRPr="001A5251">
        <w:t xml:space="preserve"> </w:t>
      </w:r>
      <w:r w:rsidRPr="001A5251">
        <w:t>περισσότερη ενέργεια έναντι των πολυκατοικιών.</w:t>
      </w:r>
    </w:p>
    <w:p w14:paraId="17C37E14" w14:textId="77777777" w:rsidR="009C1B02" w:rsidRPr="001A5251" w:rsidRDefault="009C1B02" w:rsidP="00524440">
      <w:pPr>
        <w:spacing w:line="360" w:lineRule="auto"/>
      </w:pPr>
      <w:r w:rsidRPr="001A5251">
        <w:t xml:space="preserve">Παράλληλα, από την περαιτέρω σύγκριση των καταναλώσεων των κατοικιών προκύπτει ότι υπάρχουν ιδιαίτερα σημαντικά περιθώρια εξοικονόμησης ενέργειας στις κατοικίες. Εξειδικεύοντας, εφόσον το κτιριακό απόθεμα της χώρας (αν) αναβαθμιζόταν ώστε να ικανοποιεί τις ελάχιστες απαιτήσεις του ΚΕΝΑΚ, το μέσο ποσοστό εξοικονόμησης στις μονοκατοικίες θα άγγιζε το 66% και στις πολυκατοικίες το 56%. Στο διάγραμμα που ακολουθεί αποτυπώνεται το αναμενόμενο ποσοστό εξοικονόμησης των κατοικιών ανά κλιματική ζώνη. Σημειώνεται ότι και σε αυτή την περίπτωση τα περιθώρια εξοικονόμησης ενέργειας των κατοικιών αποτελεί συνάρτηση </w:t>
      </w:r>
      <w:r w:rsidRPr="001A5251">
        <w:lastRenderedPageBreak/>
        <w:t>της κλιματικής ζώνης, ενώ παράλληλα τα περιθώρια εξοικονόμησης ενέργειας στις μονοκατοικίες κρίνονται πιο ισχυρά έναντι των πολυκατοικιών.</w:t>
      </w:r>
    </w:p>
    <w:p w14:paraId="41C88E8C" w14:textId="77777777" w:rsidR="00F32E14" w:rsidRPr="001A5251" w:rsidRDefault="00E77579" w:rsidP="00524440">
      <w:pPr>
        <w:spacing w:line="360" w:lineRule="auto"/>
      </w:pPr>
      <w:r w:rsidRPr="001A5251">
        <w:t xml:space="preserve">Παράδειγμα διαμερίσματος σε πολυκατοικία χωρίς μόνωση </w:t>
      </w:r>
      <w:r w:rsidR="000221CB" w:rsidRPr="001A5251">
        <w:t>(</w:t>
      </w:r>
      <w:r w:rsidRPr="001A5251">
        <w:t>θέρμανση με πετρέλαιο</w:t>
      </w:r>
      <w:r w:rsidR="000221CB" w:rsidRPr="001A5251">
        <w:t>)</w:t>
      </w:r>
    </w:p>
    <w:p w14:paraId="46115D10" w14:textId="77777777" w:rsidR="00E77579" w:rsidRPr="001A5251" w:rsidRDefault="00E77579" w:rsidP="00524440">
      <w:pPr>
        <w:spacing w:line="360" w:lineRule="auto"/>
        <w:rPr>
          <w:u w:val="single"/>
        </w:rPr>
      </w:pPr>
      <w:r w:rsidRPr="001A5251">
        <w:rPr>
          <w:noProof/>
          <w:lang w:eastAsia="el-GR"/>
        </w:rPr>
        <w:drawing>
          <wp:inline distT="0" distB="0" distL="0" distR="0" wp14:anchorId="0FB174AC" wp14:editId="25D5B364">
            <wp:extent cx="5274310" cy="4082415"/>
            <wp:effectExtent l="0" t="0" r="2540" b="0"/>
            <wp:docPr id="13" name="Picture 13" descr="εκ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κ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082415"/>
                    </a:xfrm>
                    <a:prstGeom prst="rect">
                      <a:avLst/>
                    </a:prstGeom>
                    <a:noFill/>
                    <a:ln>
                      <a:noFill/>
                    </a:ln>
                  </pic:spPr>
                </pic:pic>
              </a:graphicData>
            </a:graphic>
          </wp:inline>
        </w:drawing>
      </w:r>
    </w:p>
    <w:tbl>
      <w:tblPr>
        <w:tblStyle w:val="a6"/>
        <w:tblW w:w="0" w:type="auto"/>
        <w:tblLook w:val="04A0" w:firstRow="1" w:lastRow="0" w:firstColumn="1" w:lastColumn="0" w:noHBand="0" w:noVBand="1"/>
      </w:tblPr>
      <w:tblGrid>
        <w:gridCol w:w="2130"/>
        <w:gridCol w:w="2130"/>
        <w:gridCol w:w="2131"/>
        <w:gridCol w:w="2131"/>
      </w:tblGrid>
      <w:tr w:rsidR="00E77579" w:rsidRPr="001A5251" w14:paraId="69C53250" w14:textId="77777777" w:rsidTr="00EC0C84">
        <w:tc>
          <w:tcPr>
            <w:tcW w:w="8522" w:type="dxa"/>
            <w:gridSpan w:val="4"/>
          </w:tcPr>
          <w:p w14:paraId="232BFE3D" w14:textId="77777777" w:rsidR="00E77579" w:rsidRPr="001A5251" w:rsidRDefault="00E77579" w:rsidP="00524440">
            <w:pPr>
              <w:spacing w:line="360" w:lineRule="auto"/>
            </w:pPr>
            <w:r w:rsidRPr="001A5251">
              <w:t xml:space="preserve">Ετήσια </w:t>
            </w:r>
            <w:r w:rsidR="003730D8" w:rsidRPr="001A5251">
              <w:t>ανάγκες θερμικής</w:t>
            </w:r>
            <w:r w:rsidRPr="001A5251">
              <w:t xml:space="preserve"> ενέργειας ανά κλιματική ζώνη</w:t>
            </w:r>
          </w:p>
        </w:tc>
      </w:tr>
      <w:tr w:rsidR="00E77579" w:rsidRPr="001A5251" w14:paraId="20A63B16" w14:textId="77777777" w:rsidTr="00E77579">
        <w:tc>
          <w:tcPr>
            <w:tcW w:w="2130" w:type="dxa"/>
          </w:tcPr>
          <w:p w14:paraId="4D282431" w14:textId="77777777" w:rsidR="00E77579" w:rsidRPr="001A5251" w:rsidRDefault="00E77579" w:rsidP="00524440">
            <w:pPr>
              <w:spacing w:line="360" w:lineRule="auto"/>
            </w:pPr>
          </w:p>
        </w:tc>
        <w:tc>
          <w:tcPr>
            <w:tcW w:w="2130" w:type="dxa"/>
          </w:tcPr>
          <w:p w14:paraId="180152AE" w14:textId="77777777" w:rsidR="00E77579" w:rsidRPr="001A5251" w:rsidRDefault="00E77579" w:rsidP="00524440">
            <w:pPr>
              <w:spacing w:line="360" w:lineRule="auto"/>
            </w:pPr>
            <w:r w:rsidRPr="001A5251">
              <w:t>Νότια Ελλάδα</w:t>
            </w:r>
          </w:p>
        </w:tc>
        <w:tc>
          <w:tcPr>
            <w:tcW w:w="2131" w:type="dxa"/>
          </w:tcPr>
          <w:p w14:paraId="05CD9FC0" w14:textId="77777777" w:rsidR="00E77579" w:rsidRPr="001A5251" w:rsidRDefault="00E77579" w:rsidP="00524440">
            <w:pPr>
              <w:spacing w:line="360" w:lineRule="auto"/>
            </w:pPr>
            <w:r w:rsidRPr="001A5251">
              <w:t>Κεντρική Ελλάδα</w:t>
            </w:r>
          </w:p>
        </w:tc>
        <w:tc>
          <w:tcPr>
            <w:tcW w:w="2131" w:type="dxa"/>
          </w:tcPr>
          <w:p w14:paraId="3C76479E" w14:textId="77777777" w:rsidR="00E77579" w:rsidRPr="001A5251" w:rsidRDefault="00E77579" w:rsidP="00524440">
            <w:pPr>
              <w:spacing w:line="360" w:lineRule="auto"/>
            </w:pPr>
            <w:r w:rsidRPr="001A5251">
              <w:t>Βόρεια Ελλάδα</w:t>
            </w:r>
          </w:p>
        </w:tc>
      </w:tr>
      <w:tr w:rsidR="00E77579" w:rsidRPr="001A5251" w14:paraId="3AC22163" w14:textId="77777777" w:rsidTr="00E77579">
        <w:tc>
          <w:tcPr>
            <w:tcW w:w="2130" w:type="dxa"/>
          </w:tcPr>
          <w:p w14:paraId="243587CC" w14:textId="77777777" w:rsidR="00E77579" w:rsidRPr="001A5251" w:rsidRDefault="00E77579" w:rsidP="00524440">
            <w:pPr>
              <w:spacing w:line="360" w:lineRule="auto"/>
            </w:pPr>
            <w:r w:rsidRPr="001A5251">
              <w:t>Μονοκατοικία με μόνωση</w:t>
            </w:r>
          </w:p>
        </w:tc>
        <w:tc>
          <w:tcPr>
            <w:tcW w:w="2130" w:type="dxa"/>
          </w:tcPr>
          <w:p w14:paraId="34A7578E" w14:textId="77777777" w:rsidR="00E77579" w:rsidRPr="001A5251" w:rsidRDefault="00E77579" w:rsidP="00524440">
            <w:pPr>
              <w:spacing w:line="360" w:lineRule="auto"/>
              <w:rPr>
                <w:lang w:val="en-US"/>
              </w:rPr>
            </w:pPr>
            <w:r w:rsidRPr="001A5251">
              <w:t>35k</w:t>
            </w:r>
            <w:r w:rsidRPr="001A5251">
              <w:rPr>
                <w:lang w:val="en-US"/>
              </w:rPr>
              <w:t>w</w:t>
            </w:r>
            <w:r w:rsidRPr="001A5251">
              <w:t>h/m</w:t>
            </w:r>
            <w:r w:rsidRPr="001A5251">
              <w:rPr>
                <w:vertAlign w:val="superscript"/>
              </w:rPr>
              <w:t>2</w:t>
            </w:r>
            <w:r w:rsidRPr="001A5251">
              <w:t>/έτος</w:t>
            </w:r>
          </w:p>
        </w:tc>
        <w:tc>
          <w:tcPr>
            <w:tcW w:w="2131" w:type="dxa"/>
          </w:tcPr>
          <w:p w14:paraId="12D6B024" w14:textId="77777777" w:rsidR="00E77579" w:rsidRPr="001A5251" w:rsidRDefault="00E77579" w:rsidP="00524440">
            <w:pPr>
              <w:spacing w:line="360" w:lineRule="auto"/>
              <w:rPr>
                <w:lang w:val="en-US"/>
              </w:rPr>
            </w:pPr>
            <w:r w:rsidRPr="001A5251">
              <w:t>55k</w:t>
            </w:r>
            <w:r w:rsidRPr="001A5251">
              <w:rPr>
                <w:lang w:val="en-US"/>
              </w:rPr>
              <w:t>w</w:t>
            </w:r>
            <w:r w:rsidRPr="001A5251">
              <w:t>h/m</w:t>
            </w:r>
            <w:r w:rsidRPr="001A5251">
              <w:rPr>
                <w:vertAlign w:val="superscript"/>
              </w:rPr>
              <w:t>2</w:t>
            </w:r>
            <w:r w:rsidRPr="001A5251">
              <w:t>/έτος</w:t>
            </w:r>
          </w:p>
        </w:tc>
        <w:tc>
          <w:tcPr>
            <w:tcW w:w="2131" w:type="dxa"/>
          </w:tcPr>
          <w:p w14:paraId="5130087A" w14:textId="77777777" w:rsidR="00E77579" w:rsidRPr="001A5251" w:rsidRDefault="00E77579" w:rsidP="00524440">
            <w:pPr>
              <w:spacing w:line="360" w:lineRule="auto"/>
            </w:pPr>
            <w:r w:rsidRPr="001A5251">
              <w:t>75k</w:t>
            </w:r>
            <w:r w:rsidRPr="001A5251">
              <w:rPr>
                <w:lang w:val="en-US"/>
              </w:rPr>
              <w:t>w</w:t>
            </w:r>
            <w:r w:rsidRPr="001A5251">
              <w:t>h/m</w:t>
            </w:r>
            <w:r w:rsidRPr="001A5251">
              <w:rPr>
                <w:vertAlign w:val="superscript"/>
              </w:rPr>
              <w:t>2</w:t>
            </w:r>
            <w:r w:rsidRPr="001A5251">
              <w:t>/έτος</w:t>
            </w:r>
          </w:p>
        </w:tc>
      </w:tr>
      <w:tr w:rsidR="00E77579" w:rsidRPr="001A5251" w14:paraId="3F287DF5" w14:textId="77777777" w:rsidTr="00636E49">
        <w:tc>
          <w:tcPr>
            <w:tcW w:w="2130" w:type="dxa"/>
          </w:tcPr>
          <w:p w14:paraId="4487B07A" w14:textId="77777777" w:rsidR="00E77579" w:rsidRPr="001A5251" w:rsidRDefault="00E77579" w:rsidP="00524440">
            <w:pPr>
              <w:spacing w:line="360" w:lineRule="auto"/>
            </w:pPr>
            <w:r w:rsidRPr="001A5251">
              <w:t>Μονοκατοικία χωρίς μόνωση</w:t>
            </w:r>
          </w:p>
        </w:tc>
        <w:tc>
          <w:tcPr>
            <w:tcW w:w="2130" w:type="dxa"/>
            <w:vAlign w:val="center"/>
          </w:tcPr>
          <w:p w14:paraId="248A062C" w14:textId="77777777" w:rsidR="00E77579" w:rsidRPr="001A5251" w:rsidRDefault="00E77579" w:rsidP="00524440">
            <w:pPr>
              <w:spacing w:line="360" w:lineRule="auto"/>
              <w:rPr>
                <w:lang w:val="en-US"/>
              </w:rPr>
            </w:pPr>
            <w:r w:rsidRPr="001A5251">
              <w:t>115k</w:t>
            </w:r>
            <w:r w:rsidRPr="001A5251">
              <w:rPr>
                <w:lang w:val="en-US"/>
              </w:rPr>
              <w:t>w</w:t>
            </w:r>
            <w:r w:rsidRPr="001A5251">
              <w:t>h/m</w:t>
            </w:r>
            <w:r w:rsidRPr="001A5251">
              <w:rPr>
                <w:vertAlign w:val="superscript"/>
              </w:rPr>
              <w:t>2</w:t>
            </w:r>
            <w:r w:rsidRPr="001A5251">
              <w:t>/έτος</w:t>
            </w:r>
          </w:p>
        </w:tc>
        <w:tc>
          <w:tcPr>
            <w:tcW w:w="2131" w:type="dxa"/>
            <w:vAlign w:val="center"/>
          </w:tcPr>
          <w:p w14:paraId="5E1B9542" w14:textId="77777777" w:rsidR="00E77579" w:rsidRPr="001A5251" w:rsidRDefault="00E77579" w:rsidP="00524440">
            <w:pPr>
              <w:spacing w:line="360" w:lineRule="auto"/>
            </w:pPr>
            <w:r w:rsidRPr="001A5251">
              <w:t>185k</w:t>
            </w:r>
            <w:r w:rsidRPr="001A5251">
              <w:rPr>
                <w:lang w:val="en-US"/>
              </w:rPr>
              <w:t>w</w:t>
            </w:r>
            <w:r w:rsidRPr="001A5251">
              <w:t>h/m</w:t>
            </w:r>
            <w:r w:rsidRPr="001A5251">
              <w:rPr>
                <w:vertAlign w:val="superscript"/>
              </w:rPr>
              <w:t>2</w:t>
            </w:r>
            <w:r w:rsidRPr="001A5251">
              <w:t>/έτος</w:t>
            </w:r>
          </w:p>
        </w:tc>
        <w:tc>
          <w:tcPr>
            <w:tcW w:w="2131" w:type="dxa"/>
            <w:vAlign w:val="center"/>
          </w:tcPr>
          <w:p w14:paraId="6339E58F" w14:textId="77777777" w:rsidR="00E77579" w:rsidRPr="001A5251" w:rsidRDefault="00E77579" w:rsidP="00524440">
            <w:pPr>
              <w:spacing w:line="360" w:lineRule="auto"/>
            </w:pPr>
            <w:r w:rsidRPr="001A5251">
              <w:t>245k</w:t>
            </w:r>
            <w:r w:rsidRPr="001A5251">
              <w:rPr>
                <w:lang w:val="en-US"/>
              </w:rPr>
              <w:t>w</w:t>
            </w:r>
            <w:r w:rsidRPr="001A5251">
              <w:t>h/m</w:t>
            </w:r>
            <w:r w:rsidRPr="001A5251">
              <w:rPr>
                <w:vertAlign w:val="superscript"/>
              </w:rPr>
              <w:t>2</w:t>
            </w:r>
            <w:r w:rsidRPr="001A5251">
              <w:t>/έτος</w:t>
            </w:r>
          </w:p>
        </w:tc>
      </w:tr>
      <w:tr w:rsidR="00E77579" w:rsidRPr="001A5251" w14:paraId="7564288E" w14:textId="77777777" w:rsidTr="00E77579">
        <w:tc>
          <w:tcPr>
            <w:tcW w:w="2130" w:type="dxa"/>
          </w:tcPr>
          <w:p w14:paraId="0F750622" w14:textId="77777777" w:rsidR="00E77579" w:rsidRPr="001A5251" w:rsidRDefault="00E77579" w:rsidP="00524440">
            <w:pPr>
              <w:spacing w:line="360" w:lineRule="auto"/>
            </w:pPr>
            <w:r w:rsidRPr="001A5251">
              <w:t>Πολυκατοικία με μόνωση</w:t>
            </w:r>
          </w:p>
        </w:tc>
        <w:tc>
          <w:tcPr>
            <w:tcW w:w="2130" w:type="dxa"/>
          </w:tcPr>
          <w:p w14:paraId="17790FEF" w14:textId="77777777" w:rsidR="00E77579" w:rsidRPr="001A5251" w:rsidRDefault="00E77579" w:rsidP="00524440">
            <w:pPr>
              <w:spacing w:line="360" w:lineRule="auto"/>
            </w:pPr>
            <w:r w:rsidRPr="001A5251">
              <w:t>25k</w:t>
            </w:r>
            <w:r w:rsidRPr="001A5251">
              <w:rPr>
                <w:lang w:val="en-US"/>
              </w:rPr>
              <w:t>w</w:t>
            </w:r>
            <w:r w:rsidRPr="001A5251">
              <w:t>h/m</w:t>
            </w:r>
            <w:r w:rsidRPr="001A5251">
              <w:rPr>
                <w:vertAlign w:val="superscript"/>
              </w:rPr>
              <w:t>2</w:t>
            </w:r>
            <w:r w:rsidRPr="001A5251">
              <w:t>/έτος</w:t>
            </w:r>
          </w:p>
        </w:tc>
        <w:tc>
          <w:tcPr>
            <w:tcW w:w="2131" w:type="dxa"/>
          </w:tcPr>
          <w:p w14:paraId="1A65058A" w14:textId="77777777" w:rsidR="00E77579" w:rsidRPr="001A5251" w:rsidRDefault="00E77579" w:rsidP="00524440">
            <w:pPr>
              <w:spacing w:line="360" w:lineRule="auto"/>
              <w:rPr>
                <w:lang w:val="en-US"/>
              </w:rPr>
            </w:pPr>
            <w:r w:rsidRPr="001A5251">
              <w:t>45k</w:t>
            </w:r>
            <w:r w:rsidRPr="001A5251">
              <w:rPr>
                <w:lang w:val="en-US"/>
              </w:rPr>
              <w:t>w</w:t>
            </w:r>
            <w:r w:rsidRPr="001A5251">
              <w:t>h/m</w:t>
            </w:r>
            <w:r w:rsidRPr="001A5251">
              <w:rPr>
                <w:vertAlign w:val="superscript"/>
              </w:rPr>
              <w:t>2</w:t>
            </w:r>
            <w:r w:rsidRPr="001A5251">
              <w:t>/έτος</w:t>
            </w:r>
          </w:p>
        </w:tc>
        <w:tc>
          <w:tcPr>
            <w:tcW w:w="2131" w:type="dxa"/>
          </w:tcPr>
          <w:p w14:paraId="30923E13" w14:textId="77777777" w:rsidR="00E77579" w:rsidRPr="001A5251" w:rsidRDefault="00E77579" w:rsidP="00524440">
            <w:pPr>
              <w:spacing w:line="360" w:lineRule="auto"/>
            </w:pPr>
            <w:r w:rsidRPr="001A5251">
              <w:t>65k</w:t>
            </w:r>
            <w:r w:rsidRPr="001A5251">
              <w:rPr>
                <w:lang w:val="en-US"/>
              </w:rPr>
              <w:t>w</w:t>
            </w:r>
            <w:r w:rsidRPr="001A5251">
              <w:t>h/m</w:t>
            </w:r>
            <w:r w:rsidRPr="001A5251">
              <w:rPr>
                <w:vertAlign w:val="superscript"/>
              </w:rPr>
              <w:t>2</w:t>
            </w:r>
            <w:r w:rsidRPr="001A5251">
              <w:t>/έτος</w:t>
            </w:r>
          </w:p>
        </w:tc>
      </w:tr>
      <w:tr w:rsidR="00E77579" w:rsidRPr="001A5251" w14:paraId="6449F142" w14:textId="77777777" w:rsidTr="00B40920">
        <w:tc>
          <w:tcPr>
            <w:tcW w:w="2130" w:type="dxa"/>
          </w:tcPr>
          <w:p w14:paraId="1E74BEA2" w14:textId="77777777" w:rsidR="00E77579" w:rsidRPr="001A5251" w:rsidRDefault="00E77579" w:rsidP="00524440">
            <w:pPr>
              <w:spacing w:line="360" w:lineRule="auto"/>
            </w:pPr>
            <w:r w:rsidRPr="001A5251">
              <w:t>Πολυκατοικία χωρίς μόνωση</w:t>
            </w:r>
          </w:p>
        </w:tc>
        <w:tc>
          <w:tcPr>
            <w:tcW w:w="2130" w:type="dxa"/>
            <w:vAlign w:val="center"/>
          </w:tcPr>
          <w:p w14:paraId="7FC207D1" w14:textId="77777777" w:rsidR="00E77579" w:rsidRPr="001A5251" w:rsidRDefault="00E77579" w:rsidP="00524440">
            <w:pPr>
              <w:spacing w:line="360" w:lineRule="auto"/>
            </w:pPr>
            <w:r w:rsidRPr="001A5251">
              <w:t>95k</w:t>
            </w:r>
            <w:r w:rsidRPr="001A5251">
              <w:rPr>
                <w:lang w:val="en-US"/>
              </w:rPr>
              <w:t>w</w:t>
            </w:r>
            <w:r w:rsidRPr="001A5251">
              <w:t>h/m</w:t>
            </w:r>
            <w:r w:rsidRPr="001A5251">
              <w:rPr>
                <w:vertAlign w:val="superscript"/>
              </w:rPr>
              <w:t>2</w:t>
            </w:r>
            <w:r w:rsidRPr="001A5251">
              <w:t>/έτος</w:t>
            </w:r>
          </w:p>
        </w:tc>
        <w:tc>
          <w:tcPr>
            <w:tcW w:w="2131" w:type="dxa"/>
            <w:vAlign w:val="center"/>
          </w:tcPr>
          <w:p w14:paraId="51B2DB41" w14:textId="77777777" w:rsidR="00E77579" w:rsidRPr="001A5251" w:rsidRDefault="00E77579" w:rsidP="00524440">
            <w:pPr>
              <w:spacing w:line="360" w:lineRule="auto"/>
              <w:rPr>
                <w:lang w:val="en-US"/>
              </w:rPr>
            </w:pPr>
            <w:r w:rsidRPr="001A5251">
              <w:t>145k</w:t>
            </w:r>
            <w:r w:rsidRPr="001A5251">
              <w:rPr>
                <w:lang w:val="en-US"/>
              </w:rPr>
              <w:t>w</w:t>
            </w:r>
            <w:r w:rsidRPr="001A5251">
              <w:t>h/m</w:t>
            </w:r>
            <w:r w:rsidRPr="001A5251">
              <w:rPr>
                <w:vertAlign w:val="superscript"/>
              </w:rPr>
              <w:t>2</w:t>
            </w:r>
            <w:r w:rsidRPr="001A5251">
              <w:t>/έτος</w:t>
            </w:r>
          </w:p>
        </w:tc>
        <w:tc>
          <w:tcPr>
            <w:tcW w:w="2131" w:type="dxa"/>
            <w:vAlign w:val="center"/>
          </w:tcPr>
          <w:p w14:paraId="5592300B" w14:textId="77777777" w:rsidR="00E77579" w:rsidRPr="001A5251" w:rsidRDefault="00E77579" w:rsidP="00524440">
            <w:pPr>
              <w:spacing w:line="360" w:lineRule="auto"/>
            </w:pPr>
            <w:r w:rsidRPr="001A5251">
              <w:t>195k</w:t>
            </w:r>
            <w:r w:rsidRPr="001A5251">
              <w:rPr>
                <w:lang w:val="en-US"/>
              </w:rPr>
              <w:t>w</w:t>
            </w:r>
            <w:r w:rsidRPr="001A5251">
              <w:t>h/m</w:t>
            </w:r>
            <w:r w:rsidRPr="001A5251">
              <w:rPr>
                <w:vertAlign w:val="superscript"/>
              </w:rPr>
              <w:t>2</w:t>
            </w:r>
            <w:r w:rsidRPr="001A5251">
              <w:t>/έτος</w:t>
            </w:r>
          </w:p>
        </w:tc>
      </w:tr>
    </w:tbl>
    <w:p w14:paraId="03B953F6" w14:textId="77777777" w:rsidR="00E77579" w:rsidRPr="001A5251" w:rsidRDefault="00E77579" w:rsidP="00524440">
      <w:pPr>
        <w:spacing w:line="360" w:lineRule="auto"/>
      </w:pPr>
    </w:p>
    <w:p w14:paraId="77D6B5D1" w14:textId="77777777" w:rsidR="003730D8" w:rsidRPr="001A5251" w:rsidRDefault="003730D8" w:rsidP="00524440">
      <w:pPr>
        <w:spacing w:line="360" w:lineRule="auto"/>
      </w:pPr>
      <w:r w:rsidRPr="001A5251">
        <w:lastRenderedPageBreak/>
        <w:t xml:space="preserve">Εάν για παράδειγμα εξετάσουμε μία κατοικία της </w:t>
      </w:r>
      <w:r w:rsidR="00791808">
        <w:t>Κ</w:t>
      </w:r>
      <w:r w:rsidRPr="001A5251">
        <w:t xml:space="preserve">εντρικής </w:t>
      </w:r>
      <w:r w:rsidR="00791808">
        <w:t>Ε</w:t>
      </w:r>
      <w:r w:rsidRPr="001A5251">
        <w:t xml:space="preserve">λλάδας όπου οι θερμικές ανάγκες της καλύπτονται με </w:t>
      </w:r>
      <w:r w:rsidR="00E77579" w:rsidRPr="001A5251">
        <w:t xml:space="preserve">πετρέλαιο </w:t>
      </w:r>
      <w:r w:rsidRPr="001A5251">
        <w:t>τότε μπορούμε να υπολογίσουμε το χρόνο απόσβεσης της θερμομόνωσής της με την ακόλουθη μεθοδολογία:</w:t>
      </w:r>
    </w:p>
    <w:p w14:paraId="030A0EA3" w14:textId="77777777" w:rsidR="000D4B42" w:rsidRPr="001A5251" w:rsidRDefault="003730D8" w:rsidP="00524440">
      <w:pPr>
        <w:spacing w:line="360" w:lineRule="auto"/>
      </w:pPr>
      <w:r w:rsidRPr="001A5251">
        <w:t xml:space="preserve">Από βιβλιογραφικές πηγές η </w:t>
      </w:r>
      <w:r w:rsidR="00E77579" w:rsidRPr="001A5251">
        <w:t>θερμογόνο</w:t>
      </w:r>
      <w:r w:rsidRPr="001A5251">
        <w:t>ς</w:t>
      </w:r>
      <w:r w:rsidR="00E77579" w:rsidRPr="001A5251">
        <w:t xml:space="preserve"> δύναμη </w:t>
      </w:r>
      <w:r w:rsidRPr="001A5251">
        <w:t xml:space="preserve">του πετρελαίου εκτιμάται στις </w:t>
      </w:r>
      <w:r w:rsidR="00E77579" w:rsidRPr="001A5251">
        <w:t>11,9 K</w:t>
      </w:r>
      <w:r w:rsidRPr="001A5251">
        <w:rPr>
          <w:lang w:val="en-US"/>
        </w:rPr>
        <w:t>w</w:t>
      </w:r>
      <w:r w:rsidR="00E77579" w:rsidRPr="001A5251">
        <w:t>h/</w:t>
      </w:r>
      <w:proofErr w:type="spellStart"/>
      <w:r w:rsidR="00E77579" w:rsidRPr="001A5251">
        <w:t>lt</w:t>
      </w:r>
      <w:proofErr w:type="spellEnd"/>
      <w:r w:rsidR="00E77579" w:rsidRPr="001A5251">
        <w:t>. Ωστόσο, η τελική αποδιδόμενη θερμική ενέργεια εξαρτάται από το βαθμό απόδοσης του καυστήρα. Θεωρώντας</w:t>
      </w:r>
      <w:r w:rsidR="00B67AE6">
        <w:t xml:space="preserve"> </w:t>
      </w:r>
      <w:r w:rsidR="00E77579" w:rsidRPr="001A5251">
        <w:t>βαθμό απόδοσης 90%, για κάθε k</w:t>
      </w:r>
      <w:r w:rsidRPr="001A5251">
        <w:rPr>
          <w:lang w:val="en-US"/>
        </w:rPr>
        <w:t>w</w:t>
      </w:r>
      <w:r w:rsidR="00E77579" w:rsidRPr="001A5251">
        <w:t xml:space="preserve">h θέρμανσης που θα χρειαστούμε, απαιτούνται: </w:t>
      </w:r>
    </w:p>
    <w:p w14:paraId="33E0327F" w14:textId="77777777" w:rsidR="00E77579" w:rsidRPr="001A5251" w:rsidRDefault="00E77579" w:rsidP="00524440">
      <w:pPr>
        <w:spacing w:line="360" w:lineRule="auto"/>
      </w:pPr>
      <w:r w:rsidRPr="001A5251">
        <w:t>1/(1</w:t>
      </w:r>
      <w:r w:rsidR="000D4B42" w:rsidRPr="001A5251">
        <w:t>1,9x0.9)= 0,093</w:t>
      </w:r>
      <w:proofErr w:type="spellStart"/>
      <w:r w:rsidR="000D4B42" w:rsidRPr="001A5251">
        <w:rPr>
          <w:lang w:val="en-US"/>
        </w:rPr>
        <w:t>lt</w:t>
      </w:r>
      <w:proofErr w:type="spellEnd"/>
    </w:p>
    <w:p w14:paraId="3AFDFD38" w14:textId="77777777" w:rsidR="000D4B42" w:rsidRPr="001A5251" w:rsidRDefault="00E77579" w:rsidP="00524440">
      <w:pPr>
        <w:spacing w:line="360" w:lineRule="auto"/>
      </w:pPr>
      <w:r w:rsidRPr="001A5251">
        <w:t xml:space="preserve">Λαμβάνοντας </w:t>
      </w:r>
      <w:r w:rsidR="003730D8" w:rsidRPr="001A5251">
        <w:t>υπόψη</w:t>
      </w:r>
      <w:r w:rsidRPr="001A5251">
        <w:t xml:space="preserve"> ότι στην τρέχουσα </w:t>
      </w:r>
      <w:r w:rsidR="00EB38B3">
        <w:t>Περίοδο</w:t>
      </w:r>
      <w:r w:rsidRPr="001A5251">
        <w:t xml:space="preserve"> (2015-2016) το μέσο κόστος για το πετρέλαιο θέρμανσης υπολογίζεται στα 0,80</w:t>
      </w:r>
      <w:r w:rsidR="003730D8" w:rsidRPr="001A5251">
        <w:t>€/</w:t>
      </w:r>
      <w:proofErr w:type="spellStart"/>
      <w:r w:rsidR="003730D8" w:rsidRPr="001A5251">
        <w:rPr>
          <w:lang w:val="en-US"/>
        </w:rPr>
        <w:t>lt</w:t>
      </w:r>
      <w:proofErr w:type="spellEnd"/>
      <w:r w:rsidRPr="001A5251">
        <w:t>, το κόστος για κάθε k</w:t>
      </w:r>
      <w:r w:rsidR="003730D8" w:rsidRPr="001A5251">
        <w:rPr>
          <w:lang w:val="en-US"/>
        </w:rPr>
        <w:t>w</w:t>
      </w:r>
      <w:r w:rsidRPr="001A5251">
        <w:t>h θερμικής ενέργειας με πετρέλαιο υπολογίζεται στα</w:t>
      </w:r>
      <w:r w:rsidR="000D4B42" w:rsidRPr="001A5251">
        <w:t>:</w:t>
      </w:r>
    </w:p>
    <w:p w14:paraId="3CE817F9" w14:textId="77777777" w:rsidR="00E77579" w:rsidRPr="001A5251" w:rsidRDefault="00E77579" w:rsidP="00524440">
      <w:pPr>
        <w:spacing w:line="360" w:lineRule="auto"/>
      </w:pPr>
      <w:r w:rsidRPr="001A5251">
        <w:t>0,093</w:t>
      </w:r>
      <w:proofErr w:type="spellStart"/>
      <w:r w:rsidR="003730D8" w:rsidRPr="001A5251">
        <w:rPr>
          <w:lang w:val="en-US"/>
        </w:rPr>
        <w:t>lt</w:t>
      </w:r>
      <w:proofErr w:type="spellEnd"/>
      <w:r w:rsidRPr="001A5251">
        <w:t xml:space="preserve"> x 0,8</w:t>
      </w:r>
      <w:r w:rsidR="003730D8" w:rsidRPr="001A5251">
        <w:t>0€/</w:t>
      </w:r>
      <w:proofErr w:type="spellStart"/>
      <w:r w:rsidR="003730D8" w:rsidRPr="001A5251">
        <w:rPr>
          <w:lang w:val="en-US"/>
        </w:rPr>
        <w:t>lt</w:t>
      </w:r>
      <w:proofErr w:type="spellEnd"/>
      <w:r w:rsidR="000D4B42" w:rsidRPr="001A5251">
        <w:t xml:space="preserve"> </w:t>
      </w:r>
      <w:r w:rsidR="003730D8" w:rsidRPr="001A5251">
        <w:t>=</w:t>
      </w:r>
      <w:r w:rsidR="00B67AE6">
        <w:t xml:space="preserve"> </w:t>
      </w:r>
      <w:r w:rsidR="003730D8" w:rsidRPr="001A5251">
        <w:t>0,0744€</w:t>
      </w:r>
    </w:p>
    <w:p w14:paraId="2EEC8200" w14:textId="77777777" w:rsidR="004A7C68" w:rsidRPr="001A5251" w:rsidRDefault="00E77579" w:rsidP="00524440">
      <w:pPr>
        <w:spacing w:line="360" w:lineRule="auto"/>
      </w:pPr>
      <w:r w:rsidRPr="001A5251">
        <w:t>Επομένως μια μέση κατοικία 90</w:t>
      </w:r>
      <w:r w:rsidR="004A7C68" w:rsidRPr="001A5251">
        <w:rPr>
          <w:lang w:val="en-US"/>
        </w:rPr>
        <w:t>m</w:t>
      </w:r>
      <w:r w:rsidRPr="001A5251">
        <w:rPr>
          <w:vertAlign w:val="superscript"/>
        </w:rPr>
        <w:t>2</w:t>
      </w:r>
      <w:r w:rsidRPr="001A5251">
        <w:t xml:space="preserve"> (διαμέρισμα πολυκατοικίας) στην κεντρική Ελλάδα χωρίς μόνωση θα πληρώσει: </w:t>
      </w:r>
    </w:p>
    <w:p w14:paraId="42440BF9" w14:textId="77777777" w:rsidR="00E77579" w:rsidRPr="001A5251" w:rsidRDefault="00E77579" w:rsidP="00524440">
      <w:pPr>
        <w:spacing w:line="360" w:lineRule="auto"/>
      </w:pPr>
      <w:r w:rsidRPr="001A5251">
        <w:t>90</w:t>
      </w:r>
      <w:r w:rsidR="004A7C68" w:rsidRPr="001A5251">
        <w:rPr>
          <w:lang w:val="en-US"/>
        </w:rPr>
        <w:t>m</w:t>
      </w:r>
      <w:r w:rsidR="004A7C68" w:rsidRPr="001A5251">
        <w:rPr>
          <w:vertAlign w:val="superscript"/>
        </w:rPr>
        <w:t>2</w:t>
      </w:r>
      <w:r w:rsidR="004A7C68" w:rsidRPr="001A5251">
        <w:t xml:space="preserve"> </w:t>
      </w:r>
      <w:r w:rsidR="004A7C68" w:rsidRPr="001A5251">
        <w:rPr>
          <w:lang w:val="en-US"/>
        </w:rPr>
        <w:t>x</w:t>
      </w:r>
      <w:r w:rsidR="004A7C68" w:rsidRPr="001A5251">
        <w:rPr>
          <w:vertAlign w:val="superscript"/>
        </w:rPr>
        <w:t xml:space="preserve"> </w:t>
      </w:r>
      <w:r w:rsidRPr="001A5251">
        <w:t>145</w:t>
      </w:r>
      <w:r w:rsidR="004A7C68" w:rsidRPr="001A5251">
        <w:t>k</w:t>
      </w:r>
      <w:r w:rsidR="004A7C68" w:rsidRPr="001A5251">
        <w:rPr>
          <w:lang w:val="en-US"/>
        </w:rPr>
        <w:t>w</w:t>
      </w:r>
      <w:r w:rsidR="004A7C68" w:rsidRPr="001A5251">
        <w:t>h/m</w:t>
      </w:r>
      <w:r w:rsidR="004A7C68" w:rsidRPr="001A5251">
        <w:rPr>
          <w:vertAlign w:val="superscript"/>
        </w:rPr>
        <w:t>2</w:t>
      </w:r>
      <w:r w:rsidR="004A7C68" w:rsidRPr="001A5251">
        <w:t xml:space="preserve">/έτος </w:t>
      </w:r>
      <w:r w:rsidR="004A7C68" w:rsidRPr="001A5251">
        <w:rPr>
          <w:lang w:val="en-US"/>
        </w:rPr>
        <w:t>x</w:t>
      </w:r>
      <w:r w:rsidR="004A7C68" w:rsidRPr="001A5251">
        <w:t xml:space="preserve"> </w:t>
      </w:r>
      <w:r w:rsidRPr="001A5251">
        <w:t>0,0744€/</w:t>
      </w:r>
      <w:proofErr w:type="spellStart"/>
      <w:r w:rsidRPr="001A5251">
        <w:t>kWh</w:t>
      </w:r>
      <w:proofErr w:type="spellEnd"/>
      <w:r w:rsidR="004A7C68" w:rsidRPr="001A5251">
        <w:t xml:space="preserve"> </w:t>
      </w:r>
      <w:r w:rsidRPr="001A5251">
        <w:t>= 971€/έτος</w:t>
      </w:r>
    </w:p>
    <w:p w14:paraId="478C1E5B" w14:textId="77777777" w:rsidR="004A7C68" w:rsidRPr="001A5251" w:rsidRDefault="00E77579" w:rsidP="00524440">
      <w:pPr>
        <w:spacing w:line="360" w:lineRule="auto"/>
      </w:pPr>
      <w:r w:rsidRPr="001A5251">
        <w:t>Με την ενεργειακή αναβάθμ</w:t>
      </w:r>
      <w:r w:rsidR="004A7C68" w:rsidRPr="001A5251">
        <w:t>ιση η ίδια κατοικία θα πληρώσει:</w:t>
      </w:r>
    </w:p>
    <w:p w14:paraId="65756D29" w14:textId="77777777" w:rsidR="00E77579" w:rsidRPr="001A5251" w:rsidRDefault="00E77579" w:rsidP="00524440">
      <w:pPr>
        <w:spacing w:line="360" w:lineRule="auto"/>
      </w:pPr>
      <w:r w:rsidRPr="001A5251">
        <w:t>90</w:t>
      </w:r>
      <w:r w:rsidR="004A7C68" w:rsidRPr="001A5251">
        <w:t xml:space="preserve"> </w:t>
      </w:r>
      <w:r w:rsidR="004A7C68" w:rsidRPr="001A5251">
        <w:rPr>
          <w:lang w:val="en-US"/>
        </w:rPr>
        <w:t>m</w:t>
      </w:r>
      <w:r w:rsidR="004A7C68" w:rsidRPr="001A5251">
        <w:rPr>
          <w:vertAlign w:val="superscript"/>
        </w:rPr>
        <w:t xml:space="preserve">2 </w:t>
      </w:r>
      <w:r w:rsidR="004A7C68" w:rsidRPr="001A5251">
        <w:rPr>
          <w:lang w:val="en-US"/>
        </w:rPr>
        <w:t>x</w:t>
      </w:r>
      <w:r w:rsidR="004A7C68" w:rsidRPr="001A5251">
        <w:t xml:space="preserve"> 6</w:t>
      </w:r>
      <w:r w:rsidRPr="001A5251">
        <w:t>5</w:t>
      </w:r>
      <w:r w:rsidR="004A7C68" w:rsidRPr="001A5251">
        <w:t xml:space="preserve"> k</w:t>
      </w:r>
      <w:r w:rsidR="004A7C68" w:rsidRPr="001A5251">
        <w:rPr>
          <w:lang w:val="en-US"/>
        </w:rPr>
        <w:t>w</w:t>
      </w:r>
      <w:r w:rsidR="004A7C68" w:rsidRPr="001A5251">
        <w:t>h/m</w:t>
      </w:r>
      <w:r w:rsidR="004A7C68" w:rsidRPr="001A5251">
        <w:rPr>
          <w:vertAlign w:val="superscript"/>
        </w:rPr>
        <w:t>2</w:t>
      </w:r>
      <w:r w:rsidR="004A7C68" w:rsidRPr="001A5251">
        <w:t xml:space="preserve">/έτος </w:t>
      </w:r>
      <w:r w:rsidR="004A7C68" w:rsidRPr="001A5251">
        <w:rPr>
          <w:lang w:val="en-US"/>
        </w:rPr>
        <w:t>x</w:t>
      </w:r>
      <w:r w:rsidR="004A7C68" w:rsidRPr="001A5251">
        <w:t xml:space="preserve"> </w:t>
      </w:r>
      <w:r w:rsidRPr="001A5251">
        <w:t>0,0744€/</w:t>
      </w:r>
      <w:proofErr w:type="spellStart"/>
      <w:r w:rsidRPr="001A5251">
        <w:t>kWh</w:t>
      </w:r>
      <w:proofErr w:type="spellEnd"/>
      <w:r w:rsidRPr="001A5251">
        <w:t>= 435€/έτος</w:t>
      </w:r>
    </w:p>
    <w:p w14:paraId="64E9B182" w14:textId="77777777" w:rsidR="00E77579" w:rsidRPr="001A5251" w:rsidRDefault="00E77579" w:rsidP="00524440">
      <w:pPr>
        <w:spacing w:line="360" w:lineRule="auto"/>
      </w:pPr>
      <w:r w:rsidRPr="001A5251">
        <w:t xml:space="preserve">Δηλαδή η αναβάθμιση θα ωφελήσει το νοικοκυριό </w:t>
      </w:r>
      <w:r w:rsidR="004A7C68" w:rsidRPr="001A5251">
        <w:t>να εξοικονομήσει ετησίως</w:t>
      </w:r>
      <w:r w:rsidRPr="001A5251">
        <w:t xml:space="preserve"> 536€/έτος.</w:t>
      </w:r>
    </w:p>
    <w:p w14:paraId="744BAC7A" w14:textId="77777777" w:rsidR="00E77579" w:rsidRPr="001A5251" w:rsidRDefault="004A7C68" w:rsidP="00524440">
      <w:pPr>
        <w:spacing w:line="360" w:lineRule="auto"/>
      </w:pPr>
      <w:r w:rsidRPr="001A5251">
        <w:t>Καταλήγουμε λοιπόν ότι εάν</w:t>
      </w:r>
      <w:r w:rsidR="00E77579" w:rsidRPr="001A5251">
        <w:t xml:space="preserve"> η μέση ενεργειακή αναβάθμιση </w:t>
      </w:r>
      <w:r w:rsidRPr="001A5251">
        <w:t xml:space="preserve">του διαμερίσματος </w:t>
      </w:r>
      <w:r w:rsidR="00E77579" w:rsidRPr="001A5251">
        <w:t>κοστίζει 8.000€, η επένδυση αποσβένεται σε 15 έτη.</w:t>
      </w:r>
    </w:p>
    <w:p w14:paraId="1624C5E0" w14:textId="77777777" w:rsidR="00094A04" w:rsidRDefault="00E77579" w:rsidP="00524440">
      <w:pPr>
        <w:spacing w:line="360" w:lineRule="auto"/>
      </w:pPr>
      <w:r w:rsidRPr="001A5251">
        <w:t>Συναρτήσει πάντα του διαθέσιμου εισοδήματος των νοικοκυριών, για να γίνει οικονομικά επωφελής η επένδυση, θα πρέπει να αποσβεστεί για παράδειγμα σε ~ 5 έτη και επομένως η δυνατότητα αυτοχρηματοδότησης περιορίζεται έως το έργο τάξης 2.680€ ή ποσοστό 33% με το υπόλοιπο 66% να πρέπει να χορηγηθεί ως κίνητρο.</w:t>
      </w:r>
    </w:p>
    <w:p w14:paraId="1BC7D81A" w14:textId="77777777" w:rsidR="00094A04" w:rsidRPr="00B42E69" w:rsidRDefault="00094A04" w:rsidP="00DC12D0">
      <w:pPr>
        <w:pStyle w:val="4"/>
      </w:pPr>
      <w:r w:rsidRPr="00B42E69">
        <w:t>Ενεργειακή Επάρκεια Κτιρίων</w:t>
      </w:r>
    </w:p>
    <w:p w14:paraId="5CBA19FC" w14:textId="77777777" w:rsidR="009C1B02" w:rsidRPr="00215392" w:rsidRDefault="009C1B02" w:rsidP="00524440">
      <w:pPr>
        <w:spacing w:line="360" w:lineRule="auto"/>
      </w:pPr>
      <w:r w:rsidRPr="00B42E69">
        <w:t xml:space="preserve">Ο ιδιαίτερα </w:t>
      </w:r>
      <w:proofErr w:type="spellStart"/>
      <w:r w:rsidRPr="00B42E69">
        <w:t>ενεργοβόρος</w:t>
      </w:r>
      <w:proofErr w:type="spellEnd"/>
      <w:r w:rsidRPr="00B42E69">
        <w:t xml:space="preserve"> κτιριακός τομέας στη χώρα μας ευθύνεται περίπου για το 40% των εκπομπών CO</w:t>
      </w:r>
      <w:r w:rsidRPr="00ED4A20">
        <w:rPr>
          <w:vertAlign w:val="subscript"/>
        </w:rPr>
        <w:t>2</w:t>
      </w:r>
      <w:r w:rsidRPr="00ED4A20">
        <w:t xml:space="preserve"> και το </w:t>
      </w:r>
      <w:r w:rsidRPr="00561C32">
        <w:t>40% της πρωτογενούς κατανάλωσης ενέργειας</w:t>
      </w:r>
      <w:r w:rsidR="00B5782F" w:rsidRPr="00561C32">
        <w:t>.</w:t>
      </w:r>
      <w:r w:rsidRPr="00215392">
        <w:t xml:space="preserve"> Η σημερινή κατάσταση κατά</w:t>
      </w:r>
      <w:r w:rsidR="00975A1E" w:rsidRPr="00215392">
        <w:t xml:space="preserve"> την οποία οι Έλληνες πολίτες διαμένουν σε εξαιρετικά </w:t>
      </w:r>
      <w:proofErr w:type="spellStart"/>
      <w:r w:rsidR="00975A1E" w:rsidRPr="00215392">
        <w:t>ενεργοβόρα</w:t>
      </w:r>
      <w:proofErr w:type="spellEnd"/>
      <w:r w:rsidR="00975A1E" w:rsidRPr="00215392">
        <w:t xml:space="preserve"> κτίρια, καταδικάζει την οικονομία και το περιβάλλον σε αδιέξοδο. </w:t>
      </w:r>
    </w:p>
    <w:p w14:paraId="6A83CFC1" w14:textId="77777777" w:rsidR="009C1B02" w:rsidRPr="00215392" w:rsidRDefault="009C1B02" w:rsidP="00524440">
      <w:pPr>
        <w:spacing w:line="360" w:lineRule="auto"/>
      </w:pPr>
      <w:r w:rsidRPr="00215392">
        <w:lastRenderedPageBreak/>
        <w:t xml:space="preserve">Από την έναρξη </w:t>
      </w:r>
      <w:r w:rsidR="004F576E">
        <w:t>Εφαρμογής</w:t>
      </w:r>
      <w:r w:rsidRPr="00215392">
        <w:t xml:space="preserve"> του θεσμού του Πιστοποιητικού Ενεργειακής Απόδοσης, έχουν εκδοθεί μέχρι σήμερα συνολικά περισσότερα από 509.000 Πιστοποιητικά Ενεργειακής Απόδοσης (ΠΕΑ), τα οποία αποτελούν ένα πρώτο δείγμα για την ενεργειακή απόδοση του κτιριακού αποθέματος της χώρας. Ειδικότερα, το έτος 2011 έχουν εκδοθεί 60.640 ΠΕΑ, το έτος 2012 219.804 ΠΕΑ, το έτος 2013 226.077 ΠΕΑ και μέχρι τις 9 Ιανουαρίου 2014 2.501 ΠΕΑ.</w:t>
      </w:r>
    </w:p>
    <w:p w14:paraId="5DC61EF0" w14:textId="77777777" w:rsidR="009C1B02" w:rsidRPr="00215392" w:rsidRDefault="009C1B02" w:rsidP="00524440">
      <w:pPr>
        <w:spacing w:line="360" w:lineRule="auto"/>
      </w:pPr>
      <w:r w:rsidRPr="00215392">
        <w:t xml:space="preserve">Τα </w:t>
      </w:r>
      <w:proofErr w:type="spellStart"/>
      <w:r w:rsidRPr="00215392">
        <w:t>εκδοθέντα</w:t>
      </w:r>
      <w:proofErr w:type="spellEnd"/>
      <w:r w:rsidRPr="00215392">
        <w:t xml:space="preserve"> ΠΕΑ αφορούν κυρίως (σε ποσοστό 79%) κτίρια που κατασκευάστηκαν την </w:t>
      </w:r>
      <w:r w:rsidR="00EB38B3">
        <w:t>Περίοδο</w:t>
      </w:r>
      <w:r w:rsidRPr="00215392">
        <w:t xml:space="preserve"> 1950-2009.</w:t>
      </w:r>
    </w:p>
    <w:p w14:paraId="149DD8BF" w14:textId="77777777" w:rsidR="009C1B02" w:rsidRPr="00215392" w:rsidRDefault="009C1B02" w:rsidP="00524440">
      <w:pPr>
        <w:spacing w:line="360" w:lineRule="auto"/>
      </w:pPr>
      <w:r w:rsidRPr="00215392">
        <w:t xml:space="preserve">Το μεγαλύτερο ποσοστό (65,5%) των </w:t>
      </w:r>
      <w:proofErr w:type="spellStart"/>
      <w:r w:rsidRPr="00215392">
        <w:t>εκδοθέντων</w:t>
      </w:r>
      <w:proofErr w:type="spellEnd"/>
      <w:r w:rsidRPr="00215392">
        <w:t xml:space="preserve"> ΠΕΑ αφορά σε κτίρια (κυρίως διαμερίσματα) που επρόκειτο να μισθωθούν. Παράλληλα, παρατηρείται ότι, ο αριθμός των ΠΕΑ με λόγο έκδοσης «Πρώτη Ενεργειακή Επιθεώρηση» για το </w:t>
      </w:r>
      <w:r w:rsidR="00971D9A">
        <w:t>Πρόγραμμα</w:t>
      </w:r>
      <w:r w:rsidRPr="00215392">
        <w:t xml:space="preserve"> «εξοικονόμηση </w:t>
      </w:r>
      <w:r w:rsidR="00971D9A">
        <w:t xml:space="preserve">κατ’ </w:t>
      </w:r>
      <w:proofErr w:type="spellStart"/>
      <w:r w:rsidR="00971D9A">
        <w:t>Οίκον</w:t>
      </w:r>
      <w:proofErr w:type="spellEnd"/>
      <w:r w:rsidRPr="00215392">
        <w:t>» έχει αυξηθεί το 2013 συγκριτικά με τα προηγούμενα έτη.</w:t>
      </w:r>
    </w:p>
    <w:p w14:paraId="0690DF06" w14:textId="77777777" w:rsidR="009C1B02" w:rsidRPr="00215392" w:rsidRDefault="009C1B02" w:rsidP="00524440">
      <w:pPr>
        <w:spacing w:line="360" w:lineRule="auto"/>
      </w:pPr>
      <w:r w:rsidRPr="00215392">
        <w:t>Ένα σημαντικό ποσοστό κτιρίων βρίσκεται στην χαμηλότερη ενεργειακή κλάση (Η) και αφορά σε κτίρια χωρίς θερμομόνωση και με παλαιά και μη αποδοτικά συστήματα θέρμανσης και ψύξης.</w:t>
      </w:r>
    </w:p>
    <w:p w14:paraId="7EC88F2A" w14:textId="77777777" w:rsidR="009C1B02" w:rsidRPr="00215392" w:rsidRDefault="009C1B02" w:rsidP="00524440">
      <w:pPr>
        <w:spacing w:line="360" w:lineRule="auto"/>
      </w:pPr>
      <w:r w:rsidRPr="00215392">
        <w:t>Τα περισσότερα ΠΕΑ έχουν εκδοθεί στη Νομαρχία Αθηνών (30,77%), στο Νομό Θεσσαλονίκης (12%), στη Νομαρχία Πειραιώς (4,7%) και στη Νομαρχία Ανατολικής Αττικής (4,3%).</w:t>
      </w:r>
    </w:p>
    <w:p w14:paraId="6F2941FB" w14:textId="77777777" w:rsidR="009C1B02" w:rsidRPr="00215392" w:rsidRDefault="009C1B02" w:rsidP="00524440">
      <w:pPr>
        <w:spacing w:line="360" w:lineRule="auto"/>
      </w:pPr>
      <w:r w:rsidRPr="00215392">
        <w:t>Οι χρήσεις μονοκατοικία, πολυκατοικία (κυρίως διαμερίσματα), γραφεία και καταστήματα, καλύπτουν το μεγαλύτερο ποσοστό (85%) των χρήσεων ακινήτων για τα οποία έχει εκδοθεί ΠΕΑ, ενώ κτίρια του τριτογενούς τομέα υπολείπονται των προηγούμενων.</w:t>
      </w:r>
    </w:p>
    <w:p w14:paraId="1CD5209D" w14:textId="77777777" w:rsidR="009C1B02" w:rsidRPr="00B42E69" w:rsidRDefault="009C1B02" w:rsidP="00524440">
      <w:pPr>
        <w:spacing w:line="360" w:lineRule="auto"/>
      </w:pPr>
      <w:r w:rsidRPr="00215392">
        <w:t>Από τα στοιχεία για τη Μέση Κατανάλωση των κτιρίων ανάλογα με την χρήση και την κλιματική ζώνη και Ποσοστό Εξοικονόμησης Ενέργειας Κτιρίων ανά Κλιματική Ζώνη αναδεικνύεται</w:t>
      </w:r>
      <w:r w:rsidR="007314BE" w:rsidRPr="00215392">
        <w:t xml:space="preserve"> </w:t>
      </w:r>
      <w:r w:rsidRPr="00215392">
        <w:t>το τεράστιο δυναμικό εξοικονόμησης ενέργειας του κτιριακού αποθέματος της χώρας.</w:t>
      </w:r>
    </w:p>
    <w:p w14:paraId="3750E633" w14:textId="77777777" w:rsidR="00791808" w:rsidRDefault="00791808" w:rsidP="00524440">
      <w:pPr>
        <w:spacing w:line="360" w:lineRule="auto"/>
      </w:pPr>
    </w:p>
    <w:p w14:paraId="359C1116" w14:textId="77777777" w:rsidR="00094A04" w:rsidRDefault="00094A04" w:rsidP="00DC12D0">
      <w:pPr>
        <w:pStyle w:val="4"/>
      </w:pPr>
      <w:proofErr w:type="spellStart"/>
      <w:r>
        <w:t>Αστικότητα</w:t>
      </w:r>
      <w:proofErr w:type="spellEnd"/>
    </w:p>
    <w:p w14:paraId="3F485BAC" w14:textId="77777777" w:rsidR="009C1B02" w:rsidRPr="001A5251" w:rsidRDefault="009C1B02" w:rsidP="00524440">
      <w:pPr>
        <w:spacing w:line="360" w:lineRule="auto"/>
      </w:pPr>
      <w:r w:rsidRPr="001A5251">
        <w:t xml:space="preserve">Εκτός της κλιματικής ζώνης, άμεση επίπτωση στην ενεργειακή απόδοση και τη μέση κατανάλωση ενέργειας των κατοικιών, επιφέρει και το περιβάλλον (αστικό ή αγροτικό) εντός του οποίου </w:t>
      </w:r>
      <w:proofErr w:type="spellStart"/>
      <w:r w:rsidRPr="001A5251">
        <w:t>χωροθετούνται</w:t>
      </w:r>
      <w:proofErr w:type="spellEnd"/>
      <w:r w:rsidRPr="001A5251">
        <w:t>. Σύμφωνα με τα στοιχεία της ΕΛΣΤΑΤ, το 65% των κανονικών κατοικιών στη χώρα μας αποτελούν αστικές κατοικίες, ενώ το 35% αποτελούν αγροτικές.</w:t>
      </w:r>
    </w:p>
    <w:p w14:paraId="55F1B7CA" w14:textId="77777777" w:rsidR="009C1B02" w:rsidRPr="001A5251" w:rsidRDefault="009C1B02" w:rsidP="00524440">
      <w:pPr>
        <w:spacing w:line="360" w:lineRule="auto"/>
      </w:pPr>
      <w:r w:rsidRPr="001A5251">
        <w:t>Εξετάζοντας παράλληλα την κατανομή στις κλιματικές ζώνες, προκύπτει ότι η πλειοψηφία των αστικών κατοικιών (63,7%) συγκεντρώνεται στη ζώνη Β, ενώ αντίθετα οι αγροτικές κατοικίες κατανέμονται σχεδόν ισοδύναμα μεταξύ των ζωνών Α, Β και Γ.</w:t>
      </w:r>
    </w:p>
    <w:p w14:paraId="3524A636" w14:textId="77777777" w:rsidR="00094A04" w:rsidRPr="001A5251" w:rsidRDefault="000F79B6" w:rsidP="00DC12D0">
      <w:pPr>
        <w:pStyle w:val="4"/>
      </w:pPr>
      <w:r w:rsidRPr="001A5251">
        <w:lastRenderedPageBreak/>
        <w:t xml:space="preserve"> </w:t>
      </w:r>
      <w:r w:rsidR="00094A04">
        <w:t>Ιδιοκτησιακό Καθεστώς</w:t>
      </w:r>
    </w:p>
    <w:p w14:paraId="5A0939AF" w14:textId="77777777" w:rsidR="009C1B02" w:rsidRDefault="009C1B02" w:rsidP="00524440">
      <w:pPr>
        <w:spacing w:line="360" w:lineRule="auto"/>
      </w:pPr>
      <w:r w:rsidRPr="001A5251">
        <w:t xml:space="preserve">Όπως αποτυπώθηκε και στο προηγούμενο κεφάλαιο, το ιδιοκτησιακό καθεστώς των κτιρίων αποτελεί μία από τις αδυναμίες της αγοράς στον ευρύτερο τομέα της ενεργειακής απόδοσης. Στη χώρα μας, προκύπτει ότι μόλις το 2% του κτιριακού αποθέματος ανήκει στο Δημόσιο, ενώ οι ιδιώτες κατέχουν σχεδόν το σύνολο του κτιριακού αποθέματος στην Ελλάδα (98%). Παράλληλα, </w:t>
      </w:r>
      <w:r w:rsidR="007314BE" w:rsidRPr="001A5251">
        <w:t xml:space="preserve">βάσει των διαθέσιμων στοιχείων </w:t>
      </w:r>
      <w:r w:rsidRPr="001A5251">
        <w:t>επιβεβαιώνεται το γεγονός ότι στη χώρα μας το ποσοστό ιδιοκατοίκησης – ιδιόχρησης των κτιρίων είναι ιδιαίτερα σημαντικό (77%), καθώς μόλις το 23% των κτιρίων είναι μισθωμένα.</w:t>
      </w:r>
    </w:p>
    <w:p w14:paraId="2EF6E723" w14:textId="77777777" w:rsidR="00D51AED" w:rsidRDefault="00D51AED" w:rsidP="00DC12D0">
      <w:pPr>
        <w:pStyle w:val="4"/>
      </w:pPr>
      <w:r>
        <w:t>Συμπεράσματα</w:t>
      </w:r>
    </w:p>
    <w:p w14:paraId="510DE728" w14:textId="77777777" w:rsidR="009C1B02" w:rsidRPr="001A5251" w:rsidRDefault="009C1B02" w:rsidP="00524440">
      <w:pPr>
        <w:spacing w:line="360" w:lineRule="auto"/>
      </w:pPr>
      <w:r w:rsidRPr="001A5251">
        <w:t>Στην παράγραφο αυτή διατυπώνονται ορισμένα συμπεράσματα που αφορούν στις αστοχίες τ</w:t>
      </w:r>
      <w:r w:rsidR="00E81FDD" w:rsidRPr="001A5251">
        <w:t>ης</w:t>
      </w:r>
      <w:r w:rsidRPr="001A5251">
        <w:t xml:space="preserve"> αγοράς και επηρεάζουν την ενεργειακή απόδοση των κτιρίων της χώρας, καθώς και τις προοπτικές για</w:t>
      </w:r>
      <w:r w:rsidR="00E81FDD" w:rsidRPr="001A5251">
        <w:t xml:space="preserve"> την</w:t>
      </w:r>
      <w:r w:rsidRPr="001A5251">
        <w:t xml:space="preserve"> ενεργειακή αναβάθμισ</w:t>
      </w:r>
      <w:r w:rsidR="00E81FDD" w:rsidRPr="001A5251">
        <w:t>ή τους</w:t>
      </w:r>
      <w:r w:rsidRPr="001A5251">
        <w:t>.</w:t>
      </w:r>
    </w:p>
    <w:p w14:paraId="1D69C146" w14:textId="77777777" w:rsidR="00E81FDD" w:rsidRPr="001A5251" w:rsidRDefault="009C1B02" w:rsidP="00524440">
      <w:pPr>
        <w:spacing w:line="360" w:lineRule="auto"/>
      </w:pPr>
      <w:r w:rsidRPr="001A5251">
        <w:t xml:space="preserve">Σύμφωνα με τα </w:t>
      </w:r>
      <w:r w:rsidR="00E81FDD" w:rsidRPr="001A5251">
        <w:t>προηγούμενα</w:t>
      </w:r>
      <w:r w:rsidRPr="001A5251">
        <w:t xml:space="preserve"> η συντριπτική πλειο</w:t>
      </w:r>
      <w:r w:rsidR="00E81FDD" w:rsidRPr="001A5251">
        <w:t>νότητα</w:t>
      </w:r>
      <w:r w:rsidRPr="001A5251">
        <w:t xml:space="preserve"> των κατοικιών στην ελληνική επικράτεια, ποσοστό 82%, έχει κατασκευαστεί πριν το 2000, με τη μερίδα του λέοντος να καταλαμβάνουν όσες έχουν κατασκευαστεί πριν το 1980 (40%). </w:t>
      </w:r>
    </w:p>
    <w:p w14:paraId="7D2868CD" w14:textId="77777777" w:rsidR="009C1B02" w:rsidRPr="001A5251" w:rsidRDefault="009C1B02" w:rsidP="00524440">
      <w:pPr>
        <w:spacing w:line="360" w:lineRule="auto"/>
      </w:pPr>
      <w:r w:rsidRPr="001A5251">
        <w:t>Γίνεται επομένως αντιληπτό, ότι σημαντικό μέρος των κατοικιών της χώρας δεν έχει εφαρμοστεί ο Κανονισμός Θερμομόνωσης</w:t>
      </w:r>
      <w:r w:rsidR="000F79B6" w:rsidRPr="001A5251">
        <w:t xml:space="preserve"> </w:t>
      </w:r>
      <w:r w:rsidRPr="001A5251">
        <w:t xml:space="preserve">Κτιρίων που θεσπίστηκε τη δεκαετία του </w:t>
      </w:r>
      <w:r w:rsidR="00E81FDD" w:rsidRPr="001A5251">
        <w:t>19</w:t>
      </w:r>
      <w:r w:rsidRPr="001A5251">
        <w:t>80 και δεν έχουν χρησιμοποιηθεί τα σύγχρονα κατασκευαστικά προϊόντα που θωρακίζουν ενεργειακά τις νέες κατοικίες.</w:t>
      </w:r>
    </w:p>
    <w:p w14:paraId="12498087" w14:textId="77777777" w:rsidR="009C1B02" w:rsidRPr="001A5251" w:rsidRDefault="009C1B02" w:rsidP="00524440">
      <w:pPr>
        <w:spacing w:line="360" w:lineRule="auto"/>
      </w:pPr>
      <w:r w:rsidRPr="001A5251">
        <w:t xml:space="preserve">Επιπλέον, η οικοδομική δραστηριότητα στη χώρα </w:t>
      </w:r>
      <w:r w:rsidR="006F6A9A">
        <w:t>λόγω της οικονομικής κρίσης έχει συρρικνωθεί</w:t>
      </w:r>
      <w:r w:rsidRPr="001A5251">
        <w:t xml:space="preserve">, με τις </w:t>
      </w:r>
      <w:proofErr w:type="spellStart"/>
      <w:r w:rsidRPr="001A5251">
        <w:t>εκδοθείσες</w:t>
      </w:r>
      <w:proofErr w:type="spellEnd"/>
      <w:r w:rsidRPr="001A5251">
        <w:t xml:space="preserve"> οικοδομικές άδειες να παρουσιάζουν </w:t>
      </w:r>
      <w:r w:rsidR="006F6A9A">
        <w:t xml:space="preserve">σημαντική </w:t>
      </w:r>
      <w:r w:rsidRPr="001A5251">
        <w:t>μείωση</w:t>
      </w:r>
      <w:r w:rsidR="006F6A9A">
        <w:t xml:space="preserve"> έως το 2015 για να εμφανίσουν μικρή ανάκαμψη από το 2017</w:t>
      </w:r>
      <w:r w:rsidRPr="001A5251">
        <w:t xml:space="preserve">. Το γεγονός αυτό ενισχύει την πρόβλεψη ότι </w:t>
      </w:r>
      <w:r w:rsidR="006F6A9A">
        <w:t xml:space="preserve">τα παλαιά κτίρια δεν αντικαθίστανται, </w:t>
      </w:r>
      <w:r w:rsidRPr="001A5251">
        <w:t>ο μέσος όρος ηλικίας των κατοικιών της χώρας αυξάνει και οι ανάγκες για ενεργειακή αναβάθμισή τους θα γίνονται ολοένα και πιο εμφανείς.</w:t>
      </w:r>
    </w:p>
    <w:p w14:paraId="28D47EDB" w14:textId="77777777" w:rsidR="009C1B02" w:rsidRPr="001A5251" w:rsidRDefault="009C1B02" w:rsidP="00524440">
      <w:pPr>
        <w:spacing w:line="360" w:lineRule="auto"/>
      </w:pPr>
      <w:r w:rsidRPr="001A5251">
        <w:t xml:space="preserve">Υπολογίζεται ότι, με την αναβάθμιση των κτιρίων προκειμένου αυτές να ικανοποιούν </w:t>
      </w:r>
      <w:proofErr w:type="spellStart"/>
      <w:r w:rsidRPr="001A5251">
        <w:t>κατ</w:t>
      </w:r>
      <w:proofErr w:type="spellEnd"/>
      <w:r w:rsidRPr="001A5251">
        <w:t>΄</w:t>
      </w:r>
      <w:r w:rsidR="00E81FDD" w:rsidRPr="001A5251">
        <w:t xml:space="preserve"> </w:t>
      </w:r>
      <w:r w:rsidRPr="001A5251">
        <w:t>ελάχιστο τις απαιτήσεις της Β ενεργειακής κατηγορίας, σύμφωνα με τον ΚΕΝΑΚ, θα επιτευχθεί σημαντική εξοικονόμηση ενέργειας, σε ποσοστό 66% στις μονοκατοικίες και σε ποσοστό 56% στις πολυκατοικίες.</w:t>
      </w:r>
    </w:p>
    <w:p w14:paraId="7B1359CB" w14:textId="77777777" w:rsidR="00E81FDD" w:rsidRPr="001A5251" w:rsidRDefault="009C1B02" w:rsidP="00524440">
      <w:pPr>
        <w:spacing w:line="360" w:lineRule="auto"/>
      </w:pPr>
      <w:r w:rsidRPr="001A5251">
        <w:t>Ωστόσο, οι ιδιοκτήτες των κτιρίων της χώρας, που στη συντριπτική τους πλειο</w:t>
      </w:r>
      <w:r w:rsidR="00E81FDD" w:rsidRPr="001A5251">
        <w:t xml:space="preserve">νότητα </w:t>
      </w:r>
      <w:r w:rsidRPr="001A5251">
        <w:t xml:space="preserve">(98%) είναι ιδιώτες, εμφανίζονται </w:t>
      </w:r>
      <w:r w:rsidR="000F79B6" w:rsidRPr="001A5251">
        <w:t>διστακτικοί</w:t>
      </w:r>
      <w:r w:rsidRPr="001A5251">
        <w:t xml:space="preserve"> και απρόθυμοι στο να προβούν σε ενέργειες που αποσκοπούν στην ενεργειακή αναβάθμιση των κτιρίων τους. Ένα μικρό σχετικά ποσοστό αυτών (23%) που μισθώνει τις ιδιοκτησίες του, </w:t>
      </w:r>
      <w:r w:rsidR="001C7BAB">
        <w:t>ίσως εμφανίσει</w:t>
      </w:r>
      <w:r w:rsidR="001C7BAB" w:rsidRPr="001A5251">
        <w:t xml:space="preserve"> </w:t>
      </w:r>
      <w:r w:rsidRPr="001A5251">
        <w:t xml:space="preserve">μεγαλύτερο ενδιαφέρον για </w:t>
      </w:r>
      <w:r w:rsidR="00B42E69">
        <w:t xml:space="preserve">το όφελος από </w:t>
      </w:r>
      <w:r w:rsidRPr="001A5251">
        <w:t xml:space="preserve">τα θετικά </w:t>
      </w:r>
      <w:r w:rsidRPr="001A5251">
        <w:lastRenderedPageBreak/>
        <w:t xml:space="preserve">αποτελέσματα που επιφέρει η ενεργειακή αναβάθμιση των κτιρίων, προκειμένου οι ιδιοκτησίες τους να </w:t>
      </w:r>
      <w:r w:rsidR="0093692C" w:rsidRPr="001A5251">
        <w:t>προτιμώνται</w:t>
      </w:r>
      <w:r w:rsidRPr="001A5251">
        <w:t xml:space="preserve"> περισσότερο</w:t>
      </w:r>
      <w:r w:rsidR="00B42E69">
        <w:t>.</w:t>
      </w:r>
    </w:p>
    <w:p w14:paraId="3068B077" w14:textId="77777777" w:rsidR="008250A1" w:rsidRDefault="008250A1" w:rsidP="00FA5CD9">
      <w:pPr>
        <w:pStyle w:val="3"/>
      </w:pPr>
      <w:bookmarkStart w:id="34" w:name="_Toc36639212"/>
      <w:r w:rsidRPr="001A5251">
        <w:t>Ανάλυση Προσφοράς</w:t>
      </w:r>
      <w:bookmarkEnd w:id="34"/>
    </w:p>
    <w:p w14:paraId="3B46987A" w14:textId="77777777" w:rsidR="00D51AED" w:rsidRDefault="00D51AED" w:rsidP="00DC12D0">
      <w:pPr>
        <w:pStyle w:val="4"/>
      </w:pPr>
      <w:r>
        <w:t>Το εγχώριο χρηματοπιστωτικό σύστημα</w:t>
      </w:r>
    </w:p>
    <w:p w14:paraId="1E545298" w14:textId="77777777" w:rsidR="008250A1" w:rsidRPr="001A5251" w:rsidRDefault="008250A1" w:rsidP="00524440">
      <w:pPr>
        <w:spacing w:line="360" w:lineRule="auto"/>
      </w:pPr>
      <w:r w:rsidRPr="001A5251">
        <w:t>Η Ευρωπαϊκή Κεντρική Τράπεζα (ΕΚΤ) στην προσπάθεια αντιμετώπισης της παρατηρούμενης στασιμότητας και του πολύ χαμηλού επιπέδου του πληθωρισμού της ευρωζώνης, έχει προχωρήσει σε μείωση των επιτοκίων της σε ιστορικά χαμηλά επίπεδα. Παρ’ όλα αυτά, η ΕΚΤ έχει καθυστερήσει να λάβει μέτρα για μία περισσότερο επεκτατική νομισματική πολιτική με αποτέλεσμα να υπάρχει κίνδυνος αποπληθωρισμού συνολικά στην ευρωζώνη.</w:t>
      </w:r>
    </w:p>
    <w:p w14:paraId="23F155A1" w14:textId="77777777" w:rsidR="00701036" w:rsidRPr="001A5251" w:rsidRDefault="008250A1" w:rsidP="00524440">
      <w:pPr>
        <w:spacing w:line="360" w:lineRule="auto"/>
      </w:pPr>
      <w:r w:rsidRPr="001A5251">
        <w:t xml:space="preserve">Στο πλαίσιο αυτό και με τα επιτόκια να έχουν πλέον προσεγγίσει στα χαμηλότερα δυνατά επίπεδα, η λήψη μέτρων ποσοτικής επέκτασης που εφάρμοσαν οι κεντρικές τράπεζες των ΗΠΑ, της Ιαπωνίας και της Μ. Βρετανίας, </w:t>
      </w:r>
      <w:r w:rsidR="004D4EE1" w:rsidRPr="001A5251">
        <w:t xml:space="preserve">ήταν αναμενόμενο να εφαρμοσθεί </w:t>
      </w:r>
      <w:r w:rsidRPr="001A5251">
        <w:t>και από την ΕΚΤ.</w:t>
      </w:r>
    </w:p>
    <w:p w14:paraId="7C6ED51B" w14:textId="77777777" w:rsidR="004B2C11" w:rsidRPr="001A5251" w:rsidRDefault="001878E5" w:rsidP="00524440">
      <w:pPr>
        <w:spacing w:line="360" w:lineRule="auto"/>
      </w:pPr>
      <w:r w:rsidRPr="001A5251">
        <w:rPr>
          <w:noProof/>
          <w:lang w:eastAsia="el-GR"/>
        </w:rPr>
        <w:t xml:space="preserve"> </w:t>
      </w:r>
      <w:r w:rsidR="004B2C11" w:rsidRPr="001A5251">
        <w:rPr>
          <w:noProof/>
          <w:lang w:eastAsia="el-GR"/>
        </w:rPr>
        <w:drawing>
          <wp:inline distT="0" distB="0" distL="0" distR="0" wp14:anchorId="124FD30E" wp14:editId="1B607DC1">
            <wp:extent cx="5267325" cy="2905760"/>
            <wp:effectExtent l="0" t="0" r="952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905760"/>
                    </a:xfrm>
                    <a:prstGeom prst="rect">
                      <a:avLst/>
                    </a:prstGeom>
                    <a:noFill/>
                    <a:ln>
                      <a:noFill/>
                    </a:ln>
                  </pic:spPr>
                </pic:pic>
              </a:graphicData>
            </a:graphic>
          </wp:inline>
        </w:drawing>
      </w:r>
    </w:p>
    <w:p w14:paraId="42F261EC" w14:textId="77777777" w:rsidR="004B2C11" w:rsidRPr="001A5251" w:rsidRDefault="004B2C11" w:rsidP="00524440">
      <w:pPr>
        <w:spacing w:line="360" w:lineRule="auto"/>
      </w:pPr>
      <w:r w:rsidRPr="001A5251">
        <w:t xml:space="preserve">Σε κάθε περίπτωση, ακόμα και εάν η πολιτική της ΕΚΤ κρίνεται κατάλληλη σε ευρωπαϊκό επίπεδο, για την Ελλάδα με το επίπεδο πληθωρισμού να είναι αρνητικό και τη γενικότερη έλλειψη ρευστότητας στο τραπεζικό σύστημα, η νομισματική πολιτική δεν κρίνεται επαρκώς επεκτατική. </w:t>
      </w:r>
    </w:p>
    <w:p w14:paraId="67A370FA" w14:textId="77777777" w:rsidR="004B2C11" w:rsidRDefault="004B2C11" w:rsidP="00524440">
      <w:pPr>
        <w:spacing w:line="360" w:lineRule="auto"/>
      </w:pPr>
      <w:r w:rsidRPr="001A5251">
        <w:t>Ως αποτέλεσμα, τα πρώτα έτη της παρούσας αρνητικής οικονομικής συγκυρίας (2009 –2012) η ποσότητα χρήματος στην ελληνική οικονομία μειώθηκε σωρευτικά κατά 32,7%, εξέλιξη η οποία είναι συνεπής με την πτωτική πορεία του ΑΕΠ, του επιπέδου των τιμών και του μέσου ονομαστικού επιτοκίου καταθέσεων.</w:t>
      </w:r>
    </w:p>
    <w:p w14:paraId="04320349" w14:textId="77777777" w:rsidR="00107553" w:rsidRPr="00842B19" w:rsidRDefault="00107553" w:rsidP="00524440">
      <w:pPr>
        <w:spacing w:line="360" w:lineRule="auto"/>
        <w:rPr>
          <w:b/>
        </w:rPr>
      </w:pPr>
      <w:r w:rsidRPr="00842B19">
        <w:rPr>
          <w:b/>
        </w:rPr>
        <w:t xml:space="preserve">Πίνακας </w:t>
      </w:r>
      <w:r w:rsidR="00842B19">
        <w:rPr>
          <w:b/>
        </w:rPr>
        <w:t xml:space="preserve">εξέλιξης </w:t>
      </w:r>
      <w:r w:rsidRPr="00842B19">
        <w:rPr>
          <w:b/>
        </w:rPr>
        <w:t>καθαρού κεφαλα</w:t>
      </w:r>
      <w:r w:rsidR="00842B19">
        <w:rPr>
          <w:b/>
        </w:rPr>
        <w:t xml:space="preserve">ιακού αποθέματος 1995-2016 </w:t>
      </w:r>
    </w:p>
    <w:p w14:paraId="0DB4C08B" w14:textId="77777777" w:rsidR="00890DE0" w:rsidRPr="001A5251" w:rsidRDefault="00107553" w:rsidP="00524440">
      <w:pPr>
        <w:spacing w:line="360" w:lineRule="auto"/>
      </w:pPr>
      <w:r>
        <w:rPr>
          <w:noProof/>
          <w:lang w:eastAsia="el-GR"/>
        </w:rPr>
        <w:lastRenderedPageBreak/>
        <w:drawing>
          <wp:inline distT="0" distB="0" distL="0" distR="0" wp14:anchorId="5FC51B65" wp14:editId="27B8DA11">
            <wp:extent cx="5580380" cy="2813685"/>
            <wp:effectExtent l="0" t="0" r="127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0380" cy="2813685"/>
                    </a:xfrm>
                    <a:prstGeom prst="rect">
                      <a:avLst/>
                    </a:prstGeom>
                  </pic:spPr>
                </pic:pic>
              </a:graphicData>
            </a:graphic>
          </wp:inline>
        </w:drawing>
      </w:r>
      <w:r w:rsidRPr="001A5251">
        <w:rPr>
          <w:noProof/>
          <w:lang w:eastAsia="el-GR"/>
        </w:rPr>
        <w:t xml:space="preserve"> </w:t>
      </w:r>
    </w:p>
    <w:p w14:paraId="6A4B50BC" w14:textId="77777777" w:rsidR="004D4EE1" w:rsidRPr="00842B19" w:rsidRDefault="00842B19" w:rsidP="00524440">
      <w:pPr>
        <w:spacing w:line="360" w:lineRule="auto"/>
        <w:rPr>
          <w:b/>
        </w:rPr>
      </w:pPr>
      <w:r w:rsidRPr="00842B19">
        <w:rPr>
          <w:b/>
        </w:rPr>
        <w:t>Πίνακας μεταβολής καθαρού κεφαλαιακού αποθέματος ανά κλάδο οικονομικής δραστηριότητας (2010 – 2016)</w:t>
      </w:r>
      <w:r>
        <w:rPr>
          <w:b/>
        </w:rPr>
        <w:t xml:space="preserve"> </w:t>
      </w:r>
    </w:p>
    <w:p w14:paraId="66653DFF" w14:textId="77777777" w:rsidR="00842B19" w:rsidRPr="001A5251" w:rsidRDefault="00842B19" w:rsidP="00524440">
      <w:pPr>
        <w:spacing w:line="360" w:lineRule="auto"/>
      </w:pPr>
      <w:r>
        <w:rPr>
          <w:noProof/>
          <w:lang w:eastAsia="el-GR"/>
        </w:rPr>
        <w:drawing>
          <wp:inline distT="0" distB="0" distL="0" distR="0" wp14:anchorId="799298FC" wp14:editId="08040173">
            <wp:extent cx="5580380" cy="3936365"/>
            <wp:effectExtent l="0" t="0" r="127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0380" cy="3936365"/>
                    </a:xfrm>
                    <a:prstGeom prst="rect">
                      <a:avLst/>
                    </a:prstGeom>
                  </pic:spPr>
                </pic:pic>
              </a:graphicData>
            </a:graphic>
          </wp:inline>
        </w:drawing>
      </w:r>
    </w:p>
    <w:p w14:paraId="55084996" w14:textId="77777777" w:rsidR="00890DE0" w:rsidRPr="001A5251" w:rsidRDefault="00890DE0" w:rsidP="00524440">
      <w:pPr>
        <w:spacing w:line="360" w:lineRule="auto"/>
      </w:pPr>
      <w:r w:rsidRPr="001A5251">
        <w:t>Εξειδικεύοντας, όπως προκύπτει στο ανωτέρω διάγραμμα, μέχρι το 200</w:t>
      </w:r>
      <w:r w:rsidR="00842B19">
        <w:t>9</w:t>
      </w:r>
      <w:r w:rsidRPr="001A5251">
        <w:t xml:space="preserve"> η ποσότητα χρήματος στην ελληνική οικονομία καταγράφει ανοδική πορεία </w:t>
      </w:r>
      <w:r w:rsidR="00842B19">
        <w:t>σε τρέχουσες τιμές</w:t>
      </w:r>
      <w:r w:rsidRPr="001A5251">
        <w:t xml:space="preserve">. Στη συνέχεια ωστόσο, το ξέσπασμα της παγκόσμιας χρηματοπιστωτικής κρίσης επηρέασε αισθητά και το εγχώριο χρηματοπιστωτικό σύστημα, με το ποσοστό μεταβολής της ποσότητας χρήματος να παραμένει σε </w:t>
      </w:r>
      <w:r w:rsidRPr="001A5251">
        <w:lastRenderedPageBreak/>
        <w:t>θετικά επίπεδα μέχρι και το τέλος του 2009</w:t>
      </w:r>
      <w:r w:rsidR="00842B19">
        <w:t>.</w:t>
      </w:r>
      <w:r w:rsidRPr="001A5251">
        <w:t xml:space="preserve"> </w:t>
      </w:r>
      <w:r w:rsidR="00842B19">
        <w:t xml:space="preserve"> </w:t>
      </w:r>
      <w:r w:rsidRPr="001A5251">
        <w:t>Από το 2010, η κάμψη συνεχίσθηκε ακόμα πιο έντονη</w:t>
      </w:r>
      <w:r w:rsidR="00842B19">
        <w:t xml:space="preserve"> έως  το 2016</w:t>
      </w:r>
      <w:r w:rsidRPr="001A5251">
        <w:t xml:space="preserve">, ως αποτέλεσμα της αποσταθεροποίησης του εγχώριου οικονομικού περιβάλλοντος και της εισόδου της ελληνικής οικονομίας υπό καθεστώς διεθνούς επιτήρησης. Ως συνέπεια, σημαντικό μέρος των εγχώριων κεφαλαίων διέρρευσε σε καταθέσεις και χρεόγραφα στο εξωτερικό, με αποτέλεσμα η ποσότητα χρήματος στην ελληνική οικονομία να αρχίσει πλέον να μειώνεται (καταγράφοντας αρνητικό ρυθμό μεταβολής). </w:t>
      </w:r>
    </w:p>
    <w:p w14:paraId="39FBD330" w14:textId="77777777" w:rsidR="00890DE0" w:rsidRPr="001A5251" w:rsidRDefault="00890DE0" w:rsidP="00524440">
      <w:pPr>
        <w:spacing w:line="360" w:lineRule="auto"/>
      </w:pPr>
      <w:r w:rsidRPr="001A5251">
        <w:t xml:space="preserve">Το μοντέλο χρηματοδότησης του ιδιωτικού τομέα στη χώρα μας βασίζεται σε πολύ μεγάλο βαθμό στον τραπεζικό δανεισμό, καθώς σύμφωνα με την έκθεση της Ευρωπαϊκής Κεντρικής Τράπεζας για τη χρηματοδότηση του ιδιωτικού τομέα, η Ελλάδα ανήκει στις χώρες με το μεγαλύτερο ποσοστό τραπεζικής χρηματοδότησης (ως προς το σύνολο της χρηματοδότησης). </w:t>
      </w:r>
    </w:p>
    <w:p w14:paraId="0CE1AE29" w14:textId="77777777" w:rsidR="00890DE0" w:rsidRPr="001A5251" w:rsidRDefault="00890DE0" w:rsidP="00524440">
      <w:pPr>
        <w:spacing w:line="360" w:lineRule="auto"/>
      </w:pPr>
      <w:r w:rsidRPr="001A5251">
        <w:t xml:space="preserve">Στο πλαίσιο αυτό, οι αρνητικές εξελίξεις στο χρηματοπιστωτικό τομέα έχουν επηρεάσει ιδιαίτερα αρνητικά την πρόσβαση του ιδιωτικού τομέα στην εξωτερική χρηματοδότηση. Εξειδικεύοντας, η εξασθένηση της πιστοδοτικής ικανότητας των τραπεζών (λόγω της περιορισμένης πρόσβασής τους στη διατραπεζική αγορά, της προσπάθειας εξυγίανσης των ισολογισμών τους και της αύξησης των μη εξυπηρετούμενων δανείων) οδήγησε στον περιορισμό της τραπεζικής χρηματοδότησης προς τον ιδιωτικό τομέα, με αποτέλεσμα ένας σημαντικός αριθμός ιδιωτών να αντιμετωπίζει δυσχέρειες στη χρηματοδότηση τόσο των επενδυτικών όσο και των καταναλωτικών δραστηριοτήτων του. </w:t>
      </w:r>
    </w:p>
    <w:p w14:paraId="48E30694" w14:textId="77777777" w:rsidR="00890DE0" w:rsidRPr="001A5251" w:rsidRDefault="00890DE0" w:rsidP="00524440">
      <w:pPr>
        <w:spacing w:line="360" w:lineRule="auto"/>
      </w:pPr>
      <w:r w:rsidRPr="001A5251">
        <w:t>Εστιάζοντας στη χρηματοδότηση των ιδιωτών (νοικοκυριών και μη κερδοσκοπικών ιδρυμάτων), προκύπτει ο ετήσιος ρυθμός μεταβολής των δανείων από τραπεζικά ιδρύματα σημειώνει έντονη πτώση από τις αρχές του 2009. Από το δεύτερο</w:t>
      </w:r>
      <w:r w:rsidRPr="001A5251">
        <w:rPr>
          <w:sz w:val="14"/>
          <w:szCs w:val="14"/>
        </w:rPr>
        <w:t xml:space="preserve"> </w:t>
      </w:r>
      <w:r w:rsidRPr="001A5251">
        <w:t>εξάμηνο του 2010 μέχρι και σήμερα ο ρυθμός μεταβολής των τραπεζικών δανείων διαμορφώνεται σε αρνητικά επίπεδα με αποτέλεσμα και οι σχετικές ροές δανείων να διαμορφώνονται αρνητικές (δηλαδή το υπόλοιπο των δανείων πλέον συρρικνώνεται).</w:t>
      </w:r>
    </w:p>
    <w:p w14:paraId="488031A2" w14:textId="77777777" w:rsidR="00DE51A8" w:rsidRDefault="00DE51A8" w:rsidP="00524440">
      <w:pPr>
        <w:spacing w:line="360" w:lineRule="auto"/>
      </w:pPr>
      <w:r>
        <w:rPr>
          <w:noProof/>
          <w:lang w:eastAsia="el-GR"/>
        </w:rPr>
        <w:lastRenderedPageBreak/>
        <w:drawing>
          <wp:inline distT="0" distB="0" distL="0" distR="0" wp14:anchorId="1CB83CAC" wp14:editId="62FC462F">
            <wp:extent cx="5580380" cy="2943225"/>
            <wp:effectExtent l="0" t="0" r="1270" b="952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FCF3D5" w14:textId="77777777" w:rsidR="0032027F" w:rsidRPr="001A5251" w:rsidRDefault="0032027F" w:rsidP="00524440">
      <w:pPr>
        <w:spacing w:line="360" w:lineRule="auto"/>
      </w:pPr>
      <w:r w:rsidRPr="001A5251">
        <w:t xml:space="preserve">Από στοιχεία της </w:t>
      </w:r>
      <w:proofErr w:type="spellStart"/>
      <w:r w:rsidRPr="001A5251">
        <w:t>ΤτΕ</w:t>
      </w:r>
      <w:proofErr w:type="spellEnd"/>
      <w:r w:rsidRPr="001A5251">
        <w:t xml:space="preserve"> παρατηρείται ότι η εξέλιξη του τραπεζικού δανεισμού προς τα νοικοκυριά τα τελευταία έτη μειώνεται συνεχώς τόσο στα στεγαστικά δάνεια όσο και στα καταναλωτικά μετά από εκρηκτική πορεία την δεκαετία του 2000. </w:t>
      </w:r>
    </w:p>
    <w:p w14:paraId="1B23265F" w14:textId="77777777" w:rsidR="00D51AED" w:rsidRDefault="00D51AED" w:rsidP="00FA5CD9">
      <w:pPr>
        <w:pStyle w:val="3"/>
      </w:pPr>
      <w:bookmarkStart w:id="35" w:name="_Toc36639213"/>
      <w:r>
        <w:t>Μορφές χρηματοδότησης έργων ενεργειακής απόδοσης</w:t>
      </w:r>
      <w:bookmarkEnd w:id="35"/>
      <w:r>
        <w:t xml:space="preserve"> </w:t>
      </w:r>
    </w:p>
    <w:p w14:paraId="2E83C4E2" w14:textId="77777777" w:rsidR="00421E7D" w:rsidRPr="001A5251" w:rsidRDefault="00421E7D" w:rsidP="00524440">
      <w:pPr>
        <w:spacing w:line="360" w:lineRule="auto"/>
        <w:rPr>
          <w:color w:val="538DD3"/>
        </w:rPr>
      </w:pPr>
      <w:r w:rsidRPr="001A5251">
        <w:t>Τ</w:t>
      </w:r>
      <w:r w:rsidR="00CC102D" w:rsidRPr="001A5251">
        <w:t>α</w:t>
      </w:r>
      <w:r w:rsidRPr="001A5251">
        <w:t xml:space="preserve"> τελευταία </w:t>
      </w:r>
      <w:r w:rsidR="00CC102D" w:rsidRPr="001A5251">
        <w:t>χρόνια</w:t>
      </w:r>
      <w:r w:rsidRPr="001A5251">
        <w:t xml:space="preserve"> τα εγχώρια χρηματοπιστωτικά ιδρύματα έχουν αρχίσει σταδιακά να εντείνουν την ενσωμάτωση έργων ενεργειακής απόδοσης στο χαρτοφυλάκιο δανείων τους. Στην κατεύθυνση αυτή έχει συμβάλει διαχρονικά η ανάληψη νομοθετικών πρωτοβουλιών και η υιοθέτηση ρυθμίσεων σχετικά με:</w:t>
      </w:r>
      <w:r w:rsidR="00B67AE6">
        <w:t xml:space="preserve"> </w:t>
      </w:r>
    </w:p>
    <w:p w14:paraId="1024D8B0" w14:textId="77777777" w:rsidR="00421E7D" w:rsidRPr="001A5251" w:rsidRDefault="00421E7D" w:rsidP="00524440">
      <w:pPr>
        <w:pStyle w:val="a3"/>
        <w:numPr>
          <w:ilvl w:val="0"/>
          <w:numId w:val="16"/>
        </w:numPr>
        <w:spacing w:line="360" w:lineRule="auto"/>
      </w:pPr>
      <w:r w:rsidRPr="001A5251">
        <w:t xml:space="preserve">την ενεργειακή απόδοση των </w:t>
      </w:r>
      <w:r w:rsidR="00971D9A">
        <w:t>κτιρί</w:t>
      </w:r>
      <w:r w:rsidRPr="001A5251">
        <w:t xml:space="preserve">ων, </w:t>
      </w:r>
    </w:p>
    <w:p w14:paraId="70998F75" w14:textId="77777777" w:rsidR="00421E7D" w:rsidRPr="001A5251" w:rsidRDefault="00421E7D" w:rsidP="00524440">
      <w:pPr>
        <w:pStyle w:val="a3"/>
        <w:numPr>
          <w:ilvl w:val="0"/>
          <w:numId w:val="16"/>
        </w:numPr>
        <w:spacing w:line="360" w:lineRule="auto"/>
      </w:pPr>
      <w:r w:rsidRPr="001A5251">
        <w:t xml:space="preserve">το </w:t>
      </w:r>
      <w:r w:rsidR="00971D9A">
        <w:t>Πρόγραμμα</w:t>
      </w:r>
      <w:r w:rsidRPr="001A5251">
        <w:t xml:space="preserve"> για την εγκατάσταση </w:t>
      </w:r>
      <w:proofErr w:type="spellStart"/>
      <w:r w:rsidRPr="001A5251">
        <w:t>Φωτοβολταϊκών</w:t>
      </w:r>
      <w:proofErr w:type="spellEnd"/>
      <w:r w:rsidRPr="001A5251">
        <w:t xml:space="preserve"> Συστημάτων στις στέγες των κατοικιών, </w:t>
      </w:r>
    </w:p>
    <w:p w14:paraId="4E216C32" w14:textId="77777777" w:rsidR="00421E7D" w:rsidRPr="001A5251" w:rsidRDefault="00421E7D" w:rsidP="00524440">
      <w:pPr>
        <w:pStyle w:val="a3"/>
        <w:numPr>
          <w:ilvl w:val="0"/>
          <w:numId w:val="16"/>
        </w:numPr>
        <w:spacing w:line="360" w:lineRule="auto"/>
      </w:pPr>
      <w:r w:rsidRPr="001A5251">
        <w:t xml:space="preserve">την αξιοποίηση των Ανανεώσιμων Πηγών Ενέργειας, </w:t>
      </w:r>
    </w:p>
    <w:p w14:paraId="73409B32" w14:textId="77777777" w:rsidR="00421E7D" w:rsidRPr="001A5251" w:rsidRDefault="00421E7D" w:rsidP="00524440">
      <w:pPr>
        <w:spacing w:line="360" w:lineRule="auto"/>
      </w:pPr>
      <w:r w:rsidRPr="001A5251">
        <w:t xml:space="preserve">οι οποίες ενθάρρυναν σημαντικό αριθμό τραπεζικών ιδρυμάτων στην ανάπτυξη εξειδικευμένων προϊόντων και στη χρηματοδότηση σχετικών έργων ενεργειακής απόδοσης. </w:t>
      </w:r>
    </w:p>
    <w:p w14:paraId="108EAFA0" w14:textId="77777777" w:rsidR="00421E7D" w:rsidRPr="001A5251" w:rsidRDefault="00421E7D" w:rsidP="00524440">
      <w:pPr>
        <w:spacing w:line="360" w:lineRule="auto"/>
      </w:pPr>
      <w:r w:rsidRPr="001A5251">
        <w:t xml:space="preserve">Ωστόσο η ιδιαίτερα ευάλωτη θέση των χρηματοπιστωτικών ιδρυμάτων καθώς και η ανάγκη </w:t>
      </w:r>
      <w:proofErr w:type="spellStart"/>
      <w:r w:rsidRPr="001A5251">
        <w:t>αναχρηματοδότησης</w:t>
      </w:r>
      <w:proofErr w:type="spellEnd"/>
      <w:r w:rsidRPr="001A5251">
        <w:t xml:space="preserve"> και προστασίας τους από τον συνεχώς αυξανόμενο ανταγωνισμό οδήγησε σε σημαντικές ανακατατάξεις στον τραπεζικό τομέα, κυρίως μέσω των συγχωνεύσεων και των εξαγορών που έλαβαν χώρα. Αυτό είχε ως αποτέλεσμα να περιορισθεί τόσο το πλήθος των διαθέσιμων τραπεζικών ιδρυμάτων, όσο και το εύρος των διαθέσιμων χρηματοδοτικών προϊόντων. </w:t>
      </w:r>
    </w:p>
    <w:p w14:paraId="4CF43450" w14:textId="77777777" w:rsidR="00421E7D" w:rsidRPr="001A5251" w:rsidRDefault="00421E7D" w:rsidP="00524440">
      <w:pPr>
        <w:spacing w:line="360" w:lineRule="auto"/>
      </w:pPr>
      <w:r w:rsidRPr="001A5251">
        <w:lastRenderedPageBreak/>
        <w:t>Βάσει των στοιχείων που είναι διαθέσιμα στις ιστοσελίδες των κυριότερων τραπεζικών ιδρυμάτων, τα διαθέσιμα τραπεζικά προϊόντα για τη χρηματοδότηση έργων ενεργειακής απόδοσης τ</w:t>
      </w:r>
      <w:r w:rsidR="00CC102D" w:rsidRPr="001A5251">
        <w:t>α</w:t>
      </w:r>
      <w:r w:rsidRPr="001A5251">
        <w:t xml:space="preserve"> τελευταία </w:t>
      </w:r>
      <w:r w:rsidR="00CC102D" w:rsidRPr="001A5251">
        <w:t xml:space="preserve">χρόνια </w:t>
      </w:r>
      <w:r w:rsidRPr="001A5251">
        <w:t>διακρί</w:t>
      </w:r>
      <w:r w:rsidR="00CC102D" w:rsidRPr="001A5251">
        <w:t xml:space="preserve">θηκαν </w:t>
      </w:r>
      <w:r w:rsidRPr="001A5251">
        <w:t xml:space="preserve">κυρίως στις ακόλουθες δύο κατηγορίες: </w:t>
      </w:r>
    </w:p>
    <w:p w14:paraId="4F87BAD3" w14:textId="77777777" w:rsidR="00421E7D" w:rsidRPr="001A5251" w:rsidRDefault="00421E7D" w:rsidP="00524440">
      <w:pPr>
        <w:pStyle w:val="a3"/>
        <w:numPr>
          <w:ilvl w:val="0"/>
          <w:numId w:val="17"/>
        </w:numPr>
        <w:spacing w:line="360" w:lineRule="auto"/>
      </w:pPr>
      <w:r w:rsidRPr="001A5251">
        <w:t xml:space="preserve">Τραπεζικά δάνεια προς νοικοκυριά για την αναβάθμιση της ενεργειακής απόδοσης των κατοικιών τους και την εγκατάσταση </w:t>
      </w:r>
      <w:proofErr w:type="spellStart"/>
      <w:r w:rsidRPr="001A5251">
        <w:t>φωτοβολταϊκών</w:t>
      </w:r>
      <w:proofErr w:type="spellEnd"/>
      <w:r w:rsidRPr="001A5251">
        <w:t xml:space="preserve"> συστημάτων. </w:t>
      </w:r>
    </w:p>
    <w:p w14:paraId="251721B9" w14:textId="77777777" w:rsidR="00421E7D" w:rsidRPr="001A5251" w:rsidRDefault="00421E7D" w:rsidP="00524440">
      <w:pPr>
        <w:pStyle w:val="a3"/>
        <w:numPr>
          <w:ilvl w:val="0"/>
          <w:numId w:val="17"/>
        </w:numPr>
        <w:spacing w:line="360" w:lineRule="auto"/>
      </w:pPr>
      <w:r w:rsidRPr="001A5251">
        <w:t xml:space="preserve">Τραπεζικά δάνεια προς τις επιχειρήσεις για την ανάπτυξη </w:t>
      </w:r>
      <w:proofErr w:type="spellStart"/>
      <w:r w:rsidRPr="001A5251">
        <w:t>φωτοβολταϊκών</w:t>
      </w:r>
      <w:proofErr w:type="spellEnd"/>
      <w:r w:rsidRPr="001A5251">
        <w:t xml:space="preserve"> σταθμών μέγιστης ισχύος 150 KW. </w:t>
      </w:r>
    </w:p>
    <w:p w14:paraId="03756D5C" w14:textId="77777777" w:rsidR="00421E7D" w:rsidRPr="001A5251" w:rsidRDefault="00421E7D" w:rsidP="00524440">
      <w:pPr>
        <w:spacing w:line="360" w:lineRule="auto"/>
      </w:pPr>
      <w:r w:rsidRPr="001A5251">
        <w:t xml:space="preserve">Ωστόσο, κατόπιν συναντήσεων που πραγματοποιήθηκαν με τα χρηματοπιστωτικά ιδρύματα, διαπιστώθηκε ότι κατά την παρούσα φάση δεν υφίστανται τραπεζικά προϊόντα που να αφορούν στην υλοποίηση δράσεων για τη βελτίωση της ενεργειακής απόδοσης. </w:t>
      </w:r>
    </w:p>
    <w:p w14:paraId="4AF109E9" w14:textId="77777777" w:rsidR="007714F9" w:rsidRPr="001A5251" w:rsidRDefault="00421E7D" w:rsidP="00524440">
      <w:pPr>
        <w:spacing w:line="360" w:lineRule="auto"/>
      </w:pPr>
      <w:r w:rsidRPr="001A5251">
        <w:t xml:space="preserve">Σε ότι αφορά τις δημόσιες παρεμβάσεις που στόχο έχουν την επίτευξη της καλύτερης ενεργειακής απόδοσης στο ενεργειακό τομέα, το Υπουργείο Περιβάλλοντος και </w:t>
      </w:r>
      <w:r w:rsidR="00CC102D" w:rsidRPr="001A5251">
        <w:t>Ενέργειας</w:t>
      </w:r>
      <w:r w:rsidRPr="001A5251">
        <w:t xml:space="preserve"> σε συνεργασία με τις τρεις Εταιρείες Παροχής Αερίου (ΕΠΑ) σε Αττική, Θεσσαλία και Θεσσαλονίκη, παρ</w:t>
      </w:r>
      <w:r w:rsidR="00CC102D" w:rsidRPr="001A5251">
        <w:t>εί</w:t>
      </w:r>
      <w:r w:rsidRPr="001A5251">
        <w:t xml:space="preserve">χε κίνητρα </w:t>
      </w:r>
      <w:r w:rsidR="00CC102D" w:rsidRPr="001A5251">
        <w:t xml:space="preserve">επιχορήγησης </w:t>
      </w:r>
      <w:r w:rsidRPr="001A5251">
        <w:t xml:space="preserve">για την ενίσχυση της </w:t>
      </w:r>
      <w:r w:rsidR="00957F0F">
        <w:t xml:space="preserve">αντικατάστασης των συστημάτων θέρμανσης (αυτόνομης ή κεντρικής) πετρελαίου με συστήματα </w:t>
      </w:r>
      <w:r w:rsidR="00CC102D" w:rsidRPr="001A5251">
        <w:t xml:space="preserve">φυσικού αερίου στις κατοικίες. </w:t>
      </w:r>
      <w:r w:rsidRPr="001A5251">
        <w:t xml:space="preserve"> </w:t>
      </w:r>
    </w:p>
    <w:p w14:paraId="1C15FEEC" w14:textId="77777777" w:rsidR="007714F9" w:rsidRPr="001A5251" w:rsidRDefault="00421E7D" w:rsidP="00524440">
      <w:pPr>
        <w:spacing w:line="360" w:lineRule="auto"/>
      </w:pPr>
      <w:r w:rsidRPr="001A5251">
        <w:t xml:space="preserve">Το ποσό </w:t>
      </w:r>
      <w:r w:rsidR="00957F0F">
        <w:t xml:space="preserve">της ενίσχυσης </w:t>
      </w:r>
      <w:r w:rsidRPr="001A5251">
        <w:t xml:space="preserve">αντιστοιχεί στο 60% του κόστους εγκατάστασης θέρμανσης φυσικού αερίου και δικαίωμα συμμετοχής στο </w:t>
      </w:r>
      <w:r w:rsidR="00971D9A">
        <w:t>Πρόγραμμα</w:t>
      </w:r>
      <w:r w:rsidRPr="001A5251">
        <w:t xml:space="preserve"> επιδότησης </w:t>
      </w:r>
      <w:r w:rsidR="007714F9" w:rsidRPr="001A5251">
        <w:t>εί</w:t>
      </w:r>
      <w:r w:rsidRPr="001A5251">
        <w:t>χ</w:t>
      </w:r>
      <w:r w:rsidR="007714F9" w:rsidRPr="001A5251">
        <w:t xml:space="preserve">αν όσων </w:t>
      </w:r>
      <w:r w:rsidRPr="001A5251">
        <w:t xml:space="preserve">τα </w:t>
      </w:r>
      <w:r w:rsidR="007714F9" w:rsidRPr="001A5251">
        <w:t>ακίνητά τους βρίσκονται σε περιοχές</w:t>
      </w:r>
      <w:r w:rsidRPr="001A5251">
        <w:t xml:space="preserve"> με τιμή ζώνης έως 2.500τ.μ. χωρίς άλλο εισοδηματικό κριτήριο. </w:t>
      </w:r>
    </w:p>
    <w:p w14:paraId="12E15DF5" w14:textId="77777777" w:rsidR="002C119E" w:rsidRDefault="00957F0F" w:rsidP="00524440">
      <w:pPr>
        <w:spacing w:line="360" w:lineRule="auto"/>
      </w:pPr>
      <w:r>
        <w:t xml:space="preserve">Ο συνολικός προϋπολογισμός του έργου </w:t>
      </w:r>
      <w:r w:rsidR="00B42E69">
        <w:t xml:space="preserve">ήταν </w:t>
      </w:r>
      <w:r w:rsidR="00421E7D" w:rsidRPr="001A5251">
        <w:t>15</w:t>
      </w:r>
      <w:r w:rsidR="0093692C">
        <w:t xml:space="preserve"> </w:t>
      </w:r>
      <w:r w:rsidR="00421E7D" w:rsidRPr="001A5251">
        <w:t>εκ.</w:t>
      </w:r>
      <w:r w:rsidR="007714F9" w:rsidRPr="001A5251">
        <w:t>€</w:t>
      </w:r>
      <w:r w:rsidR="00421E7D" w:rsidRPr="001A5251">
        <w:t xml:space="preserve"> από τα οποία τα 10</w:t>
      </w:r>
      <w:r w:rsidR="0093692C">
        <w:t xml:space="preserve"> </w:t>
      </w:r>
      <w:r w:rsidR="00421E7D" w:rsidRPr="001A5251">
        <w:t>εκ.</w:t>
      </w:r>
      <w:r w:rsidR="007714F9" w:rsidRPr="001A5251">
        <w:t>€</w:t>
      </w:r>
      <w:r w:rsidR="00421E7D" w:rsidRPr="001A5251">
        <w:t xml:space="preserve"> </w:t>
      </w:r>
      <w:r w:rsidR="007714F9" w:rsidRPr="001A5251">
        <w:t>αφορούσαν</w:t>
      </w:r>
      <w:r w:rsidR="00421E7D" w:rsidRPr="001A5251">
        <w:t xml:space="preserve"> την Αττική, τα 2</w:t>
      </w:r>
      <w:r w:rsidR="0093692C">
        <w:t xml:space="preserve"> </w:t>
      </w:r>
      <w:r w:rsidR="00421E7D" w:rsidRPr="001A5251">
        <w:t>εκ.</w:t>
      </w:r>
      <w:r w:rsidR="007714F9" w:rsidRPr="001A5251">
        <w:t>€</w:t>
      </w:r>
      <w:r w:rsidR="00421E7D" w:rsidRPr="001A5251">
        <w:t xml:space="preserve"> την Κεντρική Μακεδονία και τα 3</w:t>
      </w:r>
      <w:r w:rsidR="0093692C">
        <w:t xml:space="preserve"> </w:t>
      </w:r>
      <w:r w:rsidR="00421E7D" w:rsidRPr="001A5251">
        <w:t>εκ.</w:t>
      </w:r>
      <w:r w:rsidR="007714F9" w:rsidRPr="001A5251">
        <w:t>€</w:t>
      </w:r>
      <w:r w:rsidR="00421E7D" w:rsidRPr="001A5251">
        <w:t xml:space="preserve"> τη Θεσσαλία</w:t>
      </w:r>
      <w:r>
        <w:t xml:space="preserve">, ενώ η τελική απορρόφηση ανήλθε στο ποσό των 9,5 εκ. € </w:t>
      </w:r>
    </w:p>
    <w:p w14:paraId="6ADE38A6" w14:textId="77777777" w:rsidR="003F3D95" w:rsidRPr="00C33061" w:rsidRDefault="003F3D95" w:rsidP="00FA5CD9">
      <w:pPr>
        <w:pStyle w:val="3"/>
      </w:pPr>
      <w:bookmarkStart w:id="36" w:name="_Toc36639214"/>
      <w:r w:rsidRPr="00C33061">
        <w:t xml:space="preserve">Αξιολόγηση </w:t>
      </w:r>
      <w:proofErr w:type="spellStart"/>
      <w:r w:rsidRPr="00C33061">
        <w:t>αποκομισθείσας</w:t>
      </w:r>
      <w:proofErr w:type="spellEnd"/>
      <w:r w:rsidRPr="00C33061">
        <w:t xml:space="preserve"> εμπειρίας από προηγούμενη εφαρμογή </w:t>
      </w:r>
      <w:r>
        <w:t>χρηματοδοτικών μέσων</w:t>
      </w:r>
      <w:r w:rsidRPr="00C33061">
        <w:t xml:space="preserve"> σε δράσεις Εξοικονόμησης Ενέργειας σε κατοικίες</w:t>
      </w:r>
      <w:bookmarkEnd w:id="36"/>
    </w:p>
    <w:p w14:paraId="6A301E6E" w14:textId="77777777" w:rsidR="002830A1" w:rsidRDefault="002830A1" w:rsidP="00FA5CD9">
      <w:pPr>
        <w:pStyle w:val="3"/>
        <w:rPr>
          <w:rStyle w:val="af3"/>
          <w:b/>
          <w:i/>
          <w:iCs w:val="0"/>
          <w:sz w:val="24"/>
        </w:rPr>
      </w:pPr>
      <w:bookmarkStart w:id="37" w:name="_Toc36639215"/>
      <w:r w:rsidRPr="002830A1">
        <w:t xml:space="preserve">Ανάλυση στοιχείων από την </w:t>
      </w:r>
      <w:r w:rsidR="00971D9A">
        <w:t>Πρόγραμμα</w:t>
      </w:r>
      <w:r w:rsidRPr="002830A1">
        <w:t xml:space="preserve"> «ΕΞΟΙΚΟΝΟΜΩ Ι» την </w:t>
      </w:r>
      <w:r w:rsidR="00E5630E">
        <w:t>Προγραμματ</w:t>
      </w:r>
      <w:r w:rsidRPr="002830A1">
        <w:t xml:space="preserve">ική </w:t>
      </w:r>
      <w:r w:rsidR="00EB38B3">
        <w:t>Περίοδο</w:t>
      </w:r>
      <w:r w:rsidRPr="002830A1">
        <w:t xml:space="preserve"> 2007 – 2013</w:t>
      </w:r>
      <w:r w:rsidRPr="002830A1">
        <w:rPr>
          <w:rStyle w:val="af3"/>
          <w:b/>
          <w:i/>
          <w:iCs w:val="0"/>
          <w:sz w:val="24"/>
        </w:rPr>
        <w:t>.</w:t>
      </w:r>
      <w:bookmarkEnd w:id="37"/>
    </w:p>
    <w:p w14:paraId="530C51FA" w14:textId="77777777" w:rsidR="003F3D95" w:rsidRPr="001A5251" w:rsidRDefault="003F3D95" w:rsidP="003F3D95">
      <w:pPr>
        <w:spacing w:line="360" w:lineRule="auto"/>
      </w:pPr>
      <w:r w:rsidRPr="001A5251">
        <w:t xml:space="preserve">Το </w:t>
      </w:r>
      <w:r w:rsidR="00971D9A">
        <w:t>Πρόγραμμα</w:t>
      </w:r>
      <w:r w:rsidRPr="001A5251">
        <w:t xml:space="preserve"> «Εξοικονόμηση </w:t>
      </w:r>
      <w:r w:rsidR="00971D9A">
        <w:t xml:space="preserve">κατ’ </w:t>
      </w:r>
      <w:proofErr w:type="spellStart"/>
      <w:r w:rsidR="00971D9A">
        <w:t>Οίκον</w:t>
      </w:r>
      <w:proofErr w:type="spellEnd"/>
      <w:r w:rsidRPr="001A5251">
        <w:t>» – δράση χρηματοδότησης παρεμβάσεων εξοικονόμησης ενέργειας σε κτίρια – αφορούσε στη χορήγηση χαμηλότοκων επιδοτούμενων δανείων σε συνδυασμό με επιχορήγηση για τις εκτελούμενες εργασίες.</w:t>
      </w:r>
    </w:p>
    <w:p w14:paraId="1AB1D2DE" w14:textId="77777777" w:rsidR="003F3D95" w:rsidRPr="001A5251" w:rsidRDefault="003F3D95" w:rsidP="003F3D95">
      <w:pPr>
        <w:spacing w:line="360" w:lineRule="auto"/>
      </w:pPr>
      <w:r w:rsidRPr="001A5251">
        <w:t>Οι πόροι των διαρθρωτικών ταμείων διοχετεύθηκαν στο Ταμείο Χαρτοφυλακίου «Ταμείο Εξοικονομώ» και το «</w:t>
      </w:r>
      <w:r w:rsidR="00971D9A">
        <w:t>Πρόγραμμα</w:t>
      </w:r>
      <w:r w:rsidRPr="001A5251">
        <w:t xml:space="preserve"> Άμεσης Ενίσχυσης» νοικοκυριών (υπουργική απόφαση 31654/ΕΥΘΥ1415/2010, ΦΕΚ Β’ 1262).</w:t>
      </w:r>
    </w:p>
    <w:p w14:paraId="32F34978" w14:textId="77777777" w:rsidR="003F3D95" w:rsidRPr="001A5251" w:rsidRDefault="003F3D95" w:rsidP="003F3D95">
      <w:pPr>
        <w:spacing w:line="360" w:lineRule="auto"/>
      </w:pPr>
      <w:r w:rsidRPr="001A5251">
        <w:lastRenderedPageBreak/>
        <w:t xml:space="preserve">Η αναγκαιότητα ενίσχυσης της υλοποίησης παρεμβάσεων εξοικονόμησης ενέργειας στον οικιακό τομέα της Ελλάδας ενισχύεται σήμερα από την παρατηρούμενη διόγκωση του ενεργειακού ισοζυγίου, την οικονομική συμπίεση των ασθενέστερων εισοδηματικών κοινωνικών ομάδων, την αύξηση του ενεργειακού ελλείμματος, αλλά και από τις δεσμεύσεις της χώρας για την προστασία του περιβάλλοντος σε ευρωπαϊκό επίπεδο. </w:t>
      </w:r>
    </w:p>
    <w:p w14:paraId="3A564AA0" w14:textId="77777777" w:rsidR="003F3D95" w:rsidRPr="001A5251" w:rsidRDefault="003F3D95" w:rsidP="003F3D95">
      <w:pPr>
        <w:spacing w:line="360" w:lineRule="auto"/>
      </w:pPr>
      <w:r w:rsidRPr="001A5251">
        <w:t>Με βάση αυτές τις προτεραιότητες</w:t>
      </w:r>
      <w:r>
        <w:t xml:space="preserve"> </w:t>
      </w:r>
      <w:r w:rsidRPr="001A5251">
        <w:t xml:space="preserve">σχεδιάστηκε το </w:t>
      </w:r>
      <w:r w:rsidR="00971D9A">
        <w:t>Πρόγραμμα</w:t>
      </w:r>
      <w:r w:rsidRPr="001A5251">
        <w:t xml:space="preserve"> «Εξοικονόμηση </w:t>
      </w:r>
      <w:r w:rsidR="00971D9A">
        <w:t xml:space="preserve">κατ’ </w:t>
      </w:r>
      <w:proofErr w:type="spellStart"/>
      <w:r w:rsidR="00971D9A">
        <w:t>Οίκον</w:t>
      </w:r>
      <w:proofErr w:type="spellEnd"/>
      <w:r w:rsidRPr="001A5251">
        <w:t xml:space="preserve">» επιχειρώντας τη μείωση των ενεργειακών αναγκών των </w:t>
      </w:r>
      <w:r w:rsidR="00971D9A">
        <w:t>κτιρί</w:t>
      </w:r>
      <w:r w:rsidRPr="001A5251">
        <w:t>ων και των εκπομπών ρύπων που συμβάλλουν στην επιδείνωση του φαινομένου του θερμοκηπίου και την επίτευξη καθαρότερου περιβάλλοντος.</w:t>
      </w:r>
    </w:p>
    <w:p w14:paraId="1B79A149" w14:textId="77777777" w:rsidR="003F3D95" w:rsidRPr="001A5251" w:rsidRDefault="003F3D95" w:rsidP="003F3D95">
      <w:pPr>
        <w:spacing w:line="360" w:lineRule="auto"/>
      </w:pPr>
      <w:r w:rsidRPr="001A5251">
        <w:t xml:space="preserve">Το </w:t>
      </w:r>
      <w:r w:rsidR="00971D9A">
        <w:t>Πρόγραμμα</w:t>
      </w:r>
      <w:r w:rsidRPr="001A5251">
        <w:t xml:space="preserve"> «Εξοικονόμηση </w:t>
      </w:r>
      <w:r w:rsidR="00971D9A">
        <w:t xml:space="preserve">κατ’ </w:t>
      </w:r>
      <w:proofErr w:type="spellStart"/>
      <w:r w:rsidR="00971D9A">
        <w:t>Οίκον</w:t>
      </w:r>
      <w:proofErr w:type="spellEnd"/>
      <w:r w:rsidRPr="001A5251">
        <w:t xml:space="preserve">» προσέφερε οικονομικά κίνητρα στους πολίτες ανάλογα με τα εισοδήματά τους για να εφαρμόσουν μέτρα εξοικονόμησης ενέργειας στις κατοικίες τους. </w:t>
      </w:r>
    </w:p>
    <w:p w14:paraId="242D3A19" w14:textId="77777777" w:rsidR="003F3D95" w:rsidRPr="001A5251" w:rsidRDefault="003F3D95" w:rsidP="003F3D95">
      <w:pPr>
        <w:spacing w:line="360" w:lineRule="auto"/>
      </w:pPr>
      <w:r w:rsidRPr="001A5251">
        <w:t xml:space="preserve">Αξίζει να επισημανθεί ότι ο κοινωνικός χαρακτήρας του </w:t>
      </w:r>
      <w:r w:rsidR="00971D9A">
        <w:t>Προγράμματος</w:t>
      </w:r>
      <w:r w:rsidRPr="001A5251">
        <w:t xml:space="preserve"> θα μπορούσε να αναλυθεί σε τρεις βασικούς άξονες:</w:t>
      </w:r>
    </w:p>
    <w:p w14:paraId="761A9CFB" w14:textId="77777777" w:rsidR="003F3D95" w:rsidRPr="001A5251" w:rsidRDefault="003F3D95" w:rsidP="003F3D95">
      <w:pPr>
        <w:spacing w:line="360" w:lineRule="auto"/>
        <w:ind w:left="720"/>
      </w:pPr>
      <w:r w:rsidRPr="001A5251">
        <w:t>i. Δημιουργία θέσεων εργασίας, καθώς ο κλάδος των κατασκευών αφορά το σύνολο σχεδόν του εργατοτεχνικού προσωπικού της χώρας, αλλά και του επιστημονικού προσωπικού.</w:t>
      </w:r>
    </w:p>
    <w:p w14:paraId="76054975" w14:textId="77777777" w:rsidR="003F3D95" w:rsidRPr="001A5251" w:rsidRDefault="003F3D95" w:rsidP="003F3D95">
      <w:pPr>
        <w:spacing w:line="360" w:lineRule="auto"/>
        <w:ind w:left="720"/>
      </w:pPr>
      <w:proofErr w:type="spellStart"/>
      <w:r w:rsidRPr="001A5251">
        <w:t>ii</w:t>
      </w:r>
      <w:proofErr w:type="spellEnd"/>
      <w:r w:rsidRPr="001A5251">
        <w:t>. Δυνατότητα ενεργειακής αναβάθμισης των κατοικιών ακόμα και από τους ασθενέστερους οικονομικά πολίτες</w:t>
      </w:r>
      <w:r>
        <w:t xml:space="preserve"> </w:t>
      </w:r>
    </w:p>
    <w:p w14:paraId="43E00C82" w14:textId="77777777" w:rsidR="003F3D95" w:rsidRPr="001A5251" w:rsidRDefault="003F3D95" w:rsidP="003F3D95">
      <w:pPr>
        <w:spacing w:line="360" w:lineRule="auto"/>
        <w:ind w:left="720"/>
      </w:pPr>
      <w:proofErr w:type="spellStart"/>
      <w:r w:rsidRPr="001A5251">
        <w:t>iii</w:t>
      </w:r>
      <w:proofErr w:type="spellEnd"/>
      <w:r w:rsidRPr="001A5251">
        <w:t>. Μείωση των αναγκών της χώρας σε εισαγόμενους ενεργειακούς πόρους και αύξηση της ανταγωνιστικότητας των ελληνικών προϊόντων λόγω της μείωσης του κόστους ενέργειας που θα προκύψει.</w:t>
      </w:r>
    </w:p>
    <w:p w14:paraId="054CAC93" w14:textId="77777777" w:rsidR="003F3D95" w:rsidRPr="001A5251" w:rsidRDefault="003F3D95" w:rsidP="003F3D95">
      <w:pPr>
        <w:spacing w:line="360" w:lineRule="auto"/>
      </w:pPr>
      <w:r w:rsidRPr="001A5251">
        <w:t xml:space="preserve">Το </w:t>
      </w:r>
      <w:r w:rsidR="00971D9A">
        <w:t>Πρόγραμμα</w:t>
      </w:r>
      <w:r w:rsidRPr="001A5251">
        <w:t xml:space="preserve"> περιλαμβάνει τη συνεργασία των πιστωτικών ιδρυμάτων</w:t>
      </w:r>
      <w:r>
        <w:t xml:space="preserve"> </w:t>
      </w:r>
      <w:r w:rsidRPr="001A5251">
        <w:t>σε όλες τις φάσεις υλοποίησης των παρεμβάσεων: από τον έλεγχο προέγκρισης δανείου ,την υποβολή του φακέλου συμμετοχής, τον έλεγχο δικαιολογητικών, την καταβολή προκαταβολής έως και τον τελικό έλεγχο των παραστατικών και την αποπληρωμή της επένδυσης.</w:t>
      </w:r>
    </w:p>
    <w:p w14:paraId="6985329B" w14:textId="77777777" w:rsidR="003F3D95" w:rsidRPr="001A5251" w:rsidRDefault="003F3D95" w:rsidP="003F3D95">
      <w:pPr>
        <w:spacing w:line="360" w:lineRule="auto"/>
      </w:pPr>
      <w:r w:rsidRPr="001A5251">
        <w:t xml:space="preserve">Εξειδικεύθηκε με το θεσμικό πλαίσιο που έχει διαμορφωθεί </w:t>
      </w:r>
      <w:proofErr w:type="spellStart"/>
      <w:r w:rsidRPr="001A5251">
        <w:t>κατ</w:t>
      </w:r>
      <w:proofErr w:type="spellEnd"/>
      <w:r w:rsidRPr="001A5251">
        <w:t xml:space="preserve">΄ εξουσιοδότηση του Ν.3661/2008 με τον Κανονισμό Ενεργειακής Απόδοσης </w:t>
      </w:r>
      <w:r w:rsidR="00971D9A">
        <w:t>Κτιρί</w:t>
      </w:r>
      <w:r w:rsidRPr="001A5251">
        <w:t>ων (ΚΕΝΑΚ, Δ6/Β/5825/30</w:t>
      </w:r>
      <w:r w:rsidR="00E5630E">
        <w:t>.03.</w:t>
      </w:r>
      <w:r w:rsidRPr="001A5251">
        <w:t xml:space="preserve">2010, Β’ 407) και το Π.Δ.100/30.09.2010 (Α’ 177) για τους ενεργειακούς επιθεωρητές, με στόχο τον ορθό προσδιορισμό των ενεργειακών αναγκών των </w:t>
      </w:r>
      <w:r w:rsidR="00971D9A">
        <w:t>κτιρί</w:t>
      </w:r>
      <w:r w:rsidRPr="001A5251">
        <w:t>ων, καθώς και των αναγκαίων παρεμβάσεων που θα οδηγήσουν στη μεγιστοποίηση της εξοικονομούμενης ενέργειας.</w:t>
      </w:r>
    </w:p>
    <w:p w14:paraId="35F34EC8" w14:textId="77777777" w:rsidR="003F3D95" w:rsidRPr="001A5251" w:rsidRDefault="003F3D95" w:rsidP="003F3D95">
      <w:pPr>
        <w:spacing w:line="360" w:lineRule="auto"/>
      </w:pPr>
      <w:r w:rsidRPr="001A5251">
        <w:t xml:space="preserve">Στόχος ήταν να προσδιορισθούν οι ενεργειακές ανάγκες των </w:t>
      </w:r>
      <w:r w:rsidR="00971D9A">
        <w:t>κτιρί</w:t>
      </w:r>
      <w:r w:rsidRPr="001A5251">
        <w:t xml:space="preserve">ων όπως και των αναγκαίων παρεμβάσεων που θα οδηγήσουν στη μεγιστοποίηση της εξοικονομούμενης ενέργειας. Ο τελικός </w:t>
      </w:r>
      <w:r w:rsidRPr="001A5251">
        <w:lastRenderedPageBreak/>
        <w:t xml:space="preserve">προϋπολογισμός δημόσιας δαπάνης του </w:t>
      </w:r>
      <w:r w:rsidR="00971D9A">
        <w:t>Προγράμματος</w:t>
      </w:r>
      <w:r w:rsidRPr="001A5251">
        <w:t xml:space="preserve"> προσέγγισε τα 100εκ.€ για το Ταμείο και τα 300εκ.€ για τις επιχορηγήσεις.</w:t>
      </w:r>
    </w:p>
    <w:p w14:paraId="52222CC4" w14:textId="77777777" w:rsidR="003F3D95" w:rsidRPr="001A5251" w:rsidRDefault="003F3D95" w:rsidP="003F3D95">
      <w:pPr>
        <w:spacing w:line="360" w:lineRule="auto"/>
      </w:pPr>
      <w:r w:rsidRPr="001A5251">
        <w:t xml:space="preserve">Το </w:t>
      </w:r>
      <w:r w:rsidR="00971D9A">
        <w:t>Πρόγραμμα</w:t>
      </w:r>
      <w:r w:rsidRPr="001A5251">
        <w:t xml:space="preserve"> αφορούσε κτήρια που βρίσκονται σε τιμές ζώνης μικρότερη ή ίση των 2.100€/τ.μ., χρησιμοποιούνται ως κύρια ή πρώτη δευτερεύουσα κατοικία και των οποίων οι ιδιοκτήτες πληρούν συγκεκριμένα εισοδηματικά κριτήρια. </w:t>
      </w:r>
    </w:p>
    <w:p w14:paraId="041C3A71" w14:textId="77777777" w:rsidR="003F3D95" w:rsidRPr="001A5251" w:rsidRDefault="003F3D95" w:rsidP="003F3D95">
      <w:pPr>
        <w:spacing w:line="360" w:lineRule="auto"/>
      </w:pPr>
      <w:r w:rsidRPr="001A5251">
        <w:t>Προέβλεπε την επιδότηση παρεμβάσεων εξοικονόμησης ενέργειας σε κτίρια που διαθέτουν οικοδομική άδεια ή άλλο νομιμοποιητικό έγγραφο, σε όλη τη χώρα, που:</w:t>
      </w:r>
    </w:p>
    <w:p w14:paraId="49FAAF5B" w14:textId="77777777" w:rsidR="003F3D95" w:rsidRPr="001A5251" w:rsidRDefault="003F3D95" w:rsidP="003F3D95">
      <w:pPr>
        <w:pStyle w:val="a3"/>
        <w:numPr>
          <w:ilvl w:val="0"/>
          <w:numId w:val="18"/>
        </w:numPr>
        <w:spacing w:line="360" w:lineRule="auto"/>
      </w:pPr>
      <w:r w:rsidRPr="001A5251">
        <w:t>βρίσκονται σε περιοχές με τιμή ζώνης χαμηλότερη ή ίση των 2.100 €/ τ.μ., όπως αυτή έχει διαμορφωθεί πριν τις 31.12.2009,</w:t>
      </w:r>
    </w:p>
    <w:p w14:paraId="312619A4" w14:textId="77777777" w:rsidR="003F3D95" w:rsidRPr="001A5251" w:rsidRDefault="003F3D95" w:rsidP="003F3D95">
      <w:pPr>
        <w:pStyle w:val="a3"/>
        <w:numPr>
          <w:ilvl w:val="0"/>
          <w:numId w:val="18"/>
        </w:numPr>
        <w:spacing w:line="360" w:lineRule="auto"/>
      </w:pPr>
      <w:r w:rsidRPr="001A5251">
        <w:t>είχαν καταταχθεί βάσει του Πιστοποιητικού Ενεργειακής Απόδοσης (ΠΕΑ) σε κατηγορία χαμηλότερη ή ίση της Δ,</w:t>
      </w:r>
    </w:p>
    <w:p w14:paraId="1DB26B6B" w14:textId="77777777" w:rsidR="003F3D95" w:rsidRPr="001A5251" w:rsidRDefault="003F3D95" w:rsidP="003F3D95">
      <w:pPr>
        <w:pStyle w:val="a3"/>
        <w:numPr>
          <w:ilvl w:val="0"/>
          <w:numId w:val="18"/>
        </w:numPr>
        <w:spacing w:line="360" w:lineRule="auto"/>
      </w:pPr>
      <w:r w:rsidRPr="001A5251">
        <w:t>δεν είχαν κριθεί κατεδαφιστέα.</w:t>
      </w:r>
    </w:p>
    <w:p w14:paraId="60CF9C3F" w14:textId="77777777" w:rsidR="003F3D95" w:rsidRPr="001A5251" w:rsidRDefault="003F3D95" w:rsidP="003F3D95">
      <w:pPr>
        <w:spacing w:line="360" w:lineRule="auto"/>
      </w:pPr>
      <w:r w:rsidRPr="001A5251">
        <w:t xml:space="preserve">Οι διαδικασίες υλοποίησης του </w:t>
      </w:r>
      <w:r w:rsidR="00971D9A">
        <w:t>Προγράμματος</w:t>
      </w:r>
      <w:r w:rsidRPr="001A5251">
        <w:t xml:space="preserve"> περιγράφονται αναλυτικά στον «</w:t>
      </w:r>
      <w:r w:rsidR="00B925F9">
        <w:t>Οδηγός</w:t>
      </w:r>
      <w:r w:rsidRPr="001A5251">
        <w:t xml:space="preserve"> </w:t>
      </w:r>
      <w:r w:rsidR="004F576E">
        <w:t>Εφαρμογής</w:t>
      </w:r>
      <w:r w:rsidRPr="001A5251">
        <w:t xml:space="preserve"> </w:t>
      </w:r>
      <w:r w:rsidR="00971D9A">
        <w:t>Προγράμματος</w:t>
      </w:r>
      <w:r w:rsidRPr="001A5251">
        <w:t xml:space="preserve"> «Εξοικονόμηση </w:t>
      </w:r>
      <w:r w:rsidR="00971D9A">
        <w:t xml:space="preserve">κατ’ </w:t>
      </w:r>
      <w:proofErr w:type="spellStart"/>
      <w:r w:rsidR="00971D9A">
        <w:t>Οίκον</w:t>
      </w:r>
      <w:proofErr w:type="spellEnd"/>
      <w:r w:rsidRPr="001A5251">
        <w:t>» ΦΕΚ 54/Β/2011,</w:t>
      </w:r>
      <w:r>
        <w:t xml:space="preserve"> </w:t>
      </w:r>
      <w:r w:rsidRPr="001A5251">
        <w:t xml:space="preserve">όπως έχει τροποποιηθεί και ισχύει μέχρι σήμερα. Με την ένταξη των ωφελούμενων στις κατηγορίες κινήτρων Α1, Α2 ή Β ανάλογα με το εισόδημά τους και βάσει του τελικού επιλέξιμου προϋπολογισμού των προτεινόμενων παρεμβάσεων στην κατοικία τους, εκταμιεύεται δάνειο ύψους 30%, 65% ή 85% και παρέχεται επιχορήγηση ύψους 70%, 35% ή 15% αντίστοιχα, με απευθείας πληρωμή των προμηθευτών σε τραπεζικό τους λογαριασμό από το πιστωτικό ίδρυμα. </w:t>
      </w:r>
    </w:p>
    <w:p w14:paraId="17A9F574" w14:textId="77777777" w:rsidR="003F3D95" w:rsidRPr="001A5251" w:rsidRDefault="003F3D95" w:rsidP="003F3D95">
      <w:pPr>
        <w:spacing w:line="360" w:lineRule="auto"/>
      </w:pPr>
      <w:r w:rsidRPr="001A5251">
        <w:t xml:space="preserve">Μέσω του </w:t>
      </w:r>
      <w:r w:rsidR="00971D9A">
        <w:t>Προγράμματος</w:t>
      </w:r>
      <w:r w:rsidRPr="001A5251">
        <w:t xml:space="preserve"> καλυπτόταν το επιτόκιο του δανείου κατά 100%, το κόστος διαχείρισης του φακέλου του δανείου, το κόστος για τη διενέργεια των δύο ενεργειακών επιθεωρήσεων και η δαπάνη για την αμοιβή συμβούλου έργου, υπό την προϋπόθεση υπαγωγής της αίτησης στο </w:t>
      </w:r>
      <w:r w:rsidR="00971D9A">
        <w:t>Πρόγραμμα</w:t>
      </w:r>
      <w:r w:rsidRPr="001A5251">
        <w:t xml:space="preserve"> και επίτευξης του ελάχιστου ενεργειακού στόχου αυτού. </w:t>
      </w:r>
    </w:p>
    <w:p w14:paraId="6E3A3170" w14:textId="77777777" w:rsidR="003F3D95" w:rsidRPr="001A5251" w:rsidRDefault="003F3D95" w:rsidP="003F3D95">
      <w:pPr>
        <w:spacing w:line="360" w:lineRule="auto"/>
      </w:pPr>
      <w:r w:rsidRPr="001A5251">
        <w:t xml:space="preserve">Ωφελούμενοι του </w:t>
      </w:r>
      <w:r w:rsidR="00971D9A">
        <w:t>Προγράμματος</w:t>
      </w:r>
      <w:r w:rsidRPr="001A5251">
        <w:t xml:space="preserve"> ήταν ιδιοκτήτες κατοικιών, με δικαίωμα  κυριότητας (πλήρους ή ψιλής) ή επικαρπίας σε επιλέξιμη κατοικία και πληρούν τα εισοδηματικά κριτήρια των κατηγοριών Α1, Α2 και Β.</w:t>
      </w:r>
    </w:p>
    <w:p w14:paraId="49878EC5" w14:textId="77777777" w:rsidR="003F3D95" w:rsidRPr="001A5251" w:rsidRDefault="003F3D95" w:rsidP="003F3D95">
      <w:pPr>
        <w:spacing w:line="360" w:lineRule="auto"/>
      </w:pPr>
      <w:r w:rsidRPr="001A5251">
        <w:t xml:space="preserve">Οι κατηγορίες των Ωφελούμενων, σύμφωνα με την ισχύουσα έκδοση του </w:t>
      </w:r>
      <w:r w:rsidR="00B925F9">
        <w:t>Οδηγού</w:t>
      </w:r>
      <w:r w:rsidRPr="001A5251">
        <w:t xml:space="preserve"> </w:t>
      </w:r>
      <w:r w:rsidR="004F576E">
        <w:t>Εφαρμογής</w:t>
      </w:r>
      <w:r w:rsidRPr="001A5251">
        <w:t>, διαμορφώνονται ως εξής:</w:t>
      </w:r>
    </w:p>
    <w:p w14:paraId="707D09C9" w14:textId="77777777" w:rsidR="003F3D95" w:rsidRPr="001A5251" w:rsidRDefault="003F3D95" w:rsidP="003F3D95">
      <w:pPr>
        <w:pStyle w:val="a3"/>
        <w:numPr>
          <w:ilvl w:val="0"/>
          <w:numId w:val="19"/>
        </w:numPr>
        <w:spacing w:line="360" w:lineRule="auto"/>
      </w:pPr>
      <w:r w:rsidRPr="001A5251">
        <w:t>Ωφελούμενοι κατηγορίας A1, όπου το ατομικό δηλωθέν εισόδημα δεν ξεπερνά τις 12.000 € ή το οικογενειακό δηλωθέν εισόδημα δεν ξεπερνά τις 20.000 €.</w:t>
      </w:r>
    </w:p>
    <w:p w14:paraId="07ED4548" w14:textId="77777777" w:rsidR="003F3D95" w:rsidRPr="001A5251" w:rsidRDefault="003F3D95" w:rsidP="003F3D95">
      <w:pPr>
        <w:pStyle w:val="a3"/>
        <w:numPr>
          <w:ilvl w:val="0"/>
          <w:numId w:val="19"/>
        </w:numPr>
        <w:spacing w:line="360" w:lineRule="auto"/>
      </w:pPr>
      <w:r w:rsidRPr="001A5251">
        <w:t>Ωφελούμενοι κατηγορίας A2, όπου το ατομικό δηλωθέν εισόδημα είναι μεταξύ 12.000 € και 40.000 € ή το οικογενειακό δηλωθέν εισόδημα είναι μεταξύ 20.000 € και 60.000 €.</w:t>
      </w:r>
    </w:p>
    <w:p w14:paraId="348785F1" w14:textId="77777777" w:rsidR="003F3D95" w:rsidRPr="001A5251" w:rsidRDefault="003F3D95" w:rsidP="003F3D95">
      <w:pPr>
        <w:pStyle w:val="a3"/>
        <w:numPr>
          <w:ilvl w:val="0"/>
          <w:numId w:val="19"/>
        </w:numPr>
        <w:spacing w:line="360" w:lineRule="auto"/>
      </w:pPr>
      <w:r w:rsidRPr="001A5251">
        <w:lastRenderedPageBreak/>
        <w:t>Ωφελούμενοι κατηγορίας Β όπου το ατομικό δηλωθέν εισόδημα είναι μεταξύ 40.000 € και 60.000 € ή το οικογενειακό δηλωθέν εισόδημα είναι μεταξύ 60.000 € και 80.000 €.</w:t>
      </w:r>
    </w:p>
    <w:p w14:paraId="4E2A3D86" w14:textId="77777777" w:rsidR="003F3D95" w:rsidRPr="001A5251" w:rsidRDefault="003F3D95" w:rsidP="003F3D95">
      <w:pPr>
        <w:spacing w:line="360" w:lineRule="auto"/>
      </w:pPr>
      <w:r w:rsidRPr="001A5251">
        <w:t xml:space="preserve">Βάσει των εισοδηματικών αυτών κατηγοριών διαμορφώνονται οι κατηγορίες κινήτρων του </w:t>
      </w:r>
      <w:r w:rsidR="00971D9A">
        <w:t>Προγράμματος</w:t>
      </w:r>
      <w:r w:rsidRPr="001A5251">
        <w:t>, προβλέποντας τα εξής επί του τελικού επιλέξιμου προϋπολογισμού:</w:t>
      </w:r>
    </w:p>
    <w:p w14:paraId="458728C1" w14:textId="77777777" w:rsidR="003F3D95" w:rsidRPr="001A5251" w:rsidRDefault="003F3D95" w:rsidP="003F3D95">
      <w:pPr>
        <w:pStyle w:val="a3"/>
        <w:numPr>
          <w:ilvl w:val="0"/>
          <w:numId w:val="20"/>
        </w:numPr>
        <w:spacing w:line="360" w:lineRule="auto"/>
      </w:pPr>
      <w:r w:rsidRPr="001A5251">
        <w:t>Κατηγορία Κινήτρων A1: Δάνειο ύψους 30% με επιδότηση επιτοκίου 100% και επιχορήγηση ύψους 70%.</w:t>
      </w:r>
    </w:p>
    <w:p w14:paraId="6D333D3E" w14:textId="77777777" w:rsidR="003F3D95" w:rsidRPr="001A5251" w:rsidRDefault="003F3D95" w:rsidP="003F3D95">
      <w:pPr>
        <w:pStyle w:val="a3"/>
        <w:numPr>
          <w:ilvl w:val="0"/>
          <w:numId w:val="20"/>
        </w:numPr>
        <w:spacing w:line="360" w:lineRule="auto"/>
      </w:pPr>
      <w:r w:rsidRPr="001A5251">
        <w:t xml:space="preserve"> Κατηγορία Κινήτρων A2: Δάνειο ύψους 65% με επιδότηση επιτοκίου 100% και επιχορήγηση ύψους 35%.</w:t>
      </w:r>
    </w:p>
    <w:p w14:paraId="61C15827" w14:textId="77777777" w:rsidR="003F3D95" w:rsidRPr="001A5251" w:rsidRDefault="003F3D95" w:rsidP="003F3D95">
      <w:pPr>
        <w:pStyle w:val="a3"/>
        <w:numPr>
          <w:ilvl w:val="0"/>
          <w:numId w:val="20"/>
        </w:numPr>
        <w:spacing w:line="360" w:lineRule="auto"/>
      </w:pPr>
      <w:r w:rsidRPr="001A5251">
        <w:t>Κατηγορία Κινήτρων Β: Δάνειο ύψους 85% με επιδότηση επιτοκίου 100% και επιχορήγηση ύψους 15% €.</w:t>
      </w:r>
    </w:p>
    <w:p w14:paraId="515FA7E9" w14:textId="77777777" w:rsidR="002830A1" w:rsidRPr="001A5251" w:rsidRDefault="002830A1" w:rsidP="002830A1">
      <w:pPr>
        <w:spacing w:line="360" w:lineRule="auto"/>
      </w:pPr>
      <w:r w:rsidRPr="001A5251">
        <w:t xml:space="preserve">Η μεγάλη προσέλευση αιτήσεων για συμμετοχή στο </w:t>
      </w:r>
      <w:r w:rsidR="00971D9A">
        <w:t>Πρόγραμμα</w:t>
      </w:r>
      <w:r w:rsidRPr="001A5251">
        <w:t xml:space="preserve"> «</w:t>
      </w:r>
      <w:r>
        <w:t>ΕΞΟΙΚΟΝΟΜΩ Ι</w:t>
      </w:r>
      <w:r w:rsidRPr="001A5251">
        <w:t xml:space="preserve">» την </w:t>
      </w:r>
      <w:r w:rsidR="00E5630E">
        <w:t>Προγραμματ</w:t>
      </w:r>
      <w:r w:rsidRPr="001A5251">
        <w:t xml:space="preserve">ική </w:t>
      </w:r>
      <w:r w:rsidR="00EB38B3">
        <w:t>Περίοδο</w:t>
      </w:r>
      <w:r w:rsidRPr="001A5251">
        <w:t xml:space="preserve"> 2007-2013 είχε ως αποτέλεσμα την εξάντληση των διαθέσιμων πόρων χωρίς να μπορούν να ενισχυθούν οι ενεργειακές παρεμβάσεις σε 35.493 κατοικίες</w:t>
      </w:r>
      <w:r>
        <w:rPr>
          <w:rStyle w:val="ac"/>
        </w:rPr>
        <w:footnoteReference w:id="14"/>
      </w:r>
      <w:r w:rsidRPr="001A5251">
        <w:t xml:space="preserve">. </w:t>
      </w:r>
    </w:p>
    <w:p w14:paraId="5DB96405" w14:textId="77777777" w:rsidR="002830A1" w:rsidRPr="005F1F0A" w:rsidRDefault="002830A1" w:rsidP="002830A1">
      <w:pPr>
        <w:spacing w:line="360" w:lineRule="auto"/>
      </w:pPr>
      <w:r w:rsidRPr="005F1F0A">
        <w:t xml:space="preserve">Οι ιδιοκτήτες ακινήτων από το πρώτο εξάμηνο του 2011 είχαν τη δυνατότητα να υποβάλλουν αίτηση στο </w:t>
      </w:r>
      <w:r w:rsidR="00971D9A">
        <w:t>Πρόγραμμα</w:t>
      </w:r>
      <w:r w:rsidRPr="005F1F0A">
        <w:t xml:space="preserve"> «Εξοικονόμηση </w:t>
      </w:r>
      <w:proofErr w:type="spellStart"/>
      <w:r w:rsidR="00EB38B3">
        <w:t>κατ</w:t>
      </w:r>
      <w:proofErr w:type="spellEnd"/>
      <w:r w:rsidR="00EB38B3">
        <w:t xml:space="preserve">΄ </w:t>
      </w:r>
      <w:proofErr w:type="spellStart"/>
      <w:r w:rsidR="00EB38B3">
        <w:t>Οίκον</w:t>
      </w:r>
      <w:proofErr w:type="spellEnd"/>
      <w:r w:rsidRPr="005F1F0A">
        <w:t xml:space="preserve">» προκειμένου να ενισχυθούν για παρεμβάσεις εξοικονόμησης ενέργειας στις κατοικίες τους.  Δεδομένου ότι η ενίσχυση από τα διαρθρωτικά ταμεία αποτελούσε συνδυασμό δανείου με 100% επιδότηση επιτοκίου και επιχορήγησης, παρουσιάζει μεγάλο ενδιαφέρον η χρονική παρακολούθηση της εξέλιξης των δανείων. </w:t>
      </w:r>
    </w:p>
    <w:p w14:paraId="2C3EED82" w14:textId="77777777" w:rsidR="002830A1" w:rsidRPr="005F1F0A" w:rsidRDefault="002830A1" w:rsidP="002830A1">
      <w:pPr>
        <w:spacing w:line="360" w:lineRule="auto"/>
      </w:pPr>
      <w:r w:rsidRPr="005F1F0A">
        <w:rPr>
          <w:noProof/>
          <w:lang w:eastAsia="el-GR"/>
        </w:rPr>
        <w:drawing>
          <wp:inline distT="0" distB="0" distL="0" distR="0" wp14:anchorId="031D5FA8" wp14:editId="18EB56B2">
            <wp:extent cx="5686425" cy="2466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1085" cy="2473335"/>
                    </a:xfrm>
                    <a:prstGeom prst="rect">
                      <a:avLst/>
                    </a:prstGeom>
                    <a:noFill/>
                  </pic:spPr>
                </pic:pic>
              </a:graphicData>
            </a:graphic>
          </wp:inline>
        </w:drawing>
      </w:r>
    </w:p>
    <w:p w14:paraId="052A57F7" w14:textId="77777777" w:rsidR="002830A1" w:rsidRPr="00AF433D" w:rsidRDefault="002830A1" w:rsidP="002830A1">
      <w:pPr>
        <w:pStyle w:val="af6"/>
        <w:spacing w:line="360" w:lineRule="auto"/>
        <w:rPr>
          <w:rStyle w:val="af5"/>
          <w:b w:val="0"/>
        </w:rPr>
      </w:pPr>
      <w:r w:rsidRPr="00AF433D">
        <w:rPr>
          <w:rStyle w:val="af5"/>
          <w:b w:val="0"/>
        </w:rPr>
        <w:t>Χρονική εξέλιξη υπαγωγών στο σύνολο της ελληνικής επικράτειας</w:t>
      </w:r>
      <w:r w:rsidRPr="00AF433D">
        <w:rPr>
          <w:rStyle w:val="af5"/>
          <w:b w:val="0"/>
          <w:vertAlign w:val="superscript"/>
        </w:rPr>
        <w:footnoteReference w:id="15"/>
      </w:r>
      <w:r w:rsidRPr="00AF433D">
        <w:rPr>
          <w:rStyle w:val="af5"/>
          <w:b w:val="0"/>
          <w:vertAlign w:val="superscript"/>
        </w:rPr>
        <w:t xml:space="preserve"> </w:t>
      </w:r>
    </w:p>
    <w:p w14:paraId="447D5A00" w14:textId="77777777" w:rsidR="002830A1" w:rsidRPr="005F1F0A" w:rsidRDefault="002830A1" w:rsidP="002830A1">
      <w:pPr>
        <w:spacing w:line="360" w:lineRule="auto"/>
      </w:pPr>
      <w:r w:rsidRPr="005F1F0A">
        <w:lastRenderedPageBreak/>
        <w:t xml:space="preserve">Με βάση λοιπόν τα στοιχεία που αντλήθηκαν από το πληροφοριακό σύστημα του δικαιούχου του </w:t>
      </w:r>
      <w:r w:rsidR="00971D9A">
        <w:t>Προγράμματος</w:t>
      </w:r>
      <w:r w:rsidRPr="005F1F0A">
        <w:t xml:space="preserve"> (ΕΤΕΑΝ ΑΕ) παρατηρούμε ότι :</w:t>
      </w:r>
    </w:p>
    <w:p w14:paraId="17F27F7B" w14:textId="77777777" w:rsidR="002830A1" w:rsidRPr="005F1F0A" w:rsidRDefault="002830A1" w:rsidP="002830A1">
      <w:pPr>
        <w:pStyle w:val="a3"/>
        <w:numPr>
          <w:ilvl w:val="0"/>
          <w:numId w:val="21"/>
        </w:numPr>
        <w:spacing w:line="360" w:lineRule="auto"/>
      </w:pPr>
      <w:r w:rsidRPr="005F1F0A">
        <w:t xml:space="preserve">Το ενδιαφέρον των ιδιοκτητών ακινήτων με υψηλά σχετικά εισοδήματα για την υποβολή αίτησης ήταν χαμηλό. Συνολικά το </w:t>
      </w:r>
      <w:r w:rsidR="00971D9A">
        <w:t>Πρόγραμμα</w:t>
      </w:r>
      <w:r w:rsidRPr="005F1F0A">
        <w:t xml:space="preserve"> χρηματοδότησε μόλις 269 αιτήσεις με ποσοστό επιχορήγησης 15%.</w:t>
      </w:r>
    </w:p>
    <w:p w14:paraId="4D113E1E" w14:textId="77777777" w:rsidR="002830A1" w:rsidRPr="005F1F0A" w:rsidRDefault="002830A1" w:rsidP="002830A1">
      <w:pPr>
        <w:pStyle w:val="a3"/>
        <w:numPr>
          <w:ilvl w:val="0"/>
          <w:numId w:val="21"/>
        </w:numPr>
        <w:spacing w:line="360" w:lineRule="auto"/>
      </w:pPr>
      <w:r w:rsidRPr="005F1F0A">
        <w:t xml:space="preserve">Το ενδιαφέρον των ιδιοκτητών με χαμηλότερα εισοδήματα ήταν από την αρχή του </w:t>
      </w:r>
      <w:r w:rsidR="00971D9A">
        <w:t>Προγράμματος</w:t>
      </w:r>
      <w:r w:rsidRPr="005F1F0A">
        <w:t xml:space="preserve"> αρκετά μεγάλο και εκτοξεύθηκε όταν τροποποιήθηκε ο </w:t>
      </w:r>
      <w:r w:rsidR="00B925F9">
        <w:t>Οδηγός</w:t>
      </w:r>
      <w:r w:rsidRPr="005F1F0A">
        <w:t xml:space="preserve"> </w:t>
      </w:r>
      <w:r w:rsidR="004F576E">
        <w:t>Εφαρμογής</w:t>
      </w:r>
      <w:r w:rsidRPr="005F1F0A">
        <w:t xml:space="preserve"> και αύξησε το ποσοστό επιχορήγησης από το 35% στο 70%. Συνολικά 22.920 κατοικίες χρηματοδοτήθηκαν με ποσοστό επιχορήγησης 35% και αντίστοιχα 26.900 κατοικίες με ποσοστό 70%. </w:t>
      </w:r>
    </w:p>
    <w:p w14:paraId="2988D3BA" w14:textId="77777777" w:rsidR="002830A1" w:rsidRPr="005F1F0A" w:rsidRDefault="002830A1" w:rsidP="002830A1">
      <w:pPr>
        <w:pStyle w:val="a3"/>
        <w:numPr>
          <w:ilvl w:val="0"/>
          <w:numId w:val="21"/>
        </w:numPr>
        <w:spacing w:line="360" w:lineRule="auto"/>
      </w:pPr>
      <w:r w:rsidRPr="005F1F0A">
        <w:t xml:space="preserve">Η τροποποίηση του </w:t>
      </w:r>
      <w:r w:rsidR="00B925F9">
        <w:t>Οδηγού</w:t>
      </w:r>
      <w:r w:rsidRPr="005F1F0A">
        <w:t xml:space="preserve"> </w:t>
      </w:r>
      <w:r w:rsidR="004F576E">
        <w:t>Εφαρμογής</w:t>
      </w:r>
      <w:r w:rsidRPr="005F1F0A">
        <w:t xml:space="preserve"> είχε ως αποτέλεσμα την αύξηση του ποσοστού επιχορήγησης με συνέπειες: α) τη μείωση της δανειοδότησης του προϋπολογισμού των παρεμβάσεων άρα και της απορρόφησης του Ταμείου  «Εξοικονομώ </w:t>
      </w:r>
      <w:proofErr w:type="spellStart"/>
      <w:r w:rsidR="00EB38B3">
        <w:t>κατ</w:t>
      </w:r>
      <w:proofErr w:type="spellEnd"/>
      <w:r w:rsidR="00EB38B3">
        <w:t xml:space="preserve">΄ </w:t>
      </w:r>
      <w:proofErr w:type="spellStart"/>
      <w:r w:rsidR="00EB38B3">
        <w:t>Οίκον</w:t>
      </w:r>
      <w:proofErr w:type="spellEnd"/>
      <w:r w:rsidRPr="005F1F0A">
        <w:t xml:space="preserve">», και  β) την εξάντληση των πόρων που είχαν δεσμευθεί για την επιχορήγηση των παρεμβάσεων. </w:t>
      </w:r>
    </w:p>
    <w:p w14:paraId="012F3D59" w14:textId="77777777" w:rsidR="002830A1" w:rsidRDefault="002830A1" w:rsidP="002830A1">
      <w:pPr>
        <w:pStyle w:val="a3"/>
        <w:numPr>
          <w:ilvl w:val="0"/>
          <w:numId w:val="21"/>
        </w:numPr>
        <w:spacing w:line="360" w:lineRule="auto"/>
      </w:pPr>
      <w:r w:rsidRPr="005F1F0A">
        <w:t>Η μείωση του ρυθμού υποβολής αιτήσεων που εμφανίζεται από το 2014 και έπειτα, οφείλεται σε μεγάλο βαθμό στην σταδιακή εξάντληση των πόρων για την κάλυψη των επιχορηγήσεων που λάμβανε χώρα ανά γεωγραφική περιοχή της χώρας.</w:t>
      </w:r>
    </w:p>
    <w:p w14:paraId="0C512A58" w14:textId="77777777" w:rsidR="002830A1" w:rsidRPr="001A5251" w:rsidRDefault="002830A1" w:rsidP="002830A1">
      <w:pPr>
        <w:spacing w:line="360" w:lineRule="auto"/>
      </w:pPr>
      <w:r w:rsidRPr="001A5251">
        <w:t xml:space="preserve">Από στοιχεία του πληροφοριακού συστήματος για τα πιστοποιητικά ενεργειακής απόδοσης που διαθέτει το αρμόδιο Υπουργείο Περιβάλλοντος και Ενέργειας συμπεραίνεται ότι το ενεργειακό κτιριακό απόθεμα για κατοικίες χαμηλής ενεργειακής απόδοσης που διαθέτουν ΠΕΑ έως την κατηγορία Η, υπερβαίνει τις 2.600.000 κατοικίες. </w:t>
      </w:r>
    </w:p>
    <w:p w14:paraId="20D22F7D" w14:textId="77777777" w:rsidR="002830A1" w:rsidRPr="001A5251" w:rsidRDefault="002830A1" w:rsidP="002830A1">
      <w:pPr>
        <w:spacing w:line="360" w:lineRule="auto"/>
      </w:pPr>
      <w:r w:rsidRPr="001A5251">
        <w:t>Φυσικά αυτός ο αριθμός κατοικιών ούτε μπορεί να καλυφθεί από τα διαθέσιμα κονδύλια αλλά ούτε και μπορεί κάποιος να ισχυρισθεί ότι ενδιαφέρονται όλοι οι ιδιοκτήτες τους να τις αναβαθμίσουν ενεργειακά. Όμως αυτές οι κατοικίες υποδηλώνουν ένα επενδυτικό δυναμικό.</w:t>
      </w:r>
    </w:p>
    <w:p w14:paraId="3A749242" w14:textId="77777777" w:rsidR="002830A1" w:rsidRPr="001A5251" w:rsidRDefault="002830A1" w:rsidP="002830A1">
      <w:pPr>
        <w:spacing w:line="360" w:lineRule="auto"/>
      </w:pPr>
      <w:r w:rsidRPr="001A5251">
        <w:t xml:space="preserve">Αδιαμφισβήτητα, τα πραγματικά στοιχεία από την υλοποίηση </w:t>
      </w:r>
      <w:r w:rsidR="00EB38B3">
        <w:t>του Προγράμματος</w:t>
      </w:r>
      <w:r w:rsidRPr="001A5251">
        <w:t xml:space="preserve"> Εξοικονόμηση </w:t>
      </w:r>
      <w:proofErr w:type="spellStart"/>
      <w:r w:rsidR="00EB38B3">
        <w:t>κατ</w:t>
      </w:r>
      <w:proofErr w:type="spellEnd"/>
      <w:r w:rsidR="00EB38B3">
        <w:t xml:space="preserve">΄ </w:t>
      </w:r>
      <w:proofErr w:type="spellStart"/>
      <w:r w:rsidR="00EB38B3">
        <w:t>Οίκον</w:t>
      </w:r>
      <w:proofErr w:type="spellEnd"/>
      <w:r w:rsidRPr="001A5251">
        <w:t xml:space="preserve">» την </w:t>
      </w:r>
      <w:r w:rsidR="00E5630E">
        <w:t>Προγραμματ</w:t>
      </w:r>
      <w:r w:rsidRPr="001A5251">
        <w:t xml:space="preserve">ική </w:t>
      </w:r>
      <w:r w:rsidR="00EB38B3">
        <w:t>Περίοδο</w:t>
      </w:r>
      <w:r w:rsidRPr="001A5251">
        <w:t xml:space="preserve"> 2007 – 2013, αποτελούν την πιο αξιόπιστη πηγή για τον προσδιορισμό του επενδυτικού κενού, ειδικότερα:</w:t>
      </w:r>
    </w:p>
    <w:p w14:paraId="251BC6E2" w14:textId="77777777" w:rsidR="002830A1" w:rsidRPr="001A5251" w:rsidRDefault="002830A1" w:rsidP="002830A1">
      <w:pPr>
        <w:spacing w:line="360" w:lineRule="auto"/>
        <w:ind w:left="720"/>
      </w:pPr>
      <w:r w:rsidRPr="001A5251">
        <w:t xml:space="preserve">α) η μεγάλη συμμετοχή των ιδιοκτητών ακινήτων στο </w:t>
      </w:r>
      <w:r w:rsidR="00971D9A">
        <w:t>Πρόγραμμα</w:t>
      </w:r>
      <w:r w:rsidRPr="001A5251">
        <w:t xml:space="preserve"> που ξεπέρασε τις 250.000 αιτήσεις στα πιστωτικά ιδρύματα, όπου θα πρέπει να διερευνηθούν διεξοδικά οι λόγοι απόρριψης μεγάλου μέρους των αιτήσεων </w:t>
      </w:r>
    </w:p>
    <w:p w14:paraId="35A98041" w14:textId="77777777" w:rsidR="002830A1" w:rsidRPr="001A5251" w:rsidRDefault="002830A1" w:rsidP="002830A1">
      <w:pPr>
        <w:spacing w:line="360" w:lineRule="auto"/>
        <w:ind w:left="720"/>
      </w:pPr>
      <w:r w:rsidRPr="001A5251">
        <w:lastRenderedPageBreak/>
        <w:t xml:space="preserve">β) η </w:t>
      </w:r>
      <w:r>
        <w:t>μη διαθεσιμότητα συγχρηματοδοτούμενων</w:t>
      </w:r>
      <w:r w:rsidRPr="001A5251">
        <w:t xml:space="preserve"> πόρων της τάξεως των 61,6εκ.€ για τη χρηματοδότηση 35.943 αιτήσεων </w:t>
      </w:r>
      <w:r>
        <w:rPr>
          <w:rStyle w:val="ac"/>
        </w:rPr>
        <w:footnoteReference w:id="16"/>
      </w:r>
      <w:r w:rsidRPr="001A5251">
        <w:t xml:space="preserve">που </w:t>
      </w:r>
      <w:r>
        <w:t>υπέβαλαν</w:t>
      </w:r>
      <w:r w:rsidRPr="001A5251">
        <w:t xml:space="preserve"> πλήρη φάκελο συμμετοχής</w:t>
      </w:r>
      <w:r>
        <w:t xml:space="preserve"> αλλά δεν μπορούσαν να ικανοποιηθούν από το </w:t>
      </w:r>
      <w:r w:rsidR="00971D9A">
        <w:t>Πρόγραμμα</w:t>
      </w:r>
      <w:r>
        <w:t>, σημείο που οφείλεται στο όριο του κανονισμού για το ποσοστό του ΕΤΠΑ, το οποίο μπορεί να αναλωθεί για δράσεις εξοικονόμησης.</w:t>
      </w:r>
    </w:p>
    <w:p w14:paraId="42AA0146" w14:textId="77777777" w:rsidR="002830A1" w:rsidRPr="001A5251" w:rsidRDefault="002830A1" w:rsidP="002830A1">
      <w:pPr>
        <w:spacing w:line="360" w:lineRule="auto"/>
        <w:ind w:left="720"/>
      </w:pPr>
      <w:r w:rsidRPr="001A5251">
        <w:t xml:space="preserve">γ) η αυξημένη ζήτηση για όλες τις </w:t>
      </w:r>
      <w:r w:rsidR="00E5630E">
        <w:t>Περιφέρ</w:t>
      </w:r>
      <w:r w:rsidRPr="001A5251">
        <w:t xml:space="preserve">ειες της χώρας όπως προκύπτει από την ανάλυση των στοιχείων του </w:t>
      </w:r>
      <w:r w:rsidR="00971D9A">
        <w:t>Προγράμματος</w:t>
      </w:r>
    </w:p>
    <w:p w14:paraId="0EFFB519" w14:textId="77777777" w:rsidR="002830A1" w:rsidRPr="001A5251" w:rsidRDefault="002830A1" w:rsidP="002830A1">
      <w:pPr>
        <w:spacing w:line="360" w:lineRule="auto"/>
        <w:ind w:left="720"/>
      </w:pPr>
      <w:r w:rsidRPr="001A5251">
        <w:t>δ) ο μεγάλος όγκος αιτημάτων σε σύντομο χρονικό διάστημα, όπου σε λιγότερο από δύο έτη σωρεύτηκαν 35.943 αιτήσεις.</w:t>
      </w:r>
    </w:p>
    <w:p w14:paraId="02D32B52" w14:textId="77777777" w:rsidR="002830A1" w:rsidRDefault="002830A1" w:rsidP="002830A1">
      <w:pPr>
        <w:spacing w:line="360" w:lineRule="auto"/>
        <w:ind w:left="720"/>
      </w:pPr>
      <w:r w:rsidRPr="001A5251">
        <w:t xml:space="preserve">ε) η ανάγκη υποστήριξης των ενεργειακών παρεμβάσεων με επιχορήγηση μέρους των δαπανών, προκειμένου να παρακινηθούν οι ιδιοκτήτες ακινήτων για τη συμμετοχή τους στο </w:t>
      </w:r>
      <w:r w:rsidR="00971D9A">
        <w:t>Πρόγραμμα</w:t>
      </w:r>
      <w:r w:rsidRPr="001A5251">
        <w:t>.</w:t>
      </w:r>
    </w:p>
    <w:p w14:paraId="7A3194D8" w14:textId="77777777" w:rsidR="002830A1" w:rsidRPr="001A5251" w:rsidRDefault="002830A1" w:rsidP="00FA5CD9">
      <w:pPr>
        <w:pStyle w:val="3"/>
      </w:pPr>
      <w:bookmarkStart w:id="38" w:name="_Toc36639216"/>
      <w:r>
        <w:t>Αποτελέσματα ΕΞΟΙΚΟΝΟΜΩ Ι</w:t>
      </w:r>
      <w:bookmarkEnd w:id="38"/>
    </w:p>
    <w:p w14:paraId="5B281B2E" w14:textId="77777777" w:rsidR="002830A1" w:rsidRDefault="002830A1" w:rsidP="002830A1">
      <w:pPr>
        <w:spacing w:line="360" w:lineRule="auto"/>
      </w:pPr>
      <w:r>
        <w:t xml:space="preserve">Σύμφωνα με την έκθεση των Ενεργειακών Επιθεωρητών του Ιανουαρίου 2019 </w:t>
      </w:r>
      <w:r w:rsidRPr="00E27E0B">
        <w:t xml:space="preserve">Στα κτίρια των κατοικιών που συμμετείχαν στο </w:t>
      </w:r>
      <w:r w:rsidR="00EB38B3">
        <w:t xml:space="preserve">πρώτο </w:t>
      </w:r>
      <w:r w:rsidR="00971D9A">
        <w:t>Πρόγραμμα</w:t>
      </w:r>
      <w:r w:rsidRPr="00E27E0B">
        <w:t xml:space="preserve"> </w:t>
      </w:r>
      <w:r w:rsidR="00EB38B3">
        <w:t>«Ε</w:t>
      </w:r>
      <w:r w:rsidRPr="00E27E0B">
        <w:t>ξοικονόμηση κατ</w:t>
      </w:r>
      <w:r w:rsidR="00EB38B3">
        <w:t xml:space="preserve">’ </w:t>
      </w:r>
      <w:proofErr w:type="spellStart"/>
      <w:r w:rsidR="00EB38B3">
        <w:t>Ο</w:t>
      </w:r>
      <w:r w:rsidRPr="00E27E0B">
        <w:t>ίκον</w:t>
      </w:r>
      <w:proofErr w:type="spellEnd"/>
      <w:r w:rsidR="00EB38B3">
        <w:t>»</w:t>
      </w:r>
      <w:r w:rsidRPr="00E27E0B">
        <w:t>, παρατηρείται ότι το μεγαλύτερο ποσοστό αυτών μετά τις ενεργειακές επεμβάσεις</w:t>
      </w:r>
      <w:r w:rsidR="00A03160">
        <w:t>,</w:t>
      </w:r>
      <w:r w:rsidRPr="00E27E0B">
        <w:t xml:space="preserve"> κατατάσσεται στην ενεργειακή κατηγορία Γ (26,55%) και Δ (25,01%).</w:t>
      </w:r>
    </w:p>
    <w:p w14:paraId="2CA79618" w14:textId="77777777" w:rsidR="002830A1" w:rsidRDefault="002830A1" w:rsidP="002830A1">
      <w:pPr>
        <w:spacing w:line="360" w:lineRule="auto"/>
      </w:pPr>
      <w:r>
        <w:rPr>
          <w:noProof/>
          <w:lang w:eastAsia="el-GR"/>
        </w:rPr>
        <w:drawing>
          <wp:inline distT="0" distB="0" distL="0" distR="0" wp14:anchorId="1769BA05" wp14:editId="4E1203A5">
            <wp:extent cx="5676264" cy="2714625"/>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7774" cy="2720130"/>
                    </a:xfrm>
                    <a:prstGeom prst="rect">
                      <a:avLst/>
                    </a:prstGeom>
                  </pic:spPr>
                </pic:pic>
              </a:graphicData>
            </a:graphic>
          </wp:inline>
        </w:drawing>
      </w:r>
    </w:p>
    <w:p w14:paraId="3435DD27" w14:textId="77777777" w:rsidR="003F3D95" w:rsidRPr="001A5251" w:rsidRDefault="003F3D95" w:rsidP="00FA5CD9">
      <w:pPr>
        <w:pStyle w:val="3"/>
      </w:pPr>
      <w:bookmarkStart w:id="39" w:name="_Toc36639217"/>
      <w:r w:rsidRPr="001A5251">
        <w:t>Συμπεράσματα</w:t>
      </w:r>
      <w:bookmarkEnd w:id="39"/>
    </w:p>
    <w:p w14:paraId="1171F11F" w14:textId="77777777" w:rsidR="003F3D95" w:rsidRPr="001A5251" w:rsidRDefault="003F3D95" w:rsidP="003F3D95">
      <w:pPr>
        <w:spacing w:line="360" w:lineRule="auto"/>
      </w:pPr>
      <w:r w:rsidRPr="001A5251">
        <w:lastRenderedPageBreak/>
        <w:t xml:space="preserve">Το </w:t>
      </w:r>
      <w:r w:rsidR="00971D9A">
        <w:t>Πρόγραμμα</w:t>
      </w:r>
      <w:r w:rsidRPr="001A5251">
        <w:t xml:space="preserve"> «Εξοικονόμηση </w:t>
      </w:r>
      <w:r w:rsidR="00971D9A">
        <w:t xml:space="preserve">κατ’ </w:t>
      </w:r>
      <w:proofErr w:type="spellStart"/>
      <w:r w:rsidR="00971D9A">
        <w:t>Οίκον</w:t>
      </w:r>
      <w:proofErr w:type="spellEnd"/>
      <w:r w:rsidRPr="001A5251">
        <w:t xml:space="preserve">» αποτέλεσε ένα ιδιαίτερα καινοτόμο </w:t>
      </w:r>
      <w:r w:rsidR="00971D9A">
        <w:t>Πρόγραμμα</w:t>
      </w:r>
      <w:r w:rsidRPr="001A5251">
        <w:t xml:space="preserve"> ενεργειακής αναβάθμισης του οικιακού τομέα της χώρας, όπου για πρώτη φορά συνδυάζονται άμεσες ενισχύσεις και δανεισμός, ενώ απευθύν</w:t>
      </w:r>
      <w:r>
        <w:t>θηκε</w:t>
      </w:r>
      <w:r w:rsidRPr="001A5251">
        <w:t xml:space="preserve"> σε ένα πολύ ευρύ κοινό, ουσιαστικά στο μεγαλύτερο μέρος των νοικοκυριών της χώρας, και όχι σε επιχειρήσεις, όπως συμβαίνει με την πλειονότητα των χρηματοδοτούμενων δράσεων. </w:t>
      </w:r>
    </w:p>
    <w:p w14:paraId="5B3BDE78" w14:textId="77777777" w:rsidR="003F3D95" w:rsidRPr="001A5251" w:rsidRDefault="003F3D95" w:rsidP="003F3D95">
      <w:pPr>
        <w:spacing w:line="360" w:lineRule="auto"/>
      </w:pPr>
      <w:r w:rsidRPr="001A5251">
        <w:t xml:space="preserve">Λόγω του καινοτόμου αυτού χαρακτήρα της δράσης επιδότησης παρεμβάσεων εξοικονόμησης ενέργειας σε κατοικίες και λόγω έλλειψης σχετικής εμπειρίας, υπήρξαν δυσκολίες ιδιαίτερα στην αρχή της υλοποίησής της. </w:t>
      </w:r>
      <w:r>
        <w:t>Βέβαια, σ</w:t>
      </w:r>
      <w:r w:rsidRPr="001A5251">
        <w:t xml:space="preserve">ταδιακά τα πιστωτικά ιδρύματα που συμμετείχαν άρχισαν να αποκτούν τεχνική επάρκεια και ο κατασκευαστικός κλάδος να προσαρμόζεται στις απαιτήσεις πιστοποίησης που απαιτούσε το </w:t>
      </w:r>
      <w:r w:rsidR="00971D9A">
        <w:t>Πρόγραμμα</w:t>
      </w:r>
      <w:r w:rsidRPr="001A5251">
        <w:t xml:space="preserve"> λόγω των κανόνων που έθετε το κοινοτικό και εθνικό δίκαιο. </w:t>
      </w:r>
    </w:p>
    <w:p w14:paraId="22D281E1" w14:textId="77777777" w:rsidR="003F3D95" w:rsidRPr="001A5251" w:rsidRDefault="003F3D95" w:rsidP="003F3D95">
      <w:pPr>
        <w:spacing w:line="360" w:lineRule="auto"/>
      </w:pPr>
      <w:r w:rsidRPr="001A5251">
        <w:t>Όπως αναφέρεται στην έρευνα πεδίου</w:t>
      </w:r>
      <w:r w:rsidRPr="001A5251">
        <w:rPr>
          <w:rStyle w:val="ac"/>
        </w:rPr>
        <w:footnoteReference w:id="17"/>
      </w:r>
      <w:r w:rsidRPr="001A5251">
        <w:t>, εντοπίζονται διαχειριστικά προβλήματα που αντιμετώπισαν οι φορείς υλοποίησης της δράσης και οφείλονται κατά κύριο λόγο στον τρόπο που αναπτύχθηκε το μηχανογραφικό σύστημα καταχώρισης και διαχείρισης των αιτήσεων, κάτι που θα μπορούσε να είχε αντιμετωπιστεί με έναν καλύτερο σχεδιασμό εξ αρχής.</w:t>
      </w:r>
    </w:p>
    <w:p w14:paraId="00CD57E1" w14:textId="77777777" w:rsidR="003F3D95" w:rsidRPr="001A5251" w:rsidRDefault="003F3D95" w:rsidP="003F3D95">
      <w:pPr>
        <w:spacing w:line="360" w:lineRule="auto"/>
      </w:pPr>
      <w:r w:rsidRPr="001A5251">
        <w:t xml:space="preserve">Κατά την αξιολόγηση του </w:t>
      </w:r>
      <w:r w:rsidR="00971D9A">
        <w:t>Προγράμματος</w:t>
      </w:r>
      <w:r w:rsidRPr="001A5251">
        <w:t xml:space="preserve"> εντοπίζεται εγγενής αδυναμία αναφορικά με τη συμμετοχή των πολυκατοικιών, λόγω των αυξημένων απαιτήσεων συντονισμού μεταξύ των ιδιοκτητών διαμερισμάτων. Αποτέλεσμα αυτού είναι να μην έχει ενταχθεί στο </w:t>
      </w:r>
      <w:r w:rsidR="00971D9A">
        <w:t>Πρόγραμμα</w:t>
      </w:r>
      <w:r w:rsidRPr="001A5251">
        <w:t xml:space="preserve"> σχεδόν το σύνολο των μεγάλων και </w:t>
      </w:r>
      <w:proofErr w:type="spellStart"/>
      <w:r w:rsidRPr="001A5251">
        <w:t>ενεργοβόρων</w:t>
      </w:r>
      <w:proofErr w:type="spellEnd"/>
      <w:r w:rsidRPr="001A5251">
        <w:t xml:space="preserve"> πολυκατοικιών των αστικών κέντρων της χώρας, που παρουσιάζουν σημαντικό δυναμικό εξοικονόμησης ενέργειας.</w:t>
      </w:r>
    </w:p>
    <w:p w14:paraId="60B0FC9F" w14:textId="77777777" w:rsidR="003F3D95" w:rsidRPr="001A5251" w:rsidRDefault="003F3D95" w:rsidP="003F3D95">
      <w:pPr>
        <w:spacing w:line="360" w:lineRule="auto"/>
      </w:pPr>
      <w:r w:rsidRPr="001A5251">
        <w:t xml:space="preserve"> Οι εμπλεκόμενοι (τράπεζες, κατασκευαστές και ωφελούμενοι) σύμφωνα με τα στοιχεία αξιολόγησης του </w:t>
      </w:r>
      <w:r w:rsidR="00971D9A">
        <w:t>Προγράμματος</w:t>
      </w:r>
      <w:r w:rsidRPr="001A5251">
        <w:t>, αναφέρουν ότι δυσκολεύτηκαν σε σημαντικό βαθμό λόγω της γραφειοκρατίας και της πολυπλοκότητας των προβλεπόμενων διαδικασιών, που συνεπάγ</w:t>
      </w:r>
      <w:r w:rsidR="00A03160">
        <w:t>ε</w:t>
      </w:r>
      <w:r w:rsidRPr="001A5251">
        <w:t xml:space="preserve">ται μεγάλο όγκο δικαιολογητικών και πρόσθετο φόρτο εργασίας. Ειδικά οι ιδιοκτήτες ακινήτων (ωφελούμενοι), εμφανίζονται περισσότερο ικανοποιημένοι από τους τεχνίτες και τις κατασκευαστικές εταιρίες, απ’ ότι με τις τράπεζες με τις οποίες συνεργάστηκαν. Οι πιο συχνές δυσκολίες που αντιμετώπισαν είναι οι μεγάλοι χρόνοι αναμονής και η γραφειοκρατία του </w:t>
      </w:r>
      <w:r w:rsidR="00971D9A">
        <w:lastRenderedPageBreak/>
        <w:t>Προγράμματος</w:t>
      </w:r>
      <w:r w:rsidRPr="001A5251">
        <w:t>, αλλά πάνω απ’ όλα η καθυστέρηση στην εκταμίευση του δανείου και την καταβολή της επιχορήγησης.</w:t>
      </w:r>
    </w:p>
    <w:p w14:paraId="00D84E36" w14:textId="77777777" w:rsidR="003F3D95" w:rsidRPr="001A5251" w:rsidRDefault="003F3D95" w:rsidP="003F3D95">
      <w:pPr>
        <w:spacing w:line="360" w:lineRule="auto"/>
      </w:pPr>
      <w:r w:rsidRPr="001A5251">
        <w:t xml:space="preserve">Παρόλα τα προβλήματα που προέκυψαν όμως, το </w:t>
      </w:r>
      <w:r w:rsidR="00971D9A">
        <w:t>Πρόγραμμα</w:t>
      </w:r>
      <w:r w:rsidRPr="001A5251">
        <w:t xml:space="preserve"> είχε εν γένει θετική επίπτωση στα εμπλεκόμενα μέρη και κυρίως στους ωφελούμενους με χαμηλά εισοδήματα.</w:t>
      </w:r>
    </w:p>
    <w:p w14:paraId="053D2285" w14:textId="77777777" w:rsidR="003F3D95" w:rsidRPr="001A5251" w:rsidRDefault="003F3D95" w:rsidP="003F3D95">
      <w:pPr>
        <w:spacing w:line="360" w:lineRule="auto"/>
      </w:pPr>
      <w:r w:rsidRPr="001A5251">
        <w:t>Αναφορικά με τον κατασκευαστικό κλάδο, είχε συμβολή στο επίπεδο απασχόλησης, όχι τόσο υπό την έννοια της διατήρησης των υφιστάμενων θέσεων, αλλά της δημιουργίας νέων θέσεων εργασίας, κάτι που είναι ιδιαίτερα σημαντικό.</w:t>
      </w:r>
      <w:r>
        <w:t xml:space="preserve"> </w:t>
      </w:r>
    </w:p>
    <w:p w14:paraId="156204F0" w14:textId="77777777" w:rsidR="003F3D95" w:rsidRPr="001A5251" w:rsidRDefault="003F3D95" w:rsidP="003F3D95">
      <w:pPr>
        <w:spacing w:line="360" w:lineRule="auto"/>
      </w:pPr>
      <w:r w:rsidRPr="001A5251">
        <w:t xml:space="preserve">Ο τομέας των κατασκευών και ειδικότερα ο κλάδος «Κατασκευής μεταλλικών προϊόντων, με εξαίρεση τα μηχανήματα και τα είδη εξοπλισμού» με έμφαση στη δραστηριότητα «Κατασκευή πορτών, παράθυρων και των πλαισίων τους, καθώς και κατωφλιών για πόρτες, από αλουμίνιο», σύμφωνα με τα στοιχεία του </w:t>
      </w:r>
      <w:r w:rsidR="00971D9A">
        <w:t>Προγράμματος</w:t>
      </w:r>
      <w:r w:rsidRPr="001A5251">
        <w:t xml:space="preserve">, ενισχύθηκε πολύ περισσότερο, καθώς το μεγαλύτερο ποσοστό των εργασιών που εκτελέστηκαν στο πλαίσιο του </w:t>
      </w:r>
      <w:r w:rsidR="00971D9A">
        <w:t>Προγράμματος</w:t>
      </w:r>
      <w:r w:rsidRPr="001A5251">
        <w:t xml:space="preserve"> αφορούσε στην αντικατάσταση των κουφωμάτων με νέα εξελιγμένα υλικά. Επιπλέον, ο κλάδος «Δραστηριότητες ηλεκτρολογικών, υδραυλικών και άλλων κατασκευαστικών εγκαταστάσεων», με έμφαση στις δραστηριότητες εργασίες θερμομόνωσης εξωτερικών επιφανειών τοίχων</w:t>
      </w:r>
      <w:r>
        <w:t xml:space="preserve"> </w:t>
      </w:r>
      <w:r w:rsidRPr="001A5251">
        <w:t xml:space="preserve">ή και εργασίες εγκαταστάσεων θέρμανσης, αερισμού και κλιματισμού παρουσίασαν σημαντική άνοδο κατά την </w:t>
      </w:r>
      <w:r w:rsidR="00EB38B3">
        <w:t>Περίοδο</w:t>
      </w:r>
      <w:r w:rsidRPr="001A5251">
        <w:t xml:space="preserve"> υλοποίησης του </w:t>
      </w:r>
      <w:r w:rsidR="00971D9A">
        <w:t>Προγράμματος</w:t>
      </w:r>
      <w:r w:rsidRPr="001A5251">
        <w:t>.</w:t>
      </w:r>
    </w:p>
    <w:p w14:paraId="6C642822" w14:textId="77777777" w:rsidR="003F3D95" w:rsidRPr="001A5251" w:rsidRDefault="003F3D95" w:rsidP="003F3D95">
      <w:pPr>
        <w:spacing w:line="360" w:lineRule="auto"/>
      </w:pPr>
      <w:r w:rsidRPr="001A5251">
        <w:t xml:space="preserve">Σε κάθε περίπτωση </w:t>
      </w:r>
      <w:r w:rsidR="00A03160">
        <w:t>όμως,</w:t>
      </w:r>
      <w:r w:rsidRPr="001A5251">
        <w:t xml:space="preserve"> τα αποτέλεσμα των παρεμβάσεων αυτής της επιδοτούμενης δράσης, ιδιαίτερα με τη</w:t>
      </w:r>
      <w:r>
        <w:t>ν</w:t>
      </w:r>
      <w:r w:rsidRPr="001A5251">
        <w:t xml:space="preserve"> αύξηση του ενεργειακού κόστους, κρίνεται ιδιαίτερα σημαντική με έντονο κοινωνικό χαρακτήρα. Η συνέχισή της θα επιτελέσει επιπλέον σημαντικό κοινωνικό έργο, τα οφέλη του οποίου, στην παρούσα κοινωνικοοικονομική συγκυρία λαμβάνουν υψηλή προστιθέμενη αξία.</w:t>
      </w:r>
    </w:p>
    <w:p w14:paraId="5964A315" w14:textId="77777777" w:rsidR="003F3D95" w:rsidRPr="001A5251" w:rsidRDefault="003F3D95" w:rsidP="003F3D95">
      <w:pPr>
        <w:spacing w:line="360" w:lineRule="auto"/>
      </w:pPr>
      <w:r w:rsidRPr="001A5251">
        <w:t xml:space="preserve">Τα σημεία στα οποία, σύμφωνα με την έρευνα πεδίου για την αξιολόγηση του </w:t>
      </w:r>
      <w:r w:rsidR="00971D9A">
        <w:t>Προγράμματος</w:t>
      </w:r>
      <w:r w:rsidRPr="001A5251">
        <w:t xml:space="preserve"> «Εξοικονόμηση </w:t>
      </w:r>
      <w:r w:rsidR="00971D9A">
        <w:t xml:space="preserve">κατ’ </w:t>
      </w:r>
      <w:proofErr w:type="spellStart"/>
      <w:r w:rsidR="00971D9A">
        <w:t>Οίκον</w:t>
      </w:r>
      <w:proofErr w:type="spellEnd"/>
      <w:r w:rsidRPr="001A5251">
        <w:t>», εκτιμ</w:t>
      </w:r>
      <w:r w:rsidR="00D934A5">
        <w:t>ήθηκε πως θα έπρεπε</w:t>
      </w:r>
      <w:r w:rsidRPr="001A5251">
        <w:t xml:space="preserve"> να δοθεί περισσότερη έμφαση για το σχεδιασμό ενός μελλοντικού παρόμοιου</w:t>
      </w:r>
      <w:r w:rsidR="00D934A5">
        <w:t xml:space="preserve"> </w:t>
      </w:r>
      <w:r w:rsidR="00971D9A">
        <w:t>Προγράμματος</w:t>
      </w:r>
      <w:r w:rsidR="00D934A5">
        <w:t>, αναδείχθηκαν τα εξής</w:t>
      </w:r>
      <w:r w:rsidRPr="001A5251">
        <w:t>:</w:t>
      </w:r>
    </w:p>
    <w:p w14:paraId="04D13CEA" w14:textId="77777777" w:rsidR="003F3D95" w:rsidRPr="001A5251" w:rsidRDefault="003F3D95" w:rsidP="003F3D95">
      <w:pPr>
        <w:pStyle w:val="a3"/>
        <w:numPr>
          <w:ilvl w:val="0"/>
          <w:numId w:val="22"/>
        </w:numPr>
        <w:spacing w:line="360" w:lineRule="auto"/>
      </w:pPr>
      <w:r w:rsidRPr="001A5251">
        <w:t xml:space="preserve">Η αναγκαιότητα για ένα ενιαίο μηχανογραφικό σύστημα στην περίπτωση ενός νέου </w:t>
      </w:r>
      <w:r w:rsidR="00971D9A">
        <w:t>Προγράμματος</w:t>
      </w:r>
      <w:r w:rsidRPr="001A5251">
        <w:t xml:space="preserve"> εξοικονόμησης ενέργειας.</w:t>
      </w:r>
    </w:p>
    <w:p w14:paraId="6A1AA024" w14:textId="77777777" w:rsidR="003F3D95" w:rsidRPr="001A5251" w:rsidRDefault="003F3D95" w:rsidP="003F3D95">
      <w:pPr>
        <w:pStyle w:val="a3"/>
        <w:numPr>
          <w:ilvl w:val="0"/>
          <w:numId w:val="22"/>
        </w:numPr>
        <w:spacing w:line="360" w:lineRule="auto"/>
      </w:pPr>
      <w:r w:rsidRPr="001A5251">
        <w:t xml:space="preserve">Η διαμόρφωση κινήτρων και για τον ιδιώτη και τον επαγγελματία, να δίνονται π.χ. πιστώσεις στις επιχειρήσεις για να μπορέσουν να κινηθούν πιο ευέλικτα. </w:t>
      </w:r>
    </w:p>
    <w:p w14:paraId="1A7E7BB1" w14:textId="77777777" w:rsidR="003F3D95" w:rsidRPr="001A5251" w:rsidRDefault="003F3D95" w:rsidP="003F3D95">
      <w:pPr>
        <w:pStyle w:val="a3"/>
        <w:numPr>
          <w:ilvl w:val="0"/>
          <w:numId w:val="22"/>
        </w:numPr>
        <w:spacing w:line="360" w:lineRule="auto"/>
      </w:pPr>
      <w:r w:rsidRPr="001A5251">
        <w:t xml:space="preserve">Ο διαχωρισμός της διαχείρισης του </w:t>
      </w:r>
      <w:r w:rsidR="00971D9A">
        <w:t>Προγράμματος</w:t>
      </w:r>
      <w:r w:rsidRPr="001A5251">
        <w:t xml:space="preserve"> από αρμόδιο φορέα / σύμβουλο, με το τραπεζικό αντικείμενο να είναι ανεξάρτητο και να μην εμπλέκεται με τον έλεγχο τεχνικών και άλλων εγγράφων.</w:t>
      </w:r>
    </w:p>
    <w:p w14:paraId="015BFD63" w14:textId="77777777" w:rsidR="003F3D95" w:rsidRPr="001A5251" w:rsidRDefault="003F3D95" w:rsidP="003F3D95">
      <w:pPr>
        <w:pStyle w:val="a3"/>
        <w:numPr>
          <w:ilvl w:val="0"/>
          <w:numId w:val="22"/>
        </w:numPr>
        <w:spacing w:line="360" w:lineRule="auto"/>
      </w:pPr>
      <w:r w:rsidRPr="001A5251">
        <w:lastRenderedPageBreak/>
        <w:t>Η υλοποίηση παρεμβάσεων εξοικονόμησης ενέργειας σε πολυκατοικίες. Θα ήταν αποτελεσματικό</w:t>
      </w:r>
      <w:r w:rsidR="00D934A5">
        <w:t>τερη</w:t>
      </w:r>
      <w:r w:rsidRPr="001A5251">
        <w:t xml:space="preserve"> </w:t>
      </w:r>
      <w:r w:rsidR="00D934A5">
        <w:t xml:space="preserve">αν </w:t>
      </w:r>
      <w:r w:rsidRPr="001A5251">
        <w:t>τα κτίρια πολυκατοικίας συμμετ</w:t>
      </w:r>
      <w:r w:rsidR="00D934A5">
        <w:t>είχαν</w:t>
      </w:r>
      <w:r w:rsidRPr="001A5251">
        <w:t xml:space="preserve"> στο σύνολό τους, ώστε να επιτευχθεί ουσιαστική θερμική θωράκιση και εξοικονόμηση ενεργειακών πόρων.</w:t>
      </w:r>
    </w:p>
    <w:p w14:paraId="41146867" w14:textId="77777777" w:rsidR="003F3D95" w:rsidRPr="001A5251" w:rsidRDefault="003F3D95" w:rsidP="00FA5CD9">
      <w:pPr>
        <w:pStyle w:val="3"/>
      </w:pPr>
      <w:bookmarkStart w:id="40" w:name="_Toc36639218"/>
      <w:r w:rsidRPr="001A5251">
        <w:t xml:space="preserve">Λοιπά Χρηματοδοτικά </w:t>
      </w:r>
      <w:r w:rsidRPr="00C37EAA">
        <w:t>εργαλεία</w:t>
      </w:r>
      <w:r w:rsidRPr="001A5251">
        <w:t xml:space="preserve"> σε εθνικό επίπεδο</w:t>
      </w:r>
      <w:bookmarkEnd w:id="40"/>
    </w:p>
    <w:p w14:paraId="46F5FC0E" w14:textId="77777777" w:rsidR="003F3D95" w:rsidRPr="001A5251" w:rsidRDefault="003F3D95" w:rsidP="003F3D95">
      <w:pPr>
        <w:spacing w:line="360" w:lineRule="auto"/>
      </w:pPr>
      <w:r w:rsidRPr="001A5251">
        <w:t>Στην Ελλάδα, δεν αναπτύχθηκαν άλλα μέσα χρηματοοικονομικής τεχνικής με χρηματοδότηση από την Ε.Ε. για την ενίσχυση έργων εξοικονόμησης ενέργειας στον οικιακό τομέα.</w:t>
      </w:r>
    </w:p>
    <w:p w14:paraId="65D372B6" w14:textId="77777777" w:rsidR="003F3D95" w:rsidRPr="001A5251" w:rsidRDefault="003F3D95" w:rsidP="003F3D95">
      <w:pPr>
        <w:spacing w:line="360" w:lineRule="auto"/>
      </w:pPr>
      <w:r w:rsidRPr="001A5251">
        <w:t>Υλοποιήθηκαν όμως δράσεις που παρείχαν επιχορηγήσεις σε ιδιοκτήτες κατοικιών</w:t>
      </w:r>
      <w:r>
        <w:t xml:space="preserve"> </w:t>
      </w:r>
      <w:r w:rsidRPr="001A5251">
        <w:t xml:space="preserve">από τα επιχειρησιακά </w:t>
      </w:r>
      <w:r w:rsidR="00E5630E">
        <w:t>Προγράμματ</w:t>
      </w:r>
      <w:r w:rsidRPr="001A5251">
        <w:t xml:space="preserve">α του ΕΣΠΑ 2007 – 2014, για παρεμβάσεις εξοικονόμησης ενέργειας: </w:t>
      </w:r>
    </w:p>
    <w:p w14:paraId="7BE490D9" w14:textId="77777777" w:rsidR="003F3D95" w:rsidRPr="001A5251" w:rsidRDefault="003F3D95" w:rsidP="003F3D95">
      <w:pPr>
        <w:pStyle w:val="a3"/>
        <w:numPr>
          <w:ilvl w:val="0"/>
          <w:numId w:val="23"/>
        </w:numPr>
        <w:spacing w:line="360" w:lineRule="auto"/>
      </w:pPr>
      <w:r w:rsidRPr="001A5251">
        <w:t xml:space="preserve">Η δράση «Αλλάζω Κλιματιστικό» προέβλεπε την επιδότηση της αντικατάστασης και ανακύκλωσης παλαιών </w:t>
      </w:r>
      <w:proofErr w:type="spellStart"/>
      <w:r w:rsidRPr="001A5251">
        <w:t>ενεργοβόρων</w:t>
      </w:r>
      <w:proofErr w:type="spellEnd"/>
      <w:r w:rsidRPr="001A5251">
        <w:t xml:space="preserve"> οικιακών συσκευών κλιματισμού. Μέσω της χρήσης ενεργειακά αποδοτικότερων κλιματιστικών στον οικιακό τομέα, η δράση «Αλλάζω Κλιματιστικό» είχε σαν στόχο τη μείωση της ενεργειακής κατανάλωσης (εξοικονόμηση ενέργειας) και τη μείωση των εκπομπών ρύπων (κυρίως CO</w:t>
      </w:r>
      <w:r w:rsidRPr="001A5251">
        <w:rPr>
          <w:vertAlign w:val="subscript"/>
        </w:rPr>
        <w:t>2</w:t>
      </w:r>
      <w:r w:rsidRPr="001A5251">
        <w:t>) κατά την παραγωγή ηλεκτρισμού, συμβάλλοντας στην κάλυψη των απαιτήσεων που απορρέουν από το Πρωτόκολλο του Κιότο για τον περιορισμό της κλιματικής αλλαγής.</w:t>
      </w:r>
    </w:p>
    <w:p w14:paraId="0A95C1C8" w14:textId="77777777" w:rsidR="003F3D95" w:rsidRPr="001A5251" w:rsidRDefault="003F3D95" w:rsidP="003F3D95">
      <w:pPr>
        <w:spacing w:line="360" w:lineRule="auto"/>
      </w:pPr>
      <w:r w:rsidRPr="001A5251">
        <w:t>Μέσω της ανακύκλωσης των αποσυρόμενων συσκευών, επετεύχθη η μείωση της ποσότητας των αποβλήτων προς τελική διάθεση και η αξιοποίηση/επαναχρησιμοποίηση μέρους αυτών με τελικό όφελος την προστασία του περιβάλλοντος.</w:t>
      </w:r>
      <w:r>
        <w:t xml:space="preserve"> </w:t>
      </w:r>
    </w:p>
    <w:p w14:paraId="2E37CD54" w14:textId="77777777" w:rsidR="003F3D95" w:rsidRPr="001A5251" w:rsidRDefault="003F3D95" w:rsidP="003F3D95">
      <w:pPr>
        <w:pStyle w:val="a3"/>
        <w:numPr>
          <w:ilvl w:val="0"/>
          <w:numId w:val="23"/>
        </w:numPr>
        <w:spacing w:line="360" w:lineRule="auto"/>
        <w:rPr>
          <w:lang w:eastAsia="el-GR"/>
        </w:rPr>
      </w:pPr>
      <w:r w:rsidRPr="001A5251">
        <w:rPr>
          <w:lang w:eastAsia="el-GR"/>
        </w:rPr>
        <w:t xml:space="preserve">Η δράση «Αντικατάσταση συστημάτων θέρμανσης πετρελαίου με συστήματα φυσικού αερίου σε κατοικίες» αφορά την επιχορήγηση του κόστους της εσωτερικής εγκατάστασης φυσικού αερίου σε κατοικίες (καυστήρας, λέβητας, </w:t>
      </w:r>
      <w:r w:rsidR="00A03160">
        <w:rPr>
          <w:lang w:eastAsia="el-GR"/>
        </w:rPr>
        <w:t>δίκτυο σωλήνων</w:t>
      </w:r>
      <w:r w:rsidRPr="001A5251">
        <w:rPr>
          <w:lang w:eastAsia="el-GR"/>
        </w:rPr>
        <w:t xml:space="preserve"> φυσικού αερίου, σύστημα απαγωγής καυσαερίων, υπηρεσίες / εργασίες / υλικά εγκατάστασης και μελέτη κλπ.), προς αντικατάσταση των υφιστάμενων συστημάτων θέρμανσης πετρελαίου, με στόχο τη μείωση των εκπομπών αερίων ρύπων μέσω της βελτίωσης της ενεργειακής απόδοσης των συστημάτων θέρμανσης των κατοικιών. </w:t>
      </w:r>
    </w:p>
    <w:p w14:paraId="2DCCE7C8" w14:textId="77777777" w:rsidR="003F3D95" w:rsidRPr="001A5251" w:rsidRDefault="003F3D95" w:rsidP="00DC12D0">
      <w:pPr>
        <w:pStyle w:val="4"/>
      </w:pPr>
      <w:r w:rsidRPr="001A5251">
        <w:t xml:space="preserve">Συγκέντρωση πληροφοριών από προηγούμενες εφαρμογές </w:t>
      </w:r>
      <w:r>
        <w:t xml:space="preserve">χρηματοδοτικών μέσων </w:t>
      </w:r>
      <w:r w:rsidRPr="001A5251">
        <w:t>σε κοινοτικό επίπεδο</w:t>
      </w:r>
    </w:p>
    <w:p w14:paraId="28E4BC73" w14:textId="77777777" w:rsidR="003F3D95" w:rsidRPr="001A5251" w:rsidRDefault="003F3D95" w:rsidP="003F3D95">
      <w:pPr>
        <w:spacing w:line="360" w:lineRule="auto"/>
      </w:pPr>
      <w:r>
        <w:t xml:space="preserve">Καθώς η </w:t>
      </w:r>
      <w:r w:rsidR="00E5630E">
        <w:t>Προγραμματ</w:t>
      </w:r>
      <w:r>
        <w:t xml:space="preserve">ική </w:t>
      </w:r>
      <w:r w:rsidR="00EB38B3">
        <w:t>Περίοδος</w:t>
      </w:r>
      <w:r>
        <w:t xml:space="preserve"> είναι σε εξέλιξη και τα </w:t>
      </w:r>
      <w:r w:rsidR="00E5630E">
        <w:t>Προγράμματ</w:t>
      </w:r>
      <w:r>
        <w:t>α δεν έχουν ολοκληρωθεί δεν διατίθενται στοιχεία ή</w:t>
      </w:r>
      <w:r w:rsidRPr="001A5251">
        <w:t xml:space="preserve"> συμπεράσματα αναφορικά με τα προβλήματα και τις δυσκολίες που εντοπίστηκαν σε α</w:t>
      </w:r>
      <w:r>
        <w:t xml:space="preserve">νάλογα </w:t>
      </w:r>
      <w:r w:rsidR="00E5630E">
        <w:t>Προγράμματ</w:t>
      </w:r>
      <w:r>
        <w:t xml:space="preserve">α στην Ευρώπη και παραμένει η </w:t>
      </w:r>
      <w:proofErr w:type="spellStart"/>
      <w:r>
        <w:t>καταγραφείσα</w:t>
      </w:r>
      <w:proofErr w:type="spellEnd"/>
      <w:r>
        <w:t xml:space="preserve"> εμπειρία από την 1</w:t>
      </w:r>
      <w:r w:rsidRPr="00C37EAA">
        <w:rPr>
          <w:vertAlign w:val="superscript"/>
        </w:rPr>
        <w:t>η</w:t>
      </w:r>
      <w:r>
        <w:t xml:space="preserve"> τροποποίηση</w:t>
      </w:r>
    </w:p>
    <w:p w14:paraId="6A1E449E" w14:textId="77777777" w:rsidR="003F3D95" w:rsidRPr="001A5251" w:rsidRDefault="003F3D95" w:rsidP="003F3D95">
      <w:pPr>
        <w:spacing w:line="360" w:lineRule="auto"/>
        <w:rPr>
          <w:lang w:val="en-US"/>
        </w:rPr>
      </w:pPr>
      <w:r w:rsidRPr="001A5251">
        <w:lastRenderedPageBreak/>
        <w:t xml:space="preserve">Εκτός των ανωτέρω χρηματοδοτικών μέσων, η Ευρωπαϊκή Επιτροπή συντάσσει ετήσιες συνοπτικές εκθέσεις για όλα τα </w:t>
      </w:r>
      <w:r w:rsidR="001E5965" w:rsidRPr="001E5965">
        <w:t>Χρηματοοικονομικ</w:t>
      </w:r>
      <w:r w:rsidR="001E5965">
        <w:t>ά</w:t>
      </w:r>
      <w:r w:rsidR="001E5965" w:rsidRPr="001E5965">
        <w:t xml:space="preserve"> Εργαλεί</w:t>
      </w:r>
      <w:r w:rsidR="001E5965">
        <w:t>α</w:t>
      </w:r>
      <w:r w:rsidR="001E5965" w:rsidRPr="001E5965">
        <w:t xml:space="preserve"> (FI)</w:t>
      </w:r>
      <w:r w:rsidRPr="001A5251">
        <w:t xml:space="preserve"> που συστάθηκαν από τα διαρθρωτικά ταμεία την </w:t>
      </w:r>
      <w:r w:rsidR="00E5630E">
        <w:t>Προγραμματ</w:t>
      </w:r>
      <w:r w:rsidRPr="001A5251">
        <w:t xml:space="preserve">ική </w:t>
      </w:r>
      <w:r w:rsidR="00EB38B3">
        <w:t>Περίοδο</w:t>
      </w:r>
      <w:r w:rsidRPr="001A5251">
        <w:t xml:space="preserve"> 2007 – 2013, και τις κοινοποιεί σε όλα τα κράτη μέλη. Η</w:t>
      </w:r>
      <w:r w:rsidRPr="001A5251">
        <w:rPr>
          <w:lang w:val="en-US"/>
        </w:rPr>
        <w:t xml:space="preserve"> </w:t>
      </w:r>
      <w:r w:rsidRPr="001A5251">
        <w:t>πλέον</w:t>
      </w:r>
      <w:r w:rsidRPr="001A5251">
        <w:rPr>
          <w:lang w:val="en-US"/>
        </w:rPr>
        <w:t xml:space="preserve"> </w:t>
      </w:r>
      <w:r w:rsidRPr="001A5251">
        <w:t>πρόσφατη</w:t>
      </w:r>
      <w:r w:rsidRPr="001A5251">
        <w:rPr>
          <w:lang w:val="en-US"/>
        </w:rPr>
        <w:t xml:space="preserve"> «Summary of data on the progress made in financing and implementing financial engineering reported by the managing authorities in accordance with article 67(2)(j) of Council Regulation (EC) No 1083/2006» </w:t>
      </w:r>
      <w:r w:rsidRPr="001A5251">
        <w:t>έχει</w:t>
      </w:r>
      <w:r w:rsidRPr="001A5251">
        <w:rPr>
          <w:lang w:val="en-US"/>
        </w:rPr>
        <w:t xml:space="preserve"> </w:t>
      </w:r>
      <w:r w:rsidRPr="001A5251">
        <w:t>δημοσιευθεί</w:t>
      </w:r>
      <w:r w:rsidRPr="001A5251">
        <w:rPr>
          <w:lang w:val="en-US"/>
        </w:rPr>
        <w:t xml:space="preserve"> </w:t>
      </w:r>
      <w:r w:rsidRPr="001A5251">
        <w:t>στο</w:t>
      </w:r>
      <w:r w:rsidRPr="001A5251">
        <w:rPr>
          <w:lang w:val="en-US"/>
        </w:rPr>
        <w:t xml:space="preserve"> </w:t>
      </w:r>
      <w:r w:rsidRPr="001A5251">
        <w:t>έγγραφο</w:t>
      </w:r>
      <w:r w:rsidRPr="001A5251">
        <w:rPr>
          <w:lang w:val="en-US"/>
        </w:rPr>
        <w:t xml:space="preserve"> EGESIF_15-0027-00/23</w:t>
      </w:r>
      <w:r w:rsidR="00E5630E">
        <w:rPr>
          <w:lang w:val="en-US"/>
        </w:rPr>
        <w:t>.09.</w:t>
      </w:r>
      <w:r w:rsidRPr="001A5251">
        <w:rPr>
          <w:lang w:val="en-US"/>
        </w:rPr>
        <w:t>2015.</w:t>
      </w:r>
    </w:p>
    <w:p w14:paraId="263B4E1F" w14:textId="77777777" w:rsidR="003F3D95" w:rsidRPr="001A5251" w:rsidRDefault="003F3D95" w:rsidP="003F3D95">
      <w:pPr>
        <w:spacing w:line="360" w:lineRule="auto"/>
      </w:pPr>
      <w:r w:rsidRPr="001A5251">
        <w:t xml:space="preserve">Επιπλέον στην </w:t>
      </w:r>
      <w:proofErr w:type="spellStart"/>
      <w:r w:rsidRPr="001A5251">
        <w:t>ιστοθέση</w:t>
      </w:r>
      <w:proofErr w:type="spellEnd"/>
      <w:r w:rsidRPr="001A5251">
        <w:t xml:space="preserve"> : </w:t>
      </w:r>
      <w:hyperlink r:id="rId32" w:history="1">
        <w:r w:rsidRPr="001A5251">
          <w:rPr>
            <w:rStyle w:val="-"/>
            <w:lang w:val="en-US"/>
          </w:rPr>
          <w:t>www</w:t>
        </w:r>
        <w:r w:rsidRPr="001A5251">
          <w:rPr>
            <w:rStyle w:val="-"/>
          </w:rPr>
          <w:t>.</w:t>
        </w:r>
        <w:proofErr w:type="spellStart"/>
        <w:r w:rsidRPr="001A5251">
          <w:rPr>
            <w:rStyle w:val="-"/>
            <w:lang w:val="en-US"/>
          </w:rPr>
          <w:t>muredatabase</w:t>
        </w:r>
        <w:proofErr w:type="spellEnd"/>
        <w:r w:rsidRPr="001A5251">
          <w:rPr>
            <w:rStyle w:val="-"/>
          </w:rPr>
          <w:t>.</w:t>
        </w:r>
        <w:r w:rsidRPr="001A5251">
          <w:rPr>
            <w:rStyle w:val="-"/>
            <w:lang w:val="en-US"/>
          </w:rPr>
          <w:t>org</w:t>
        </w:r>
      </w:hyperlink>
      <w:r w:rsidRPr="001A5251">
        <w:t xml:space="preserve"> έχει αναπτυχθεί η ενδιαφέρουσα πρωτοβουλία </w:t>
      </w:r>
      <w:r w:rsidRPr="001A5251">
        <w:rPr>
          <w:lang w:val="en-US"/>
        </w:rPr>
        <w:t>MURE</w:t>
      </w:r>
      <w:r w:rsidRPr="001A5251">
        <w:t xml:space="preserve"> (</w:t>
      </w:r>
      <w:proofErr w:type="spellStart"/>
      <w:r w:rsidRPr="001A5251">
        <w:rPr>
          <w:lang w:val="en-US"/>
        </w:rPr>
        <w:t>Mesures</w:t>
      </w:r>
      <w:proofErr w:type="spellEnd"/>
      <w:r w:rsidRPr="001A5251">
        <w:t xml:space="preserve"> </w:t>
      </w:r>
      <w:r w:rsidRPr="001A5251">
        <w:rPr>
          <w:lang w:val="en-US"/>
        </w:rPr>
        <w:t>d</w:t>
      </w:r>
      <w:r w:rsidRPr="001A5251">
        <w:t>’</w:t>
      </w:r>
      <w:proofErr w:type="spellStart"/>
      <w:r w:rsidRPr="001A5251">
        <w:rPr>
          <w:lang w:val="en-US"/>
        </w:rPr>
        <w:t>Utilisation</w:t>
      </w:r>
      <w:proofErr w:type="spellEnd"/>
      <w:r w:rsidRPr="001A5251">
        <w:t xml:space="preserve"> </w:t>
      </w:r>
      <w:proofErr w:type="spellStart"/>
      <w:r w:rsidRPr="001A5251">
        <w:rPr>
          <w:lang w:val="en-US"/>
        </w:rPr>
        <w:t>Rationalle</w:t>
      </w:r>
      <w:proofErr w:type="spellEnd"/>
      <w:r w:rsidRPr="001A5251">
        <w:t xml:space="preserve"> </w:t>
      </w:r>
      <w:r w:rsidRPr="001A5251">
        <w:rPr>
          <w:lang w:val="en-US"/>
        </w:rPr>
        <w:t>de</w:t>
      </w:r>
      <w:r w:rsidRPr="001A5251">
        <w:t xml:space="preserve"> </w:t>
      </w:r>
      <w:r w:rsidRPr="001A5251">
        <w:rPr>
          <w:lang w:val="en-US"/>
        </w:rPr>
        <w:t>l</w:t>
      </w:r>
      <w:r w:rsidRPr="001A5251">
        <w:t>’</w:t>
      </w:r>
      <w:proofErr w:type="spellStart"/>
      <w:r w:rsidRPr="001A5251">
        <w:rPr>
          <w:lang w:val="en-US"/>
        </w:rPr>
        <w:t>Energie</w:t>
      </w:r>
      <w:proofErr w:type="spellEnd"/>
      <w:r w:rsidRPr="001A5251">
        <w:t xml:space="preserve">). Πρόκειται για μία πλατφόρμα που παρέχει πληροφορίες σε θέματα εξοικονόμησης ενέργειας και μέτρα της ευρωπαϊκής ένωσης που έχουν υλοποιηθεί στα κράτη μέλη. Οι πληροφορίες είναι </w:t>
      </w:r>
      <w:proofErr w:type="spellStart"/>
      <w:r w:rsidRPr="001A5251">
        <w:t>προσβάσιμες</w:t>
      </w:r>
      <w:proofErr w:type="spellEnd"/>
      <w:r w:rsidRPr="001A5251">
        <w:t xml:space="preserve"> με ερωτήματα που θέτει ο χρήστης μέσω συνδυαστικών λιστών .</w:t>
      </w:r>
    </w:p>
    <w:p w14:paraId="4C30C43E" w14:textId="77777777" w:rsidR="003F3D95" w:rsidRPr="001A5251" w:rsidRDefault="003F3D95" w:rsidP="00FA5CD9">
      <w:pPr>
        <w:pStyle w:val="3"/>
      </w:pPr>
      <w:bookmarkStart w:id="41" w:name="_Toc36639219"/>
      <w:r w:rsidRPr="001A5251">
        <w:t>Συμπεράσματα</w:t>
      </w:r>
      <w:bookmarkEnd w:id="41"/>
      <w:r w:rsidRPr="001A5251">
        <w:t xml:space="preserve"> </w:t>
      </w:r>
    </w:p>
    <w:p w14:paraId="05E55538" w14:textId="77777777" w:rsidR="003F3D95" w:rsidRPr="001A5251" w:rsidRDefault="003F3D95" w:rsidP="003F3D95">
      <w:pPr>
        <w:spacing w:line="360" w:lineRule="auto"/>
      </w:pPr>
      <w:r w:rsidRPr="001A5251">
        <w:t xml:space="preserve">Οι αξιολογήσεις των επιπτώσεων και οι εκτιμήσεις του αντίκτυπου των προγραμμάτων εξοικονόμησης ενέργειας, αν υπάρχουν, δεν είναι άμεσα συγκρίσιμες. Τα συγκρίσιμα κριτήρια και οι δείκτες μέτρησης των μεθόδων αξιολόγησης των αποτελεσμάτων των προγραμμάτων δεν είναι ούτε ομοιόμορφα ούτε υιοθετημένα με αυστηρά κριτήρια αποδοχής. Πολλές πτυχές των προγραμμάτων θα μπορούσαν να βελτιωθούν. </w:t>
      </w:r>
    </w:p>
    <w:p w14:paraId="4A02FEE3" w14:textId="77777777" w:rsidR="003F3D95" w:rsidRPr="001A5251" w:rsidRDefault="003F3D95" w:rsidP="003F3D95">
      <w:pPr>
        <w:spacing w:line="360" w:lineRule="auto"/>
      </w:pPr>
      <w:r w:rsidRPr="001A5251">
        <w:t>Για παράδειγμα, απαιτείται λεπτομερέστερη κατανόηση του ευρύτερου αντίκτυπου των προγραμμάτων πέρα από την απλή εξοικονόμηση ενέργειας και εκπομπών διοξειδίου του άνθρακα CO</w:t>
      </w:r>
      <w:r w:rsidRPr="001A5251">
        <w:rPr>
          <w:vertAlign w:val="subscript"/>
        </w:rPr>
        <w:t>2</w:t>
      </w:r>
      <w:r w:rsidRPr="001A5251">
        <w:t xml:space="preserve">. </w:t>
      </w:r>
    </w:p>
    <w:p w14:paraId="6FF9377C" w14:textId="77777777" w:rsidR="003F3D95" w:rsidRPr="001A5251" w:rsidRDefault="003F3D95" w:rsidP="003F3D95">
      <w:pPr>
        <w:spacing w:line="360" w:lineRule="auto"/>
      </w:pPr>
      <w:r w:rsidRPr="001A5251">
        <w:t xml:space="preserve">Στον ευεργετικό αντίκτυπο των </w:t>
      </w:r>
      <w:r w:rsidR="005E65CC">
        <w:t>Χρηματοοικονομικών Εργαλείων</w:t>
      </w:r>
      <w:r w:rsidRPr="001A5251">
        <w:t xml:space="preserve"> και των προγραμμάτων ενεργειακής απόδοσης (εκπομπές διοξειδίου του άνθρακα) πρέπει να λαμβάνεται υπόψη η ποσοτικοποίηση της επίδρασης φαινομένων υποτροπής. Η εξοικονόμηση για τον καταναλωτή μπορεί να προσανατολιστεί στην αγορά νέων ηλεκτρικών ειδών αντισταθμίζοντας έτσι την αρχική εξοικονόμηση διοξειδίου του άνθρακα. </w:t>
      </w:r>
    </w:p>
    <w:p w14:paraId="46D274E6" w14:textId="77777777" w:rsidR="003F3D95" w:rsidRPr="001A5251" w:rsidRDefault="003F3D95" w:rsidP="003F3D95">
      <w:pPr>
        <w:spacing w:line="360" w:lineRule="auto"/>
      </w:pPr>
      <w:r w:rsidRPr="001A5251">
        <w:t xml:space="preserve">Επιχορηγήσεις και δάνεια με ευνοϊκούς όρους αποτελούν τις πλέον δημοφιλέστερες μορφές των </w:t>
      </w:r>
      <w:r w:rsidR="005E65CC">
        <w:t>Χρηματοοικονομικών Εργαλείων</w:t>
      </w:r>
      <w:r w:rsidRPr="001A5251">
        <w:t xml:space="preserve"> οι οποίες βάσει των διαθέσιμων στοιχείων είναι οι πιο επιτυχημένες και οι πιο οικονομικά αποδοτικές </w:t>
      </w:r>
    </w:p>
    <w:p w14:paraId="12DB8847" w14:textId="77777777" w:rsidR="003F3D95" w:rsidRPr="001A5251" w:rsidRDefault="003F3D95" w:rsidP="003F3D95">
      <w:pPr>
        <w:spacing w:line="360" w:lineRule="auto"/>
      </w:pPr>
      <w:r w:rsidRPr="001A5251">
        <w:t xml:space="preserve">Χρηματοδοτικά εργαλεία και </w:t>
      </w:r>
      <w:r w:rsidR="00E5630E">
        <w:t>Προγράμματ</w:t>
      </w:r>
      <w:r w:rsidRPr="001A5251">
        <w:t xml:space="preserve">α εξοικονόμησης ενέργειες, που δεν χορηγούνται απευθείας από το κράτος αλλά από τρίτα μέρη, συμβάλουν εν γένει θετικά στην πιο άμεση αποτελεσματικότητά τους. </w:t>
      </w:r>
    </w:p>
    <w:p w14:paraId="0B07D4C7" w14:textId="77777777" w:rsidR="003F3D95" w:rsidRPr="001A5251" w:rsidRDefault="003F3D95" w:rsidP="003F3D95">
      <w:pPr>
        <w:spacing w:line="360" w:lineRule="auto"/>
      </w:pPr>
      <w:r w:rsidRPr="001A5251">
        <w:t xml:space="preserve">Παραδείγματα περιλαμβάνουν: </w:t>
      </w:r>
    </w:p>
    <w:p w14:paraId="467A869F" w14:textId="77777777" w:rsidR="003F3D95" w:rsidRPr="001A5251" w:rsidRDefault="003F3D95" w:rsidP="003F3D95">
      <w:pPr>
        <w:pStyle w:val="a3"/>
        <w:numPr>
          <w:ilvl w:val="0"/>
          <w:numId w:val="23"/>
        </w:numPr>
        <w:spacing w:line="360" w:lineRule="auto"/>
      </w:pPr>
      <w:r w:rsidRPr="001A5251">
        <w:lastRenderedPageBreak/>
        <w:t xml:space="preserve">Γερμανία – </w:t>
      </w:r>
      <w:proofErr w:type="spellStart"/>
      <w:r w:rsidRPr="001A5251">
        <w:t>KfW</w:t>
      </w:r>
      <w:proofErr w:type="spellEnd"/>
      <w:r w:rsidRPr="001A5251">
        <w:t xml:space="preserve"> Programme – «Χαμηλή κατανάλωση ενέργειας» χορήγηση/ διάθεση μέσω της </w:t>
      </w:r>
      <w:proofErr w:type="spellStart"/>
      <w:r w:rsidRPr="001A5251">
        <w:t>KfW</w:t>
      </w:r>
      <w:proofErr w:type="spellEnd"/>
      <w:r w:rsidRPr="001A5251">
        <w:t xml:space="preserve"> Bank σε συνεργασία με τις τοπικές εμπορικές τράπεζες. </w:t>
      </w:r>
    </w:p>
    <w:p w14:paraId="658B61AB" w14:textId="77777777" w:rsidR="003F3D95" w:rsidRPr="001A5251" w:rsidRDefault="003F3D95" w:rsidP="003F3D95">
      <w:pPr>
        <w:pStyle w:val="a3"/>
        <w:numPr>
          <w:ilvl w:val="0"/>
          <w:numId w:val="23"/>
        </w:numPr>
        <w:spacing w:line="360" w:lineRule="auto"/>
      </w:pPr>
      <w:r w:rsidRPr="001A5251">
        <w:t xml:space="preserve">Νορβηγία – Κίνητρα για «πρακτικές χαμηλής ενεργειακής οικιακής απόδοσης». Χορήγηση από τη Νορβηγική Στεγαστική Τράπεζα (NSHB). </w:t>
      </w:r>
    </w:p>
    <w:p w14:paraId="2F2ECA25" w14:textId="77777777" w:rsidR="003F3D95" w:rsidRPr="001A5251" w:rsidRDefault="003F3D95" w:rsidP="003F3D95">
      <w:pPr>
        <w:spacing w:line="360" w:lineRule="auto"/>
      </w:pPr>
      <w:r w:rsidRPr="001A5251">
        <w:t xml:space="preserve">Πολύπλοκες διαδικασίες υποβολής και αίτησης προς υπαγωγή ή άλλες διαδικαστικές ενέργειες δύνανται να επηρεάσουν αρνητικά την υλοποίηση ενός </w:t>
      </w:r>
      <w:r w:rsidR="00971D9A">
        <w:t>Προγράμματος</w:t>
      </w:r>
      <w:r w:rsidRPr="001A5251">
        <w:t xml:space="preserve">. </w:t>
      </w:r>
    </w:p>
    <w:p w14:paraId="310DABEF" w14:textId="77777777" w:rsidR="003F3D95" w:rsidRPr="001A5251" w:rsidRDefault="003F3D95" w:rsidP="003F3D95">
      <w:pPr>
        <w:spacing w:line="360" w:lineRule="auto"/>
      </w:pPr>
      <w:r w:rsidRPr="001A5251">
        <w:t xml:space="preserve">Κλειδί της επιτυχίας ενός </w:t>
      </w:r>
      <w:r w:rsidR="005E65CC">
        <w:t>Χρηματοοικονομικού Εργαλείου (FI)</w:t>
      </w:r>
      <w:r w:rsidRPr="001A5251">
        <w:t xml:space="preserve"> και </w:t>
      </w:r>
      <w:r w:rsidR="00971D9A">
        <w:t>Προγράμματος</w:t>
      </w:r>
      <w:r w:rsidRPr="001A5251">
        <w:t xml:space="preserve"> εξοικονόμησης ενέργειας αποτελεί η ακριβής στόχευση επιλέξιμων δυνητικών ωφελούμενων. Ειδικότερα, ορισμένα σχήματα επιδότησης και επιχορήγησης έχουν αναδείξει ως κοινό τόπο το πρόβλημα ότι νοικοκυριά που πληρούν τις προϋποθέσεις </w:t>
      </w:r>
      <w:proofErr w:type="spellStart"/>
      <w:r w:rsidRPr="001A5251">
        <w:t>επιλεξιμότητας</w:t>
      </w:r>
      <w:proofErr w:type="spellEnd"/>
      <w:r w:rsidRPr="001A5251">
        <w:t xml:space="preserve"> δεν γνωρίζουν ότι έχουν τη δυνατότητα υποβολής αίτησης υπαγωγής.</w:t>
      </w:r>
      <w:r>
        <w:t xml:space="preserve"> </w:t>
      </w:r>
    </w:p>
    <w:p w14:paraId="7489B607" w14:textId="77777777" w:rsidR="003F3D95" w:rsidRPr="001A5251" w:rsidRDefault="003F3D95" w:rsidP="003F3D95">
      <w:pPr>
        <w:spacing w:line="360" w:lineRule="auto"/>
      </w:pPr>
      <w:r w:rsidRPr="001A5251">
        <w:t xml:space="preserve">Χρηματοδοτικά εργαλεία που στοχεύουν σε νοικοκυριά και κτίρια με μηδενικές εκπομπές διοξειδίου του άνθρακα, απαιτούν επιδεξιότητά στην διαχείριση και κατάλληλη πολιτική στήριξη. Ορισμένα τέτοια σχήματα έχουν κριθεί ως μη φιλόδοξα υπό το πρίσμα του πολύ μικρού μεριδίου που καταλαμβάνουν επιλέξιμα κτίρια επί του συνόλου των κτιρίων. </w:t>
      </w:r>
    </w:p>
    <w:p w14:paraId="62193250" w14:textId="77777777" w:rsidR="003F3D95" w:rsidRDefault="003F3D95" w:rsidP="003F3D95">
      <w:pPr>
        <w:spacing w:line="360" w:lineRule="auto"/>
        <w:rPr>
          <w:rFonts w:eastAsia="Times New Roman"/>
          <w:b/>
          <w:bCs/>
          <w:color w:val="39302A" w:themeColor="text2"/>
          <w:sz w:val="28"/>
          <w:szCs w:val="24"/>
          <w:u w:val="single"/>
        </w:rPr>
      </w:pPr>
      <w:r w:rsidRPr="001A5251">
        <w:t xml:space="preserve">Χρηματοδοτικά </w:t>
      </w:r>
      <w:r w:rsidR="00E5630E">
        <w:t>Προγράμματ</w:t>
      </w:r>
      <w:r w:rsidRPr="001A5251">
        <w:t>α που στοχεύουν στην επίτευξη της ενεργειακής απόδοσης ανακαινισμένων κτιρίων, θα πρέπει να αναπτύσσονται βάσει μακροπρόθεσμου σχεδιασμού. Τα</w:t>
      </w:r>
      <w:r>
        <w:t xml:space="preserve"> </w:t>
      </w:r>
      <w:r w:rsidRPr="001A5251">
        <w:t>βραχυπρόθεσμα οφέλη από οριακές ή μερικές αποκαταστάσεις κτιρίων μέσω ανακαίνισης, δύνανται να μην έχουν αντίκρισμα εάν αποδειχθεί ότι τα κτίρια χρίζουν περεταίρω ανακαίνιση σε μεταγενέστερο στάδιο. Οι υπεύθυνοι χάραξης στρατηγικής θα πρέπει να λάβουν υπόψη την οικονομική αποδοτικότητα της προώθησης της ουσιαστικής ανακαίνισης.</w:t>
      </w:r>
    </w:p>
    <w:p w14:paraId="7BAC05FE" w14:textId="77777777" w:rsidR="00C66639" w:rsidRPr="001A5251" w:rsidRDefault="00791808" w:rsidP="00FA5CD9">
      <w:pPr>
        <w:pStyle w:val="3"/>
      </w:pPr>
      <w:bookmarkStart w:id="42" w:name="_Toc36639220"/>
      <w:r>
        <w:t>Προσδιορισμός Επενδυτικού Κενού</w:t>
      </w:r>
      <w:r w:rsidR="00D934A5">
        <w:t xml:space="preserve"> μετά το ΕΞΟΙΚΟΝΟΜΩ Ι</w:t>
      </w:r>
      <w:bookmarkEnd w:id="42"/>
    </w:p>
    <w:p w14:paraId="116EE6CD" w14:textId="77777777" w:rsidR="002A4FFA" w:rsidRPr="001A5251" w:rsidRDefault="00F52E8A" w:rsidP="00524440">
      <w:pPr>
        <w:spacing w:line="360" w:lineRule="auto"/>
      </w:pPr>
      <w:r w:rsidRPr="001A5251">
        <w:t xml:space="preserve">Οι συμβατικές πηγές ενέργειας που χρησιμοποιούμε σήμερα – πετρέλαιο, άνθρακας, φυσικό αέριο, πυρηνική ενέργεια – είναι τόσο πεπερασμένες όσο και </w:t>
      </w:r>
      <w:proofErr w:type="spellStart"/>
      <w:r w:rsidRPr="001A5251">
        <w:t>ρυπογόνες</w:t>
      </w:r>
      <w:proofErr w:type="spellEnd"/>
      <w:r w:rsidRPr="001A5251">
        <w:t xml:space="preserve">. Παράλληλα με τη μεταστροφή σε Ανανεώσιμες Πηγές Ενέργειας (ΑΠΕ), η Ευρωπαϊκή Ένωση θέτει πλέον ως στόχο τη μείωση της κατανάλωσης ενέργειας, δηλαδή την εξοικονόμησή της. </w:t>
      </w:r>
    </w:p>
    <w:p w14:paraId="6698EDF5" w14:textId="77777777" w:rsidR="00F52E8A" w:rsidRPr="001A5251" w:rsidRDefault="00F52E8A" w:rsidP="00524440">
      <w:pPr>
        <w:spacing w:line="360" w:lineRule="auto"/>
      </w:pPr>
      <w:r w:rsidRPr="001A5251">
        <w:t xml:space="preserve">Συγκεκριμένα, η εξοικονόμηση ενέργειας – αποτελώντας έναν από τους κυριότερους στόχους της </w:t>
      </w:r>
      <w:r w:rsidR="0062368F">
        <w:t>Ε.Ε.</w:t>
      </w:r>
      <w:r w:rsidRPr="001A5251">
        <w:t xml:space="preserve"> για το 2020 - θεωρείται ως ένας από τους αποτελεσματικότερους τρόπους και αναγκαία για την επίτευξη των μακροπρόθεσμων ενεργειακών και κλιματικών στόχων. Είναι, επίσης, οικονομικά αποδοτικότερη για τη μείωση των εκπομπών αερίων θερμοκηπίου, την βελτίωση της ασφάλειας του ενεργειακού εφοδιασμού και της ανταγωνιστικότητας και τη διατήρηση του ενεργειακού κόστους σε χαμηλά επίπεδα. </w:t>
      </w:r>
    </w:p>
    <w:p w14:paraId="13EDC5A5" w14:textId="77777777" w:rsidR="00421C1A" w:rsidRPr="001A5251" w:rsidRDefault="00F52E8A" w:rsidP="00D934A5">
      <w:pPr>
        <w:spacing w:line="360" w:lineRule="auto"/>
      </w:pPr>
      <w:r w:rsidRPr="001A5251">
        <w:lastRenderedPageBreak/>
        <w:t xml:space="preserve">Οι προσπάθειες της </w:t>
      </w:r>
      <w:r w:rsidR="0062368F">
        <w:t>Ε.Ε.</w:t>
      </w:r>
      <w:r w:rsidRPr="001A5251">
        <w:t xml:space="preserve"> να αντιμετωπίσει την κλιματική αλλαγή καλύπτοντας ταυτόχρονα τις ενεργειακές της ανάγκες, εντά</w:t>
      </w:r>
      <w:r w:rsidR="00D934A5">
        <w:t>χθηκαν</w:t>
      </w:r>
      <w:r w:rsidRPr="001A5251">
        <w:t xml:space="preserve"> στην στρατηγική για την οικονομική ανάπτυξη «Ευρ</w:t>
      </w:r>
      <w:r w:rsidR="00D934A5">
        <w:t>ώπη 2020», η οποία</w:t>
      </w:r>
      <w:r w:rsidRPr="001A5251">
        <w:t xml:space="preserve"> βασ</w:t>
      </w:r>
      <w:r w:rsidR="00D934A5">
        <w:t>ιζόταν</w:t>
      </w:r>
      <w:r w:rsidRPr="001A5251">
        <w:t xml:space="preserve"> σε τρεις πρωταρχικούς στόχους που </w:t>
      </w:r>
      <w:r w:rsidR="00D934A5">
        <w:t>είχαν</w:t>
      </w:r>
      <w:r w:rsidRPr="001A5251">
        <w:t xml:space="preserve"> τεθεί για το 2020:</w:t>
      </w:r>
    </w:p>
    <w:p w14:paraId="23C4052A" w14:textId="77777777" w:rsidR="00421C1A" w:rsidRPr="001A5251" w:rsidRDefault="00421C1A" w:rsidP="00524440">
      <w:pPr>
        <w:spacing w:line="360" w:lineRule="auto"/>
        <w:ind w:left="720"/>
      </w:pPr>
      <w:r w:rsidRPr="001A5251">
        <w:t>-</w:t>
      </w:r>
      <w:r w:rsidR="00F52E8A" w:rsidRPr="001A5251">
        <w:t xml:space="preserve"> μείωση των εκπομπών αερίων του θερμοκηπίου κατά τουλάχιστον 20%, </w:t>
      </w:r>
    </w:p>
    <w:p w14:paraId="3206D4E8" w14:textId="77777777" w:rsidR="00421C1A" w:rsidRPr="001A5251" w:rsidRDefault="00421C1A" w:rsidP="00524440">
      <w:pPr>
        <w:spacing w:line="360" w:lineRule="auto"/>
        <w:ind w:left="720"/>
      </w:pPr>
      <w:r w:rsidRPr="001A5251">
        <w:t xml:space="preserve">- </w:t>
      </w:r>
      <w:r w:rsidR="00F52E8A" w:rsidRPr="001A5251">
        <w:t xml:space="preserve">κάλυψη των ενεργειακών αναγκών από ανανεώσιμες πηγές ενέργειας κατά 20% </w:t>
      </w:r>
    </w:p>
    <w:p w14:paraId="4B22880B" w14:textId="77777777" w:rsidR="00F52E8A" w:rsidRPr="001A5251" w:rsidRDefault="00421C1A" w:rsidP="00524440">
      <w:pPr>
        <w:spacing w:line="360" w:lineRule="auto"/>
        <w:ind w:left="720"/>
      </w:pPr>
      <w:r w:rsidRPr="001A5251">
        <w:t xml:space="preserve">- </w:t>
      </w:r>
      <w:r w:rsidR="00F52E8A" w:rsidRPr="001A5251">
        <w:t xml:space="preserve">μείωση της κατανάλωσης ενέργειας κατά 20%. </w:t>
      </w:r>
    </w:p>
    <w:p w14:paraId="06C9FDF1" w14:textId="77777777" w:rsidR="00F52E8A" w:rsidRDefault="0078423F" w:rsidP="00524440">
      <w:pPr>
        <w:spacing w:line="360" w:lineRule="auto"/>
      </w:pPr>
      <w:r>
        <w:t>Στο ΕΣΕΚ</w:t>
      </w:r>
      <w:r w:rsidR="00924542">
        <w:t xml:space="preserve"> του 2020</w:t>
      </w:r>
      <w:r w:rsidR="002C119E" w:rsidRPr="001A5251">
        <w:t xml:space="preserve"> </w:t>
      </w:r>
      <w:r w:rsidR="00D934A5">
        <w:t xml:space="preserve">τώρα, </w:t>
      </w:r>
      <w:r>
        <w:t xml:space="preserve">έχουν τεθεί </w:t>
      </w:r>
      <w:r w:rsidR="00F52E8A" w:rsidRPr="001A5251">
        <w:t xml:space="preserve">στόχοι περισσότερο φιλόδοξοι, προτείνοντας τη θέσπιση δεσμευτικού στόχου εξοικονόμησης ενέργειας </w:t>
      </w:r>
      <w:r w:rsidR="00924542">
        <w:t xml:space="preserve">~ 38% έναντι του αναθεωρημένου το 2018 στόχου της </w:t>
      </w:r>
      <w:r w:rsidR="0062368F">
        <w:t>Ε.Ε.</w:t>
      </w:r>
      <w:r w:rsidR="00924542">
        <w:t xml:space="preserve"> </w:t>
      </w:r>
      <w:r w:rsidR="00F52E8A" w:rsidRPr="001A5251">
        <w:t>3</w:t>
      </w:r>
      <w:r>
        <w:t>2,5</w:t>
      </w:r>
      <w:r w:rsidR="00F52E8A" w:rsidRPr="001A5251">
        <w:t xml:space="preserve">% έως το 2030. </w:t>
      </w:r>
    </w:p>
    <w:p w14:paraId="0E1FC844" w14:textId="77777777" w:rsidR="00F71640" w:rsidRDefault="00F71640" w:rsidP="00F71640">
      <w:pPr>
        <w:spacing w:line="360" w:lineRule="auto"/>
        <w:rPr>
          <w:rStyle w:val="af3"/>
        </w:rPr>
      </w:pPr>
      <w:r w:rsidRPr="00791808">
        <w:rPr>
          <w:rStyle w:val="af3"/>
        </w:rPr>
        <w:t xml:space="preserve">Το </w:t>
      </w:r>
      <w:proofErr w:type="spellStart"/>
      <w:r w:rsidRPr="00791808">
        <w:rPr>
          <w:rStyle w:val="af3"/>
        </w:rPr>
        <w:t>ενεργοβόρο</w:t>
      </w:r>
      <w:proofErr w:type="spellEnd"/>
      <w:r w:rsidRPr="00791808">
        <w:rPr>
          <w:rStyle w:val="af3"/>
        </w:rPr>
        <w:t xml:space="preserve"> κτιριακό απόθεμα. </w:t>
      </w:r>
    </w:p>
    <w:p w14:paraId="745297A4" w14:textId="77777777" w:rsidR="00F71640" w:rsidRPr="001A5251" w:rsidRDefault="00F71640" w:rsidP="00F71640">
      <w:pPr>
        <w:spacing w:line="360" w:lineRule="auto"/>
      </w:pPr>
      <w:r w:rsidRPr="001A5251">
        <w:t>Η ανάγκη εξοικονόμησης ενέργειας είναι ιδιαίτερα εμφανής στον κτιριακό τομέα, ο οποίος καλύπτει το 36% περίπου της συνολικής τελικής ενεργειακής κατανάλωσης στην Ελλάδα, με μέσο ετήσιο αριθμό αύξησης 7%. Επιπλέον τα κτίρια ευθύνονται για πάνω από το 45% των συνολικών εκπομπών του διοξειδίου του άνθρακα (CO</w:t>
      </w:r>
      <w:r w:rsidRPr="001A5251">
        <w:rPr>
          <w:vertAlign w:val="subscript"/>
        </w:rPr>
        <w:t>2</w:t>
      </w:r>
      <w:r w:rsidRPr="001A5251">
        <w:t xml:space="preserve">) βασικού αερίου του φαινομένου του θερμοκηπίου. </w:t>
      </w:r>
    </w:p>
    <w:p w14:paraId="1F905E99" w14:textId="77777777" w:rsidR="00F71640" w:rsidRDefault="00F71640" w:rsidP="00F71640">
      <w:pPr>
        <w:spacing w:line="360" w:lineRule="auto"/>
      </w:pPr>
      <w:r w:rsidRPr="001A5251">
        <w:t xml:space="preserve">Στο </w:t>
      </w:r>
      <w:r w:rsidR="00971D9A">
        <w:t>Πρόγραμμα</w:t>
      </w:r>
      <w:r w:rsidRPr="001A5251">
        <w:t xml:space="preserve"> της </w:t>
      </w:r>
      <w:r w:rsidR="00A03160">
        <w:t>τρέχουσας</w:t>
      </w:r>
      <w:r w:rsidRPr="001A5251">
        <w:t xml:space="preserve"> </w:t>
      </w:r>
      <w:r w:rsidR="00E5630E">
        <w:t>Προγραμματ</w:t>
      </w:r>
      <w:r w:rsidRPr="001A5251">
        <w:t xml:space="preserve">ικής </w:t>
      </w:r>
      <w:r w:rsidR="00EB38B3">
        <w:t>Περιόδου</w:t>
      </w:r>
      <w:r w:rsidRPr="001A5251">
        <w:t xml:space="preserve">, </w:t>
      </w:r>
      <w:r w:rsidR="00B925F9">
        <w:t>ΕΠΑνΕΚ</w:t>
      </w:r>
      <w:r w:rsidRPr="001A5251">
        <w:t xml:space="preserve">, και ειδικότερα μέσω των </w:t>
      </w:r>
      <w:r w:rsidR="00A03160">
        <w:t>Α</w:t>
      </w:r>
      <w:r w:rsidRPr="001A5251">
        <w:t xml:space="preserve">ξόνων </w:t>
      </w:r>
      <w:r w:rsidR="00A03160" w:rsidRPr="00A03160">
        <w:t>Π</w:t>
      </w:r>
      <w:r w:rsidRPr="001A5251">
        <w:t xml:space="preserve">ροτεραιότητας </w:t>
      </w:r>
      <w:r w:rsidR="00A03160">
        <w:t>0</w:t>
      </w:r>
      <w:r w:rsidRPr="001A5251">
        <w:t xml:space="preserve">3 και </w:t>
      </w:r>
      <w:r w:rsidR="00A03160">
        <w:t>0</w:t>
      </w:r>
      <w:r w:rsidRPr="001A5251">
        <w:t xml:space="preserve">3Σ για την </w:t>
      </w:r>
      <w:r w:rsidR="00410BEE">
        <w:t>Ε</w:t>
      </w:r>
      <w:r w:rsidRPr="001A5251">
        <w:t xml:space="preserve">πενδυτικής </w:t>
      </w:r>
      <w:r w:rsidR="00410BEE">
        <w:t>Π</w:t>
      </w:r>
      <w:r w:rsidRPr="001A5251">
        <w:t>ροτεραιότητας 4</w:t>
      </w:r>
      <w:r w:rsidR="00A03160">
        <w:rPr>
          <w:lang w:val="en-US"/>
        </w:rPr>
        <w:t>c</w:t>
      </w:r>
      <w:r w:rsidRPr="001A5251">
        <w:t xml:space="preserve">: «στήριξη της ενεργειακής απόδοσης, της έξυπνης διαχείρισης της ενέργειας και της χρήσης ανανεώσιμων πηγών ενέργειας στις δημόσιες υποδομές, συμπεριλαμβανομένων των δημόσιων </w:t>
      </w:r>
      <w:r w:rsidR="00971D9A">
        <w:t>κτιρί</w:t>
      </w:r>
      <w:r w:rsidRPr="001A5251">
        <w:t>ων, και στον τομέα της στέγασης», έχει προσδιοριστεί ο στόχος της ενεργειακής αναβάθμισης 21.000</w:t>
      </w:r>
      <w:r w:rsidRPr="001A5251">
        <w:rPr>
          <w:b/>
          <w:bCs/>
        </w:rPr>
        <w:t xml:space="preserve"> </w:t>
      </w:r>
      <w:r w:rsidRPr="001A5251">
        <w:t xml:space="preserve">νοικοκυριών σε εθνικό επίπεδο. </w:t>
      </w:r>
    </w:p>
    <w:p w14:paraId="0089DC57" w14:textId="77777777" w:rsidR="00F71640" w:rsidRPr="00D47FF9" w:rsidRDefault="00F71640" w:rsidP="00F71640">
      <w:pPr>
        <w:spacing w:line="360" w:lineRule="auto"/>
      </w:pPr>
      <w:r w:rsidRPr="001A5251">
        <w:t>Λαμβάνοντας υπόψη τα δεδομένα για την έκδοση των Πιστοποιητικών Ενεργειακής Απόδοσης (ΠΕΑ), στοιχεία της έκθεσης του Ιανουαρίου 201</w:t>
      </w:r>
      <w:r>
        <w:t>4</w:t>
      </w:r>
      <w:r w:rsidRPr="001A5251">
        <w:t xml:space="preserve">, εξετάστηκε το σύνολο των ΠΕΑ που εκδόθηκαν </w:t>
      </w:r>
      <w:r>
        <w:t>ανά χρονολογία κατασκευής και ενεργειακή κατηγορία</w:t>
      </w:r>
      <w:r w:rsidRPr="001A5251">
        <w:t xml:space="preserve">. </w:t>
      </w:r>
    </w:p>
    <w:tbl>
      <w:tblPr>
        <w:tblW w:w="8520" w:type="dxa"/>
        <w:tblInd w:w="93" w:type="dxa"/>
        <w:tblLook w:val="04A0" w:firstRow="1" w:lastRow="0" w:firstColumn="1" w:lastColumn="0" w:noHBand="0" w:noVBand="1"/>
      </w:tblPr>
      <w:tblGrid>
        <w:gridCol w:w="588"/>
        <w:gridCol w:w="1345"/>
        <w:gridCol w:w="1346"/>
        <w:gridCol w:w="1346"/>
        <w:gridCol w:w="1345"/>
        <w:gridCol w:w="1346"/>
        <w:gridCol w:w="1204"/>
      </w:tblGrid>
      <w:tr w:rsidR="00F71640" w:rsidRPr="00DD4DEC" w14:paraId="56098820" w14:textId="77777777" w:rsidTr="00C87CFF">
        <w:trPr>
          <w:trHeight w:val="265"/>
        </w:trPr>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6B765" w14:textId="77777777" w:rsidR="00F71640" w:rsidRPr="00DD4DEC" w:rsidRDefault="00F71640" w:rsidP="00C87CFF">
            <w:pPr>
              <w:spacing w:beforeLines="40" w:before="96" w:afterLines="40" w:after="96" w:line="240" w:lineRule="auto"/>
              <w:rPr>
                <w:lang w:eastAsia="el-GR"/>
              </w:rPr>
            </w:pPr>
            <w:r w:rsidRPr="00DD4DEC">
              <w:rPr>
                <w:lang w:eastAsia="el-GR"/>
              </w:rPr>
              <w:t>ΠΕΑ</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14:paraId="1F46639A" w14:textId="77777777" w:rsidR="00F71640" w:rsidRPr="00DD4DEC" w:rsidRDefault="00F71640" w:rsidP="00C87CFF">
            <w:pPr>
              <w:spacing w:beforeLines="40" w:before="96" w:afterLines="40" w:after="96" w:line="240" w:lineRule="auto"/>
              <w:rPr>
                <w:lang w:eastAsia="el-GR"/>
              </w:rPr>
            </w:pPr>
            <w:r w:rsidRPr="00DD4DEC">
              <w:rPr>
                <w:lang w:eastAsia="el-GR"/>
              </w:rPr>
              <w:t>2000 - 2014</w:t>
            </w:r>
          </w:p>
        </w:tc>
        <w:tc>
          <w:tcPr>
            <w:tcW w:w="1346" w:type="dxa"/>
            <w:tcBorders>
              <w:top w:val="single" w:sz="4" w:space="0" w:color="auto"/>
              <w:left w:val="nil"/>
              <w:bottom w:val="single" w:sz="4" w:space="0" w:color="auto"/>
              <w:right w:val="single" w:sz="4" w:space="0" w:color="auto"/>
            </w:tcBorders>
            <w:shd w:val="clear" w:color="000000" w:fill="FFFFFF"/>
            <w:vAlign w:val="center"/>
            <w:hideMark/>
          </w:tcPr>
          <w:p w14:paraId="6A67DBF1" w14:textId="77777777" w:rsidR="00F71640" w:rsidRPr="00DD4DEC" w:rsidRDefault="00F71640" w:rsidP="00C87CFF">
            <w:pPr>
              <w:spacing w:beforeLines="40" w:before="96" w:afterLines="40" w:after="96" w:line="240" w:lineRule="auto"/>
              <w:rPr>
                <w:lang w:eastAsia="el-GR"/>
              </w:rPr>
            </w:pPr>
            <w:r w:rsidRPr="00DD4DEC">
              <w:rPr>
                <w:lang w:eastAsia="el-GR"/>
              </w:rPr>
              <w:t>1990 - 2000</w:t>
            </w:r>
          </w:p>
        </w:tc>
        <w:tc>
          <w:tcPr>
            <w:tcW w:w="1346" w:type="dxa"/>
            <w:tcBorders>
              <w:top w:val="single" w:sz="4" w:space="0" w:color="auto"/>
              <w:left w:val="nil"/>
              <w:bottom w:val="single" w:sz="4" w:space="0" w:color="auto"/>
              <w:right w:val="single" w:sz="4" w:space="0" w:color="auto"/>
            </w:tcBorders>
            <w:shd w:val="clear" w:color="000000" w:fill="FFFFFF"/>
            <w:vAlign w:val="center"/>
            <w:hideMark/>
          </w:tcPr>
          <w:p w14:paraId="2D6D93F4" w14:textId="77777777" w:rsidR="00F71640" w:rsidRPr="00DD4DEC" w:rsidRDefault="00F71640" w:rsidP="00C87CFF">
            <w:pPr>
              <w:spacing w:beforeLines="40" w:before="96" w:afterLines="40" w:after="96" w:line="240" w:lineRule="auto"/>
              <w:rPr>
                <w:lang w:eastAsia="el-GR"/>
              </w:rPr>
            </w:pPr>
            <w:r w:rsidRPr="00DD4DEC">
              <w:rPr>
                <w:lang w:eastAsia="el-GR"/>
              </w:rPr>
              <w:t>1980 - 1990</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14:paraId="5FD1C497" w14:textId="77777777" w:rsidR="00F71640" w:rsidRPr="00DD4DEC" w:rsidRDefault="00F71640" w:rsidP="00C87CFF">
            <w:pPr>
              <w:spacing w:beforeLines="40" w:before="96" w:afterLines="40" w:after="96" w:line="240" w:lineRule="auto"/>
              <w:rPr>
                <w:lang w:eastAsia="el-GR"/>
              </w:rPr>
            </w:pPr>
            <w:r w:rsidRPr="00DD4DEC">
              <w:rPr>
                <w:lang w:eastAsia="el-GR"/>
              </w:rPr>
              <w:t>1970 - 1980</w:t>
            </w:r>
          </w:p>
        </w:tc>
        <w:tc>
          <w:tcPr>
            <w:tcW w:w="1346" w:type="dxa"/>
            <w:tcBorders>
              <w:top w:val="single" w:sz="4" w:space="0" w:color="auto"/>
              <w:left w:val="nil"/>
              <w:bottom w:val="single" w:sz="4" w:space="0" w:color="auto"/>
              <w:right w:val="single" w:sz="4" w:space="0" w:color="auto"/>
            </w:tcBorders>
            <w:shd w:val="clear" w:color="000000" w:fill="FFFFFF"/>
            <w:vAlign w:val="center"/>
            <w:hideMark/>
          </w:tcPr>
          <w:p w14:paraId="0D6FC39A" w14:textId="77777777" w:rsidR="00F71640" w:rsidRPr="00DD4DEC" w:rsidRDefault="00F71640" w:rsidP="00C87CFF">
            <w:pPr>
              <w:spacing w:beforeLines="40" w:before="96" w:afterLines="40" w:after="96" w:line="240" w:lineRule="auto"/>
              <w:rPr>
                <w:lang w:eastAsia="el-GR"/>
              </w:rPr>
            </w:pPr>
            <w:r w:rsidRPr="00DD4DEC">
              <w:rPr>
                <w:lang w:eastAsia="el-GR"/>
              </w:rPr>
              <w:t>1960 - 1970</w:t>
            </w:r>
          </w:p>
        </w:tc>
        <w:tc>
          <w:tcPr>
            <w:tcW w:w="1204" w:type="dxa"/>
            <w:tcBorders>
              <w:top w:val="single" w:sz="4" w:space="0" w:color="auto"/>
              <w:left w:val="nil"/>
              <w:bottom w:val="single" w:sz="4" w:space="0" w:color="auto"/>
              <w:right w:val="single" w:sz="4" w:space="0" w:color="auto"/>
            </w:tcBorders>
            <w:shd w:val="clear" w:color="000000" w:fill="FFFFFF"/>
            <w:vAlign w:val="center"/>
            <w:hideMark/>
          </w:tcPr>
          <w:p w14:paraId="13AFB042" w14:textId="77777777" w:rsidR="00F71640" w:rsidRPr="00DD4DEC" w:rsidRDefault="00F71640" w:rsidP="00C87CFF">
            <w:pPr>
              <w:spacing w:beforeLines="40" w:before="96" w:afterLines="40" w:after="96" w:line="240" w:lineRule="auto"/>
              <w:rPr>
                <w:lang w:eastAsia="el-GR"/>
              </w:rPr>
            </w:pPr>
            <w:r w:rsidRPr="00DD4DEC">
              <w:rPr>
                <w:lang w:eastAsia="el-GR"/>
              </w:rPr>
              <w:t>-1960</w:t>
            </w:r>
          </w:p>
        </w:tc>
      </w:tr>
      <w:tr w:rsidR="00F71640" w:rsidRPr="002C119E" w14:paraId="0131529A" w14:textId="77777777" w:rsidTr="00C87CFF">
        <w:trPr>
          <w:trHeight w:val="87"/>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46B81DA6" w14:textId="77777777" w:rsidR="00F71640" w:rsidRPr="002C119E" w:rsidRDefault="00F71640" w:rsidP="00C87CFF">
            <w:pPr>
              <w:spacing w:before="0" w:after="0" w:line="240" w:lineRule="auto"/>
              <w:jc w:val="left"/>
              <w:rPr>
                <w:lang w:eastAsia="el-GR"/>
              </w:rPr>
            </w:pPr>
            <w:r w:rsidRPr="002C119E">
              <w:rPr>
                <w:lang w:eastAsia="el-GR"/>
              </w:rPr>
              <w:t>Α+</w:t>
            </w:r>
          </w:p>
        </w:tc>
        <w:tc>
          <w:tcPr>
            <w:tcW w:w="1345" w:type="dxa"/>
            <w:tcBorders>
              <w:top w:val="nil"/>
              <w:left w:val="nil"/>
              <w:bottom w:val="single" w:sz="4" w:space="0" w:color="auto"/>
              <w:right w:val="single" w:sz="4" w:space="0" w:color="auto"/>
            </w:tcBorders>
            <w:shd w:val="clear" w:color="000000" w:fill="FFFFFF"/>
            <w:vAlign w:val="center"/>
            <w:hideMark/>
          </w:tcPr>
          <w:p w14:paraId="205643F8" w14:textId="77777777" w:rsidR="00F71640" w:rsidRPr="002C119E" w:rsidRDefault="00F71640" w:rsidP="00C87CFF">
            <w:pPr>
              <w:spacing w:before="0" w:after="0" w:line="240" w:lineRule="auto"/>
              <w:jc w:val="right"/>
              <w:rPr>
                <w:rFonts w:cs="Times New Roman"/>
                <w:lang w:eastAsia="el-GR"/>
              </w:rPr>
            </w:pPr>
            <w:r w:rsidRPr="002C119E">
              <w:rPr>
                <w:lang w:eastAsia="el-GR"/>
              </w:rPr>
              <w:t>36</w:t>
            </w:r>
          </w:p>
        </w:tc>
        <w:tc>
          <w:tcPr>
            <w:tcW w:w="1346" w:type="dxa"/>
            <w:tcBorders>
              <w:top w:val="nil"/>
              <w:left w:val="nil"/>
              <w:bottom w:val="single" w:sz="4" w:space="0" w:color="auto"/>
              <w:right w:val="single" w:sz="4" w:space="0" w:color="auto"/>
            </w:tcBorders>
            <w:shd w:val="clear" w:color="000000" w:fill="FFFFFF"/>
            <w:vAlign w:val="center"/>
            <w:hideMark/>
          </w:tcPr>
          <w:p w14:paraId="287A52B1" w14:textId="77777777" w:rsidR="00F71640" w:rsidRPr="002C119E" w:rsidRDefault="00F71640" w:rsidP="00C87CFF">
            <w:pPr>
              <w:spacing w:before="0" w:after="0" w:line="240" w:lineRule="auto"/>
              <w:jc w:val="right"/>
              <w:rPr>
                <w:lang w:eastAsia="el-GR"/>
              </w:rPr>
            </w:pPr>
            <w:r w:rsidRPr="002C119E">
              <w:rPr>
                <w:lang w:eastAsia="el-GR"/>
              </w:rPr>
              <w:t>1</w:t>
            </w:r>
          </w:p>
        </w:tc>
        <w:tc>
          <w:tcPr>
            <w:tcW w:w="1346" w:type="dxa"/>
            <w:tcBorders>
              <w:top w:val="nil"/>
              <w:left w:val="nil"/>
              <w:bottom w:val="single" w:sz="4" w:space="0" w:color="auto"/>
              <w:right w:val="single" w:sz="4" w:space="0" w:color="auto"/>
            </w:tcBorders>
            <w:shd w:val="clear" w:color="000000" w:fill="FFFFFF"/>
            <w:vAlign w:val="center"/>
            <w:hideMark/>
          </w:tcPr>
          <w:p w14:paraId="77C322B8" w14:textId="77777777" w:rsidR="00F71640" w:rsidRPr="002C119E" w:rsidRDefault="00F71640" w:rsidP="00C87CFF">
            <w:pPr>
              <w:spacing w:before="0" w:after="0" w:line="240" w:lineRule="auto"/>
              <w:jc w:val="right"/>
              <w:rPr>
                <w:rFonts w:cs="Times New Roman"/>
                <w:lang w:eastAsia="el-GR"/>
              </w:rPr>
            </w:pPr>
            <w:r w:rsidRPr="002C119E">
              <w:rPr>
                <w:lang w:eastAsia="el-GR"/>
              </w:rPr>
              <w:t> </w:t>
            </w:r>
          </w:p>
        </w:tc>
        <w:tc>
          <w:tcPr>
            <w:tcW w:w="1345" w:type="dxa"/>
            <w:tcBorders>
              <w:top w:val="nil"/>
              <w:left w:val="nil"/>
              <w:bottom w:val="single" w:sz="4" w:space="0" w:color="auto"/>
              <w:right w:val="single" w:sz="4" w:space="0" w:color="auto"/>
            </w:tcBorders>
            <w:shd w:val="clear" w:color="000000" w:fill="FFFFFF"/>
            <w:vAlign w:val="center"/>
            <w:hideMark/>
          </w:tcPr>
          <w:p w14:paraId="1417E58E" w14:textId="77777777" w:rsidR="00F71640" w:rsidRPr="002C119E" w:rsidRDefault="00F71640" w:rsidP="00C87CFF">
            <w:pPr>
              <w:spacing w:before="0" w:after="0" w:line="240" w:lineRule="auto"/>
              <w:jc w:val="right"/>
              <w:rPr>
                <w:lang w:eastAsia="el-GR"/>
              </w:rPr>
            </w:pPr>
            <w:r w:rsidRPr="002C119E">
              <w:rPr>
                <w:lang w:eastAsia="el-GR"/>
              </w:rPr>
              <w:t>1</w:t>
            </w:r>
          </w:p>
        </w:tc>
        <w:tc>
          <w:tcPr>
            <w:tcW w:w="1346" w:type="dxa"/>
            <w:tcBorders>
              <w:top w:val="nil"/>
              <w:left w:val="nil"/>
              <w:bottom w:val="single" w:sz="4" w:space="0" w:color="auto"/>
              <w:right w:val="single" w:sz="4" w:space="0" w:color="auto"/>
            </w:tcBorders>
            <w:shd w:val="clear" w:color="000000" w:fill="FFFFFF"/>
            <w:vAlign w:val="center"/>
            <w:hideMark/>
          </w:tcPr>
          <w:p w14:paraId="73CE4409" w14:textId="77777777" w:rsidR="00F71640" w:rsidRPr="002C119E" w:rsidRDefault="00F71640" w:rsidP="00C87CFF">
            <w:pPr>
              <w:spacing w:before="0" w:after="0" w:line="240" w:lineRule="auto"/>
              <w:jc w:val="right"/>
              <w:rPr>
                <w:rFonts w:cs="Times New Roman"/>
                <w:lang w:eastAsia="el-GR"/>
              </w:rPr>
            </w:pPr>
            <w:r w:rsidRPr="002C119E">
              <w:rPr>
                <w:lang w:eastAsia="el-GR"/>
              </w:rPr>
              <w:t> </w:t>
            </w:r>
          </w:p>
        </w:tc>
        <w:tc>
          <w:tcPr>
            <w:tcW w:w="1204" w:type="dxa"/>
            <w:tcBorders>
              <w:top w:val="nil"/>
              <w:left w:val="nil"/>
              <w:bottom w:val="single" w:sz="4" w:space="0" w:color="auto"/>
              <w:right w:val="single" w:sz="4" w:space="0" w:color="auto"/>
            </w:tcBorders>
            <w:shd w:val="clear" w:color="000000" w:fill="FFFFFF"/>
            <w:vAlign w:val="center"/>
            <w:hideMark/>
          </w:tcPr>
          <w:p w14:paraId="4B150A1A" w14:textId="77777777" w:rsidR="00F71640" w:rsidRPr="002C119E" w:rsidRDefault="00F71640" w:rsidP="00C87CFF">
            <w:pPr>
              <w:spacing w:before="0" w:after="0" w:line="240" w:lineRule="auto"/>
              <w:jc w:val="right"/>
              <w:rPr>
                <w:rFonts w:cs="Times New Roman"/>
                <w:lang w:eastAsia="el-GR"/>
              </w:rPr>
            </w:pPr>
            <w:r w:rsidRPr="002C119E">
              <w:rPr>
                <w:lang w:eastAsia="el-GR"/>
              </w:rPr>
              <w:t> </w:t>
            </w:r>
          </w:p>
        </w:tc>
      </w:tr>
      <w:tr w:rsidR="00F71640" w:rsidRPr="002C119E" w14:paraId="1F8D97A6" w14:textId="77777777" w:rsidTr="00C87CFF">
        <w:trPr>
          <w:trHeight w:val="235"/>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5C3A988A" w14:textId="77777777" w:rsidR="00F71640" w:rsidRPr="002C119E" w:rsidRDefault="00F71640" w:rsidP="00C87CFF">
            <w:pPr>
              <w:spacing w:before="0" w:after="0" w:line="240" w:lineRule="auto"/>
              <w:jc w:val="left"/>
              <w:rPr>
                <w:lang w:eastAsia="el-GR"/>
              </w:rPr>
            </w:pPr>
            <w:r w:rsidRPr="002C119E">
              <w:rPr>
                <w:lang w:eastAsia="el-GR"/>
              </w:rPr>
              <w:t>Α</w:t>
            </w:r>
          </w:p>
        </w:tc>
        <w:tc>
          <w:tcPr>
            <w:tcW w:w="1345" w:type="dxa"/>
            <w:tcBorders>
              <w:top w:val="nil"/>
              <w:left w:val="nil"/>
              <w:bottom w:val="single" w:sz="4" w:space="0" w:color="auto"/>
              <w:right w:val="single" w:sz="4" w:space="0" w:color="auto"/>
            </w:tcBorders>
            <w:shd w:val="clear" w:color="000000" w:fill="FFFFFF"/>
            <w:vAlign w:val="center"/>
            <w:hideMark/>
          </w:tcPr>
          <w:p w14:paraId="4EFAC19F" w14:textId="77777777" w:rsidR="00F71640" w:rsidRPr="002C119E" w:rsidRDefault="00F71640" w:rsidP="00C87CFF">
            <w:pPr>
              <w:spacing w:before="0" w:after="0" w:line="240" w:lineRule="auto"/>
              <w:jc w:val="right"/>
              <w:rPr>
                <w:rFonts w:cs="Times New Roman"/>
                <w:lang w:eastAsia="el-GR"/>
              </w:rPr>
            </w:pPr>
            <w:r w:rsidRPr="002C119E">
              <w:rPr>
                <w:lang w:eastAsia="el-GR"/>
              </w:rPr>
              <w:t>108</w:t>
            </w:r>
          </w:p>
        </w:tc>
        <w:tc>
          <w:tcPr>
            <w:tcW w:w="1346" w:type="dxa"/>
            <w:tcBorders>
              <w:top w:val="nil"/>
              <w:left w:val="nil"/>
              <w:bottom w:val="single" w:sz="4" w:space="0" w:color="auto"/>
              <w:right w:val="single" w:sz="4" w:space="0" w:color="auto"/>
            </w:tcBorders>
            <w:shd w:val="clear" w:color="000000" w:fill="FFFFFF"/>
            <w:vAlign w:val="center"/>
            <w:hideMark/>
          </w:tcPr>
          <w:p w14:paraId="04E2CDC0" w14:textId="77777777" w:rsidR="00F71640" w:rsidRPr="002C119E" w:rsidRDefault="00F71640" w:rsidP="00C87CFF">
            <w:pPr>
              <w:spacing w:before="0" w:after="0" w:line="240" w:lineRule="auto"/>
              <w:jc w:val="right"/>
              <w:rPr>
                <w:lang w:eastAsia="el-GR"/>
              </w:rPr>
            </w:pPr>
            <w:r w:rsidRPr="002C119E">
              <w:rPr>
                <w:lang w:eastAsia="el-GR"/>
              </w:rPr>
              <w:t>2</w:t>
            </w:r>
          </w:p>
        </w:tc>
        <w:tc>
          <w:tcPr>
            <w:tcW w:w="1346" w:type="dxa"/>
            <w:tcBorders>
              <w:top w:val="nil"/>
              <w:left w:val="nil"/>
              <w:bottom w:val="single" w:sz="4" w:space="0" w:color="auto"/>
              <w:right w:val="single" w:sz="4" w:space="0" w:color="auto"/>
            </w:tcBorders>
            <w:shd w:val="clear" w:color="000000" w:fill="FFFFFF"/>
            <w:vAlign w:val="center"/>
            <w:hideMark/>
          </w:tcPr>
          <w:p w14:paraId="0BFC0230" w14:textId="77777777" w:rsidR="00F71640" w:rsidRPr="002C119E" w:rsidRDefault="00F71640" w:rsidP="00C87CFF">
            <w:pPr>
              <w:spacing w:before="0" w:after="0" w:line="240" w:lineRule="auto"/>
              <w:jc w:val="right"/>
              <w:rPr>
                <w:lang w:eastAsia="el-GR"/>
              </w:rPr>
            </w:pPr>
            <w:r w:rsidRPr="002C119E">
              <w:rPr>
                <w:lang w:eastAsia="el-GR"/>
              </w:rPr>
              <w:t>1</w:t>
            </w:r>
          </w:p>
        </w:tc>
        <w:tc>
          <w:tcPr>
            <w:tcW w:w="1345" w:type="dxa"/>
            <w:tcBorders>
              <w:top w:val="nil"/>
              <w:left w:val="nil"/>
              <w:bottom w:val="single" w:sz="4" w:space="0" w:color="auto"/>
              <w:right w:val="single" w:sz="4" w:space="0" w:color="auto"/>
            </w:tcBorders>
            <w:shd w:val="clear" w:color="000000" w:fill="FFFFFF"/>
            <w:vAlign w:val="center"/>
            <w:hideMark/>
          </w:tcPr>
          <w:p w14:paraId="5DECB132" w14:textId="77777777" w:rsidR="00F71640" w:rsidRPr="002C119E" w:rsidRDefault="00F71640" w:rsidP="00C87CFF">
            <w:pPr>
              <w:spacing w:before="0" w:after="0" w:line="240" w:lineRule="auto"/>
              <w:jc w:val="right"/>
              <w:rPr>
                <w:lang w:eastAsia="el-GR"/>
              </w:rPr>
            </w:pPr>
            <w:r w:rsidRPr="002C119E">
              <w:rPr>
                <w:lang w:eastAsia="el-GR"/>
              </w:rPr>
              <w:t>5</w:t>
            </w:r>
          </w:p>
        </w:tc>
        <w:tc>
          <w:tcPr>
            <w:tcW w:w="1346" w:type="dxa"/>
            <w:tcBorders>
              <w:top w:val="nil"/>
              <w:left w:val="nil"/>
              <w:bottom w:val="single" w:sz="4" w:space="0" w:color="auto"/>
              <w:right w:val="single" w:sz="4" w:space="0" w:color="auto"/>
            </w:tcBorders>
            <w:shd w:val="clear" w:color="000000" w:fill="FFFFFF"/>
            <w:vAlign w:val="center"/>
            <w:hideMark/>
          </w:tcPr>
          <w:p w14:paraId="5C56A91F" w14:textId="77777777" w:rsidR="00F71640" w:rsidRPr="002C119E" w:rsidRDefault="00F71640" w:rsidP="00C87CFF">
            <w:pPr>
              <w:spacing w:before="0" w:after="0" w:line="240" w:lineRule="auto"/>
              <w:jc w:val="right"/>
              <w:rPr>
                <w:lang w:eastAsia="el-GR"/>
              </w:rPr>
            </w:pPr>
            <w:r w:rsidRPr="002C119E">
              <w:rPr>
                <w:lang w:eastAsia="el-GR"/>
              </w:rPr>
              <w:t>4</w:t>
            </w:r>
          </w:p>
        </w:tc>
        <w:tc>
          <w:tcPr>
            <w:tcW w:w="1204" w:type="dxa"/>
            <w:tcBorders>
              <w:top w:val="nil"/>
              <w:left w:val="nil"/>
              <w:bottom w:val="single" w:sz="4" w:space="0" w:color="auto"/>
              <w:right w:val="single" w:sz="4" w:space="0" w:color="auto"/>
            </w:tcBorders>
            <w:shd w:val="clear" w:color="000000" w:fill="FFFFFF"/>
            <w:vAlign w:val="center"/>
            <w:hideMark/>
          </w:tcPr>
          <w:p w14:paraId="03A301ED" w14:textId="77777777" w:rsidR="00F71640" w:rsidRPr="002C119E" w:rsidRDefault="00F71640" w:rsidP="00C87CFF">
            <w:pPr>
              <w:spacing w:before="0" w:after="0" w:line="240" w:lineRule="auto"/>
              <w:jc w:val="right"/>
              <w:rPr>
                <w:rFonts w:cs="Times New Roman"/>
                <w:lang w:eastAsia="el-GR"/>
              </w:rPr>
            </w:pPr>
            <w:r w:rsidRPr="002C119E">
              <w:rPr>
                <w:lang w:eastAsia="el-GR"/>
              </w:rPr>
              <w:t> </w:t>
            </w:r>
          </w:p>
        </w:tc>
      </w:tr>
      <w:tr w:rsidR="00F71640" w:rsidRPr="002C119E" w14:paraId="1672CA54" w14:textId="77777777" w:rsidTr="00C87CFF">
        <w:trPr>
          <w:trHeight w:val="70"/>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15FF77C6" w14:textId="77777777" w:rsidR="00F71640" w:rsidRPr="002C119E" w:rsidRDefault="00F71640" w:rsidP="00C87CFF">
            <w:pPr>
              <w:spacing w:before="0" w:after="0" w:line="240" w:lineRule="auto"/>
              <w:jc w:val="left"/>
              <w:rPr>
                <w:lang w:eastAsia="el-GR"/>
              </w:rPr>
            </w:pPr>
            <w:r w:rsidRPr="002C119E">
              <w:rPr>
                <w:lang w:eastAsia="el-GR"/>
              </w:rPr>
              <w:t>Β+</w:t>
            </w:r>
          </w:p>
        </w:tc>
        <w:tc>
          <w:tcPr>
            <w:tcW w:w="1345" w:type="dxa"/>
            <w:tcBorders>
              <w:top w:val="nil"/>
              <w:left w:val="nil"/>
              <w:bottom w:val="single" w:sz="4" w:space="0" w:color="auto"/>
              <w:right w:val="single" w:sz="4" w:space="0" w:color="auto"/>
            </w:tcBorders>
            <w:shd w:val="clear" w:color="000000" w:fill="FFFFFF"/>
            <w:vAlign w:val="center"/>
            <w:hideMark/>
          </w:tcPr>
          <w:p w14:paraId="04A2B0D0" w14:textId="77777777" w:rsidR="00F71640" w:rsidRPr="002C119E" w:rsidRDefault="00F71640" w:rsidP="00C87CFF">
            <w:pPr>
              <w:spacing w:before="0" w:after="0" w:line="240" w:lineRule="auto"/>
              <w:jc w:val="right"/>
              <w:rPr>
                <w:rFonts w:cs="Times New Roman"/>
                <w:lang w:eastAsia="el-GR"/>
              </w:rPr>
            </w:pPr>
            <w:r w:rsidRPr="002C119E">
              <w:rPr>
                <w:lang w:eastAsia="el-GR"/>
              </w:rPr>
              <w:t>1.174</w:t>
            </w:r>
          </w:p>
        </w:tc>
        <w:tc>
          <w:tcPr>
            <w:tcW w:w="1346" w:type="dxa"/>
            <w:tcBorders>
              <w:top w:val="nil"/>
              <w:left w:val="nil"/>
              <w:bottom w:val="single" w:sz="4" w:space="0" w:color="auto"/>
              <w:right w:val="single" w:sz="4" w:space="0" w:color="auto"/>
            </w:tcBorders>
            <w:shd w:val="clear" w:color="000000" w:fill="FFFFFF"/>
            <w:vAlign w:val="center"/>
            <w:hideMark/>
          </w:tcPr>
          <w:p w14:paraId="7065D2C8" w14:textId="77777777" w:rsidR="00F71640" w:rsidRPr="002C119E" w:rsidRDefault="00F71640" w:rsidP="00C87CFF">
            <w:pPr>
              <w:spacing w:before="0" w:after="0" w:line="240" w:lineRule="auto"/>
              <w:jc w:val="right"/>
              <w:rPr>
                <w:rFonts w:cs="Times New Roman"/>
                <w:lang w:eastAsia="el-GR"/>
              </w:rPr>
            </w:pPr>
            <w:r w:rsidRPr="002C119E">
              <w:rPr>
                <w:lang w:eastAsia="el-GR"/>
              </w:rPr>
              <w:t>53</w:t>
            </w:r>
          </w:p>
        </w:tc>
        <w:tc>
          <w:tcPr>
            <w:tcW w:w="1346" w:type="dxa"/>
            <w:tcBorders>
              <w:top w:val="nil"/>
              <w:left w:val="nil"/>
              <w:bottom w:val="single" w:sz="4" w:space="0" w:color="auto"/>
              <w:right w:val="single" w:sz="4" w:space="0" w:color="auto"/>
            </w:tcBorders>
            <w:shd w:val="clear" w:color="000000" w:fill="FFFFFF"/>
            <w:vAlign w:val="center"/>
            <w:hideMark/>
          </w:tcPr>
          <w:p w14:paraId="0D543DD7" w14:textId="77777777" w:rsidR="00F71640" w:rsidRPr="002C119E" w:rsidRDefault="00F71640" w:rsidP="00C87CFF">
            <w:pPr>
              <w:spacing w:before="0" w:after="0" w:line="240" w:lineRule="auto"/>
              <w:jc w:val="right"/>
              <w:rPr>
                <w:rFonts w:cs="Times New Roman"/>
                <w:lang w:eastAsia="el-GR"/>
              </w:rPr>
            </w:pPr>
            <w:r w:rsidRPr="002C119E">
              <w:rPr>
                <w:lang w:eastAsia="el-GR"/>
              </w:rPr>
              <w:t>70</w:t>
            </w:r>
          </w:p>
        </w:tc>
        <w:tc>
          <w:tcPr>
            <w:tcW w:w="1345" w:type="dxa"/>
            <w:tcBorders>
              <w:top w:val="nil"/>
              <w:left w:val="nil"/>
              <w:bottom w:val="single" w:sz="4" w:space="0" w:color="auto"/>
              <w:right w:val="single" w:sz="4" w:space="0" w:color="auto"/>
            </w:tcBorders>
            <w:shd w:val="clear" w:color="000000" w:fill="FFFFFF"/>
            <w:vAlign w:val="center"/>
            <w:hideMark/>
          </w:tcPr>
          <w:p w14:paraId="73D52C41" w14:textId="77777777" w:rsidR="00F71640" w:rsidRPr="002C119E" w:rsidRDefault="00F71640" w:rsidP="00C87CFF">
            <w:pPr>
              <w:spacing w:before="0" w:after="0" w:line="240" w:lineRule="auto"/>
              <w:jc w:val="right"/>
              <w:rPr>
                <w:rFonts w:cs="Times New Roman"/>
                <w:lang w:eastAsia="el-GR"/>
              </w:rPr>
            </w:pPr>
            <w:r w:rsidRPr="002C119E">
              <w:rPr>
                <w:lang w:eastAsia="el-GR"/>
              </w:rPr>
              <w:t>61</w:t>
            </w:r>
          </w:p>
        </w:tc>
        <w:tc>
          <w:tcPr>
            <w:tcW w:w="1346" w:type="dxa"/>
            <w:tcBorders>
              <w:top w:val="nil"/>
              <w:left w:val="nil"/>
              <w:bottom w:val="single" w:sz="4" w:space="0" w:color="auto"/>
              <w:right w:val="single" w:sz="4" w:space="0" w:color="auto"/>
            </w:tcBorders>
            <w:shd w:val="clear" w:color="000000" w:fill="FFFFFF"/>
            <w:vAlign w:val="center"/>
            <w:hideMark/>
          </w:tcPr>
          <w:p w14:paraId="540FC0EF" w14:textId="77777777" w:rsidR="00F71640" w:rsidRPr="002C119E" w:rsidRDefault="00F71640" w:rsidP="00C87CFF">
            <w:pPr>
              <w:spacing w:before="0" w:after="0" w:line="240" w:lineRule="auto"/>
              <w:jc w:val="right"/>
              <w:rPr>
                <w:rFonts w:cs="Times New Roman"/>
                <w:lang w:eastAsia="el-GR"/>
              </w:rPr>
            </w:pPr>
            <w:r w:rsidRPr="002C119E">
              <w:rPr>
                <w:lang w:eastAsia="el-GR"/>
              </w:rPr>
              <w:t>37</w:t>
            </w:r>
          </w:p>
        </w:tc>
        <w:tc>
          <w:tcPr>
            <w:tcW w:w="1204" w:type="dxa"/>
            <w:tcBorders>
              <w:top w:val="nil"/>
              <w:left w:val="nil"/>
              <w:bottom w:val="single" w:sz="4" w:space="0" w:color="auto"/>
              <w:right w:val="single" w:sz="4" w:space="0" w:color="auto"/>
            </w:tcBorders>
            <w:shd w:val="clear" w:color="000000" w:fill="FFFFFF"/>
            <w:vAlign w:val="center"/>
            <w:hideMark/>
          </w:tcPr>
          <w:p w14:paraId="7B696C75" w14:textId="77777777" w:rsidR="00F71640" w:rsidRPr="002C119E" w:rsidRDefault="00F71640" w:rsidP="00C87CFF">
            <w:pPr>
              <w:spacing w:before="0" w:after="0" w:line="240" w:lineRule="auto"/>
              <w:jc w:val="right"/>
              <w:rPr>
                <w:lang w:eastAsia="el-GR"/>
              </w:rPr>
            </w:pPr>
            <w:r w:rsidRPr="002C119E">
              <w:rPr>
                <w:lang w:eastAsia="el-GR"/>
              </w:rPr>
              <w:t>1</w:t>
            </w:r>
          </w:p>
        </w:tc>
      </w:tr>
      <w:tr w:rsidR="00F71640" w:rsidRPr="002C119E" w14:paraId="6CE7573C" w14:textId="77777777" w:rsidTr="00C87CFF">
        <w:trPr>
          <w:trHeight w:val="194"/>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4CC8BBE0" w14:textId="77777777" w:rsidR="00F71640" w:rsidRPr="002C119E" w:rsidRDefault="00F71640" w:rsidP="00C87CFF">
            <w:pPr>
              <w:spacing w:before="0" w:after="0" w:line="240" w:lineRule="auto"/>
              <w:jc w:val="left"/>
              <w:rPr>
                <w:lang w:eastAsia="el-GR"/>
              </w:rPr>
            </w:pPr>
            <w:r w:rsidRPr="002C119E">
              <w:rPr>
                <w:lang w:eastAsia="el-GR"/>
              </w:rPr>
              <w:t>Β</w:t>
            </w:r>
          </w:p>
        </w:tc>
        <w:tc>
          <w:tcPr>
            <w:tcW w:w="1345" w:type="dxa"/>
            <w:tcBorders>
              <w:top w:val="nil"/>
              <w:left w:val="nil"/>
              <w:bottom w:val="single" w:sz="4" w:space="0" w:color="auto"/>
              <w:right w:val="single" w:sz="4" w:space="0" w:color="auto"/>
            </w:tcBorders>
            <w:shd w:val="clear" w:color="000000" w:fill="FFFFFF"/>
            <w:vAlign w:val="center"/>
            <w:hideMark/>
          </w:tcPr>
          <w:p w14:paraId="4BDC6587" w14:textId="77777777" w:rsidR="00F71640" w:rsidRPr="002C119E" w:rsidRDefault="00F71640" w:rsidP="00C87CFF">
            <w:pPr>
              <w:spacing w:before="0" w:after="0" w:line="240" w:lineRule="auto"/>
              <w:jc w:val="right"/>
              <w:rPr>
                <w:rFonts w:cs="Times New Roman"/>
                <w:lang w:eastAsia="el-GR"/>
              </w:rPr>
            </w:pPr>
            <w:r w:rsidRPr="002C119E">
              <w:rPr>
                <w:lang w:eastAsia="el-GR"/>
              </w:rPr>
              <w:t>9.789</w:t>
            </w:r>
          </w:p>
        </w:tc>
        <w:tc>
          <w:tcPr>
            <w:tcW w:w="1346" w:type="dxa"/>
            <w:tcBorders>
              <w:top w:val="nil"/>
              <w:left w:val="nil"/>
              <w:bottom w:val="single" w:sz="4" w:space="0" w:color="auto"/>
              <w:right w:val="single" w:sz="4" w:space="0" w:color="auto"/>
            </w:tcBorders>
            <w:shd w:val="clear" w:color="000000" w:fill="FFFFFF"/>
            <w:vAlign w:val="center"/>
            <w:hideMark/>
          </w:tcPr>
          <w:p w14:paraId="612FCE1F" w14:textId="77777777" w:rsidR="00F71640" w:rsidRPr="002C119E" w:rsidRDefault="00F71640" w:rsidP="00C87CFF">
            <w:pPr>
              <w:spacing w:before="0" w:after="0" w:line="240" w:lineRule="auto"/>
              <w:jc w:val="right"/>
              <w:rPr>
                <w:rFonts w:cs="Times New Roman"/>
                <w:lang w:eastAsia="el-GR"/>
              </w:rPr>
            </w:pPr>
            <w:r w:rsidRPr="002C119E">
              <w:rPr>
                <w:lang w:eastAsia="el-GR"/>
              </w:rPr>
              <w:t>1.789</w:t>
            </w:r>
          </w:p>
        </w:tc>
        <w:tc>
          <w:tcPr>
            <w:tcW w:w="1346" w:type="dxa"/>
            <w:tcBorders>
              <w:top w:val="nil"/>
              <w:left w:val="nil"/>
              <w:bottom w:val="single" w:sz="4" w:space="0" w:color="auto"/>
              <w:right w:val="single" w:sz="4" w:space="0" w:color="auto"/>
            </w:tcBorders>
            <w:shd w:val="clear" w:color="000000" w:fill="FFFFFF"/>
            <w:vAlign w:val="center"/>
            <w:hideMark/>
          </w:tcPr>
          <w:p w14:paraId="0203728D" w14:textId="77777777" w:rsidR="00F71640" w:rsidRPr="002C119E" w:rsidRDefault="00F71640" w:rsidP="00C87CFF">
            <w:pPr>
              <w:spacing w:before="0" w:after="0" w:line="240" w:lineRule="auto"/>
              <w:jc w:val="right"/>
              <w:rPr>
                <w:rFonts w:cs="Times New Roman"/>
                <w:lang w:eastAsia="el-GR"/>
              </w:rPr>
            </w:pPr>
            <w:r w:rsidRPr="002C119E">
              <w:rPr>
                <w:lang w:eastAsia="el-GR"/>
              </w:rPr>
              <w:t>1.124</w:t>
            </w:r>
          </w:p>
        </w:tc>
        <w:tc>
          <w:tcPr>
            <w:tcW w:w="1345" w:type="dxa"/>
            <w:tcBorders>
              <w:top w:val="nil"/>
              <w:left w:val="nil"/>
              <w:bottom w:val="single" w:sz="4" w:space="0" w:color="auto"/>
              <w:right w:val="single" w:sz="4" w:space="0" w:color="auto"/>
            </w:tcBorders>
            <w:shd w:val="clear" w:color="000000" w:fill="FFFFFF"/>
            <w:vAlign w:val="center"/>
            <w:hideMark/>
          </w:tcPr>
          <w:p w14:paraId="594E454A" w14:textId="77777777" w:rsidR="00F71640" w:rsidRPr="002C119E" w:rsidRDefault="00F71640" w:rsidP="00C87CFF">
            <w:pPr>
              <w:spacing w:before="0" w:after="0" w:line="240" w:lineRule="auto"/>
              <w:jc w:val="right"/>
              <w:rPr>
                <w:rFonts w:cs="Times New Roman"/>
                <w:lang w:eastAsia="el-GR"/>
              </w:rPr>
            </w:pPr>
            <w:r w:rsidRPr="002C119E">
              <w:rPr>
                <w:lang w:eastAsia="el-GR"/>
              </w:rPr>
              <w:t>466</w:t>
            </w:r>
          </w:p>
        </w:tc>
        <w:tc>
          <w:tcPr>
            <w:tcW w:w="1346" w:type="dxa"/>
            <w:tcBorders>
              <w:top w:val="nil"/>
              <w:left w:val="nil"/>
              <w:bottom w:val="single" w:sz="4" w:space="0" w:color="auto"/>
              <w:right w:val="single" w:sz="4" w:space="0" w:color="auto"/>
            </w:tcBorders>
            <w:shd w:val="clear" w:color="000000" w:fill="FFFFFF"/>
            <w:vAlign w:val="center"/>
            <w:hideMark/>
          </w:tcPr>
          <w:p w14:paraId="2AC51F53" w14:textId="77777777" w:rsidR="00F71640" w:rsidRPr="002C119E" w:rsidRDefault="00F71640" w:rsidP="00C87CFF">
            <w:pPr>
              <w:spacing w:before="0" w:after="0" w:line="240" w:lineRule="auto"/>
              <w:jc w:val="right"/>
              <w:rPr>
                <w:rFonts w:cs="Times New Roman"/>
                <w:lang w:eastAsia="el-GR"/>
              </w:rPr>
            </w:pPr>
            <w:r w:rsidRPr="002C119E">
              <w:rPr>
                <w:lang w:eastAsia="el-GR"/>
              </w:rPr>
              <w:t>256</w:t>
            </w:r>
          </w:p>
        </w:tc>
        <w:tc>
          <w:tcPr>
            <w:tcW w:w="1204" w:type="dxa"/>
            <w:tcBorders>
              <w:top w:val="nil"/>
              <w:left w:val="nil"/>
              <w:bottom w:val="single" w:sz="4" w:space="0" w:color="auto"/>
              <w:right w:val="single" w:sz="4" w:space="0" w:color="auto"/>
            </w:tcBorders>
            <w:shd w:val="clear" w:color="000000" w:fill="FFFFFF"/>
            <w:vAlign w:val="center"/>
            <w:hideMark/>
          </w:tcPr>
          <w:p w14:paraId="674F6BCC" w14:textId="77777777" w:rsidR="00F71640" w:rsidRPr="002C119E" w:rsidRDefault="00F71640" w:rsidP="00C87CFF">
            <w:pPr>
              <w:spacing w:before="0" w:after="0" w:line="240" w:lineRule="auto"/>
              <w:jc w:val="right"/>
              <w:rPr>
                <w:rFonts w:cs="Times New Roman"/>
                <w:lang w:eastAsia="el-GR"/>
              </w:rPr>
            </w:pPr>
            <w:r w:rsidRPr="002C119E">
              <w:rPr>
                <w:lang w:eastAsia="el-GR"/>
              </w:rPr>
              <w:t>13</w:t>
            </w:r>
          </w:p>
        </w:tc>
      </w:tr>
      <w:tr w:rsidR="00F71640" w:rsidRPr="002C119E" w14:paraId="12C7ECC3" w14:textId="77777777" w:rsidTr="00C87CFF">
        <w:trPr>
          <w:trHeight w:val="229"/>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020A88BE" w14:textId="77777777" w:rsidR="00F71640" w:rsidRPr="002C119E" w:rsidRDefault="00F71640" w:rsidP="00C87CFF">
            <w:pPr>
              <w:spacing w:before="0" w:after="0" w:line="240" w:lineRule="auto"/>
              <w:jc w:val="left"/>
              <w:rPr>
                <w:lang w:eastAsia="el-GR"/>
              </w:rPr>
            </w:pPr>
            <w:r w:rsidRPr="002C119E">
              <w:rPr>
                <w:lang w:eastAsia="el-GR"/>
              </w:rPr>
              <w:t>Γ</w:t>
            </w:r>
          </w:p>
        </w:tc>
        <w:tc>
          <w:tcPr>
            <w:tcW w:w="1345" w:type="dxa"/>
            <w:tcBorders>
              <w:top w:val="nil"/>
              <w:left w:val="nil"/>
              <w:bottom w:val="single" w:sz="4" w:space="0" w:color="auto"/>
              <w:right w:val="single" w:sz="4" w:space="0" w:color="auto"/>
            </w:tcBorders>
            <w:shd w:val="clear" w:color="000000" w:fill="FFFFFF"/>
            <w:vAlign w:val="center"/>
            <w:hideMark/>
          </w:tcPr>
          <w:p w14:paraId="692CA2E2" w14:textId="77777777" w:rsidR="00F71640" w:rsidRPr="002C119E" w:rsidRDefault="00F71640" w:rsidP="00C87CFF">
            <w:pPr>
              <w:spacing w:before="0" w:after="0" w:line="240" w:lineRule="auto"/>
              <w:jc w:val="right"/>
              <w:rPr>
                <w:rFonts w:cs="Times New Roman"/>
                <w:lang w:eastAsia="el-GR"/>
              </w:rPr>
            </w:pPr>
            <w:r w:rsidRPr="002C119E">
              <w:rPr>
                <w:lang w:eastAsia="el-GR"/>
              </w:rPr>
              <w:t>43.000</w:t>
            </w:r>
          </w:p>
        </w:tc>
        <w:tc>
          <w:tcPr>
            <w:tcW w:w="1346" w:type="dxa"/>
            <w:tcBorders>
              <w:top w:val="nil"/>
              <w:left w:val="nil"/>
              <w:bottom w:val="single" w:sz="4" w:space="0" w:color="auto"/>
              <w:right w:val="single" w:sz="4" w:space="0" w:color="auto"/>
            </w:tcBorders>
            <w:shd w:val="clear" w:color="000000" w:fill="FFFFFF"/>
            <w:vAlign w:val="center"/>
            <w:hideMark/>
          </w:tcPr>
          <w:p w14:paraId="7071AB57" w14:textId="77777777" w:rsidR="00F71640" w:rsidRPr="002C119E" w:rsidRDefault="00F71640" w:rsidP="00C87CFF">
            <w:pPr>
              <w:spacing w:before="0" w:after="0" w:line="240" w:lineRule="auto"/>
              <w:jc w:val="right"/>
              <w:rPr>
                <w:rFonts w:cs="Times New Roman"/>
                <w:lang w:eastAsia="el-GR"/>
              </w:rPr>
            </w:pPr>
            <w:r w:rsidRPr="002C119E">
              <w:rPr>
                <w:lang w:eastAsia="el-GR"/>
              </w:rPr>
              <w:t>16.711</w:t>
            </w:r>
          </w:p>
        </w:tc>
        <w:tc>
          <w:tcPr>
            <w:tcW w:w="1346" w:type="dxa"/>
            <w:tcBorders>
              <w:top w:val="nil"/>
              <w:left w:val="nil"/>
              <w:bottom w:val="single" w:sz="4" w:space="0" w:color="auto"/>
              <w:right w:val="single" w:sz="4" w:space="0" w:color="auto"/>
            </w:tcBorders>
            <w:shd w:val="clear" w:color="000000" w:fill="FFFFFF"/>
            <w:vAlign w:val="center"/>
            <w:hideMark/>
          </w:tcPr>
          <w:p w14:paraId="53C72762" w14:textId="77777777" w:rsidR="00F71640" w:rsidRPr="002C119E" w:rsidRDefault="00F71640" w:rsidP="00C87CFF">
            <w:pPr>
              <w:spacing w:before="0" w:after="0" w:line="240" w:lineRule="auto"/>
              <w:jc w:val="right"/>
              <w:rPr>
                <w:rFonts w:cs="Times New Roman"/>
                <w:lang w:eastAsia="el-GR"/>
              </w:rPr>
            </w:pPr>
            <w:r w:rsidRPr="002C119E">
              <w:rPr>
                <w:lang w:eastAsia="el-GR"/>
              </w:rPr>
              <w:t>11.225</w:t>
            </w:r>
          </w:p>
        </w:tc>
        <w:tc>
          <w:tcPr>
            <w:tcW w:w="1345" w:type="dxa"/>
            <w:tcBorders>
              <w:top w:val="nil"/>
              <w:left w:val="nil"/>
              <w:bottom w:val="single" w:sz="4" w:space="0" w:color="auto"/>
              <w:right w:val="single" w:sz="4" w:space="0" w:color="auto"/>
            </w:tcBorders>
            <w:shd w:val="clear" w:color="000000" w:fill="FFFFFF"/>
            <w:vAlign w:val="center"/>
            <w:hideMark/>
          </w:tcPr>
          <w:p w14:paraId="1A3EC155" w14:textId="77777777" w:rsidR="00F71640" w:rsidRPr="002C119E" w:rsidRDefault="00F71640" w:rsidP="00C87CFF">
            <w:pPr>
              <w:spacing w:before="0" w:after="0" w:line="240" w:lineRule="auto"/>
              <w:jc w:val="right"/>
              <w:rPr>
                <w:lang w:eastAsia="el-GR"/>
              </w:rPr>
            </w:pPr>
            <w:r w:rsidRPr="002C119E">
              <w:rPr>
                <w:lang w:eastAsia="el-GR"/>
              </w:rPr>
              <w:t>7530</w:t>
            </w:r>
          </w:p>
        </w:tc>
        <w:tc>
          <w:tcPr>
            <w:tcW w:w="1346" w:type="dxa"/>
            <w:tcBorders>
              <w:top w:val="nil"/>
              <w:left w:val="nil"/>
              <w:bottom w:val="single" w:sz="4" w:space="0" w:color="auto"/>
              <w:right w:val="single" w:sz="4" w:space="0" w:color="auto"/>
            </w:tcBorders>
            <w:shd w:val="clear" w:color="000000" w:fill="FFFFFF"/>
            <w:vAlign w:val="center"/>
            <w:hideMark/>
          </w:tcPr>
          <w:p w14:paraId="748B8E7A" w14:textId="77777777" w:rsidR="00F71640" w:rsidRPr="002C119E" w:rsidRDefault="00F71640" w:rsidP="00C87CFF">
            <w:pPr>
              <w:spacing w:before="0" w:after="0" w:line="240" w:lineRule="auto"/>
              <w:jc w:val="right"/>
              <w:rPr>
                <w:rFonts w:cs="Times New Roman"/>
                <w:lang w:eastAsia="el-GR"/>
              </w:rPr>
            </w:pPr>
            <w:r w:rsidRPr="002C119E">
              <w:rPr>
                <w:lang w:eastAsia="el-GR"/>
              </w:rPr>
              <w:t>4.960</w:t>
            </w:r>
          </w:p>
        </w:tc>
        <w:tc>
          <w:tcPr>
            <w:tcW w:w="1204" w:type="dxa"/>
            <w:tcBorders>
              <w:top w:val="nil"/>
              <w:left w:val="nil"/>
              <w:bottom w:val="single" w:sz="4" w:space="0" w:color="auto"/>
              <w:right w:val="single" w:sz="4" w:space="0" w:color="auto"/>
            </w:tcBorders>
            <w:shd w:val="clear" w:color="000000" w:fill="FFFFFF"/>
            <w:vAlign w:val="center"/>
            <w:hideMark/>
          </w:tcPr>
          <w:p w14:paraId="28E5CBCB" w14:textId="77777777" w:rsidR="00F71640" w:rsidRPr="002C119E" w:rsidRDefault="00F71640" w:rsidP="00C87CFF">
            <w:pPr>
              <w:spacing w:before="0" w:after="0" w:line="240" w:lineRule="auto"/>
              <w:jc w:val="right"/>
              <w:rPr>
                <w:rFonts w:cs="Times New Roman"/>
                <w:lang w:eastAsia="el-GR"/>
              </w:rPr>
            </w:pPr>
            <w:r w:rsidRPr="002C119E">
              <w:rPr>
                <w:lang w:eastAsia="el-GR"/>
              </w:rPr>
              <w:t>262</w:t>
            </w:r>
          </w:p>
        </w:tc>
      </w:tr>
      <w:tr w:rsidR="00F71640" w:rsidRPr="002C119E" w14:paraId="0074C30E" w14:textId="77777777" w:rsidTr="00C87CFF">
        <w:trPr>
          <w:trHeight w:val="287"/>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1AD2A94B" w14:textId="77777777" w:rsidR="00F71640" w:rsidRPr="002C119E" w:rsidRDefault="00F71640" w:rsidP="00C87CFF">
            <w:pPr>
              <w:spacing w:before="0" w:after="0" w:line="240" w:lineRule="auto"/>
              <w:jc w:val="left"/>
              <w:rPr>
                <w:lang w:eastAsia="el-GR"/>
              </w:rPr>
            </w:pPr>
            <w:r w:rsidRPr="002C119E">
              <w:rPr>
                <w:lang w:eastAsia="el-GR"/>
              </w:rPr>
              <w:t>Δ</w:t>
            </w:r>
          </w:p>
        </w:tc>
        <w:tc>
          <w:tcPr>
            <w:tcW w:w="1345" w:type="dxa"/>
            <w:tcBorders>
              <w:top w:val="nil"/>
              <w:left w:val="nil"/>
              <w:bottom w:val="single" w:sz="4" w:space="0" w:color="auto"/>
              <w:right w:val="single" w:sz="4" w:space="0" w:color="auto"/>
            </w:tcBorders>
            <w:shd w:val="clear" w:color="000000" w:fill="FFFFFF"/>
            <w:vAlign w:val="center"/>
            <w:hideMark/>
          </w:tcPr>
          <w:p w14:paraId="1EB55B6B" w14:textId="77777777" w:rsidR="00F71640" w:rsidRPr="002C119E" w:rsidRDefault="00F71640" w:rsidP="00C87CFF">
            <w:pPr>
              <w:spacing w:before="0" w:after="0" w:line="240" w:lineRule="auto"/>
              <w:jc w:val="right"/>
              <w:rPr>
                <w:rFonts w:cs="Times New Roman"/>
                <w:lang w:eastAsia="el-GR"/>
              </w:rPr>
            </w:pPr>
            <w:r w:rsidRPr="002C119E">
              <w:rPr>
                <w:lang w:eastAsia="el-GR"/>
              </w:rPr>
              <w:t>34.150</w:t>
            </w:r>
          </w:p>
        </w:tc>
        <w:tc>
          <w:tcPr>
            <w:tcW w:w="1346" w:type="dxa"/>
            <w:tcBorders>
              <w:top w:val="nil"/>
              <w:left w:val="nil"/>
              <w:bottom w:val="single" w:sz="4" w:space="0" w:color="auto"/>
              <w:right w:val="single" w:sz="4" w:space="0" w:color="auto"/>
            </w:tcBorders>
            <w:shd w:val="clear" w:color="000000" w:fill="FFFFFF"/>
            <w:vAlign w:val="center"/>
            <w:hideMark/>
          </w:tcPr>
          <w:p w14:paraId="2E80E20D" w14:textId="77777777" w:rsidR="00F71640" w:rsidRPr="002C119E" w:rsidRDefault="00F71640" w:rsidP="00C87CFF">
            <w:pPr>
              <w:spacing w:before="0" w:after="0" w:line="240" w:lineRule="auto"/>
              <w:jc w:val="right"/>
              <w:rPr>
                <w:rFonts w:cs="Times New Roman"/>
                <w:lang w:eastAsia="el-GR"/>
              </w:rPr>
            </w:pPr>
            <w:r w:rsidRPr="002C119E">
              <w:rPr>
                <w:lang w:eastAsia="el-GR"/>
              </w:rPr>
              <w:t>24.352</w:t>
            </w:r>
          </w:p>
        </w:tc>
        <w:tc>
          <w:tcPr>
            <w:tcW w:w="1346" w:type="dxa"/>
            <w:tcBorders>
              <w:top w:val="nil"/>
              <w:left w:val="nil"/>
              <w:bottom w:val="single" w:sz="4" w:space="0" w:color="auto"/>
              <w:right w:val="single" w:sz="4" w:space="0" w:color="auto"/>
            </w:tcBorders>
            <w:shd w:val="clear" w:color="000000" w:fill="FFFFFF"/>
            <w:vAlign w:val="center"/>
            <w:hideMark/>
          </w:tcPr>
          <w:p w14:paraId="216CDFD2" w14:textId="77777777" w:rsidR="00F71640" w:rsidRPr="002C119E" w:rsidRDefault="00F71640" w:rsidP="00C87CFF">
            <w:pPr>
              <w:spacing w:before="0" w:after="0" w:line="240" w:lineRule="auto"/>
              <w:jc w:val="right"/>
              <w:rPr>
                <w:rFonts w:cs="Times New Roman"/>
                <w:lang w:eastAsia="el-GR"/>
              </w:rPr>
            </w:pPr>
            <w:r w:rsidRPr="002C119E">
              <w:rPr>
                <w:lang w:eastAsia="el-GR"/>
              </w:rPr>
              <w:t>19.908</w:t>
            </w:r>
          </w:p>
        </w:tc>
        <w:tc>
          <w:tcPr>
            <w:tcW w:w="1345" w:type="dxa"/>
            <w:tcBorders>
              <w:top w:val="nil"/>
              <w:left w:val="nil"/>
              <w:bottom w:val="single" w:sz="4" w:space="0" w:color="auto"/>
              <w:right w:val="single" w:sz="4" w:space="0" w:color="auto"/>
            </w:tcBorders>
            <w:shd w:val="clear" w:color="000000" w:fill="FFFFFF"/>
            <w:vAlign w:val="center"/>
            <w:hideMark/>
          </w:tcPr>
          <w:p w14:paraId="68D33F9F" w14:textId="77777777" w:rsidR="00F71640" w:rsidRPr="002C119E" w:rsidRDefault="00F71640" w:rsidP="00C87CFF">
            <w:pPr>
              <w:spacing w:before="0" w:after="0" w:line="240" w:lineRule="auto"/>
              <w:jc w:val="right"/>
              <w:rPr>
                <w:lang w:eastAsia="el-GR"/>
              </w:rPr>
            </w:pPr>
            <w:r w:rsidRPr="002C119E">
              <w:rPr>
                <w:lang w:eastAsia="el-GR"/>
              </w:rPr>
              <w:t>17.707</w:t>
            </w:r>
          </w:p>
        </w:tc>
        <w:tc>
          <w:tcPr>
            <w:tcW w:w="1346" w:type="dxa"/>
            <w:tcBorders>
              <w:top w:val="nil"/>
              <w:left w:val="nil"/>
              <w:bottom w:val="single" w:sz="4" w:space="0" w:color="auto"/>
              <w:right w:val="single" w:sz="4" w:space="0" w:color="auto"/>
            </w:tcBorders>
            <w:shd w:val="clear" w:color="000000" w:fill="FFFFFF"/>
            <w:vAlign w:val="center"/>
            <w:hideMark/>
          </w:tcPr>
          <w:p w14:paraId="0B3CA9C8" w14:textId="77777777" w:rsidR="00F71640" w:rsidRPr="002C119E" w:rsidRDefault="00F71640" w:rsidP="00C87CFF">
            <w:pPr>
              <w:spacing w:before="0" w:after="0" w:line="240" w:lineRule="auto"/>
              <w:jc w:val="right"/>
              <w:rPr>
                <w:rFonts w:cs="Times New Roman"/>
                <w:lang w:eastAsia="el-GR"/>
              </w:rPr>
            </w:pPr>
            <w:r w:rsidRPr="002C119E">
              <w:rPr>
                <w:lang w:eastAsia="el-GR"/>
              </w:rPr>
              <w:t>11.439</w:t>
            </w:r>
          </w:p>
        </w:tc>
        <w:tc>
          <w:tcPr>
            <w:tcW w:w="1204" w:type="dxa"/>
            <w:tcBorders>
              <w:top w:val="nil"/>
              <w:left w:val="nil"/>
              <w:bottom w:val="single" w:sz="4" w:space="0" w:color="auto"/>
              <w:right w:val="single" w:sz="4" w:space="0" w:color="auto"/>
            </w:tcBorders>
            <w:shd w:val="clear" w:color="000000" w:fill="FFFFFF"/>
            <w:vAlign w:val="center"/>
            <w:hideMark/>
          </w:tcPr>
          <w:p w14:paraId="314A0A2A" w14:textId="77777777" w:rsidR="00F71640" w:rsidRPr="002C119E" w:rsidRDefault="00F71640" w:rsidP="00C87CFF">
            <w:pPr>
              <w:spacing w:before="0" w:after="0" w:line="240" w:lineRule="auto"/>
              <w:jc w:val="right"/>
              <w:rPr>
                <w:rFonts w:cs="Times New Roman"/>
                <w:lang w:eastAsia="el-GR"/>
              </w:rPr>
            </w:pPr>
            <w:r w:rsidRPr="002C119E">
              <w:rPr>
                <w:lang w:eastAsia="el-GR"/>
              </w:rPr>
              <w:t>609</w:t>
            </w:r>
          </w:p>
        </w:tc>
      </w:tr>
      <w:tr w:rsidR="00F71640" w:rsidRPr="002C119E" w14:paraId="0CBF8343" w14:textId="77777777" w:rsidTr="00C87CFF">
        <w:trPr>
          <w:trHeight w:val="132"/>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1A6BA2BD" w14:textId="77777777" w:rsidR="00F71640" w:rsidRPr="002C119E" w:rsidRDefault="00F71640" w:rsidP="00C87CFF">
            <w:pPr>
              <w:spacing w:before="0" w:after="0" w:line="240" w:lineRule="auto"/>
              <w:jc w:val="left"/>
              <w:rPr>
                <w:lang w:eastAsia="el-GR"/>
              </w:rPr>
            </w:pPr>
            <w:r w:rsidRPr="002C119E">
              <w:rPr>
                <w:lang w:eastAsia="el-GR"/>
              </w:rPr>
              <w:t>Ε</w:t>
            </w:r>
          </w:p>
        </w:tc>
        <w:tc>
          <w:tcPr>
            <w:tcW w:w="1345" w:type="dxa"/>
            <w:tcBorders>
              <w:top w:val="nil"/>
              <w:left w:val="nil"/>
              <w:bottom w:val="single" w:sz="4" w:space="0" w:color="auto"/>
              <w:right w:val="single" w:sz="4" w:space="0" w:color="auto"/>
            </w:tcBorders>
            <w:shd w:val="clear" w:color="000000" w:fill="FFFFFF"/>
            <w:vAlign w:val="center"/>
            <w:hideMark/>
          </w:tcPr>
          <w:p w14:paraId="2E4EFE69" w14:textId="77777777" w:rsidR="00F71640" w:rsidRPr="002C119E" w:rsidRDefault="00F71640" w:rsidP="00C87CFF">
            <w:pPr>
              <w:spacing w:before="0" w:after="0" w:line="240" w:lineRule="auto"/>
              <w:jc w:val="right"/>
              <w:rPr>
                <w:rFonts w:cs="Times New Roman"/>
                <w:lang w:eastAsia="el-GR"/>
              </w:rPr>
            </w:pPr>
            <w:r w:rsidRPr="002C119E">
              <w:rPr>
                <w:lang w:eastAsia="el-GR"/>
              </w:rPr>
              <w:t>10.405</w:t>
            </w:r>
          </w:p>
        </w:tc>
        <w:tc>
          <w:tcPr>
            <w:tcW w:w="1346" w:type="dxa"/>
            <w:tcBorders>
              <w:top w:val="nil"/>
              <w:left w:val="nil"/>
              <w:bottom w:val="single" w:sz="4" w:space="0" w:color="auto"/>
              <w:right w:val="single" w:sz="4" w:space="0" w:color="auto"/>
            </w:tcBorders>
            <w:shd w:val="clear" w:color="000000" w:fill="FFFFFF"/>
            <w:vAlign w:val="center"/>
            <w:hideMark/>
          </w:tcPr>
          <w:p w14:paraId="2782C7A4" w14:textId="77777777" w:rsidR="00F71640" w:rsidRPr="002C119E" w:rsidRDefault="00F71640" w:rsidP="00C87CFF">
            <w:pPr>
              <w:spacing w:before="0" w:after="0" w:line="240" w:lineRule="auto"/>
              <w:jc w:val="right"/>
              <w:rPr>
                <w:rFonts w:cs="Times New Roman"/>
                <w:lang w:eastAsia="el-GR"/>
              </w:rPr>
            </w:pPr>
            <w:r w:rsidRPr="002C119E">
              <w:rPr>
                <w:lang w:eastAsia="el-GR"/>
              </w:rPr>
              <w:t>12.499</w:t>
            </w:r>
          </w:p>
        </w:tc>
        <w:tc>
          <w:tcPr>
            <w:tcW w:w="1346" w:type="dxa"/>
            <w:tcBorders>
              <w:top w:val="nil"/>
              <w:left w:val="nil"/>
              <w:bottom w:val="single" w:sz="4" w:space="0" w:color="auto"/>
              <w:right w:val="single" w:sz="4" w:space="0" w:color="auto"/>
            </w:tcBorders>
            <w:shd w:val="clear" w:color="000000" w:fill="FFFFFF"/>
            <w:vAlign w:val="center"/>
            <w:hideMark/>
          </w:tcPr>
          <w:p w14:paraId="5F31B754" w14:textId="77777777" w:rsidR="00F71640" w:rsidRPr="002C119E" w:rsidRDefault="00F71640" w:rsidP="00C87CFF">
            <w:pPr>
              <w:spacing w:before="0" w:after="0" w:line="240" w:lineRule="auto"/>
              <w:jc w:val="right"/>
              <w:rPr>
                <w:rFonts w:cs="Times New Roman"/>
                <w:lang w:eastAsia="el-GR"/>
              </w:rPr>
            </w:pPr>
            <w:r w:rsidRPr="002C119E">
              <w:rPr>
                <w:lang w:eastAsia="el-GR"/>
              </w:rPr>
              <w:t>18.838</w:t>
            </w:r>
          </w:p>
        </w:tc>
        <w:tc>
          <w:tcPr>
            <w:tcW w:w="1345" w:type="dxa"/>
            <w:tcBorders>
              <w:top w:val="nil"/>
              <w:left w:val="nil"/>
              <w:bottom w:val="single" w:sz="4" w:space="0" w:color="auto"/>
              <w:right w:val="single" w:sz="4" w:space="0" w:color="auto"/>
            </w:tcBorders>
            <w:shd w:val="clear" w:color="000000" w:fill="FFFFFF"/>
            <w:vAlign w:val="center"/>
            <w:hideMark/>
          </w:tcPr>
          <w:p w14:paraId="1153046C" w14:textId="77777777" w:rsidR="00F71640" w:rsidRPr="002C119E" w:rsidRDefault="00F71640" w:rsidP="00C87CFF">
            <w:pPr>
              <w:spacing w:before="0" w:after="0" w:line="240" w:lineRule="auto"/>
              <w:jc w:val="right"/>
              <w:rPr>
                <w:lang w:eastAsia="el-GR"/>
              </w:rPr>
            </w:pPr>
            <w:r w:rsidRPr="002C119E">
              <w:rPr>
                <w:lang w:eastAsia="el-GR"/>
              </w:rPr>
              <w:t>25.118</w:t>
            </w:r>
          </w:p>
        </w:tc>
        <w:tc>
          <w:tcPr>
            <w:tcW w:w="1346" w:type="dxa"/>
            <w:tcBorders>
              <w:top w:val="nil"/>
              <w:left w:val="nil"/>
              <w:bottom w:val="single" w:sz="4" w:space="0" w:color="auto"/>
              <w:right w:val="single" w:sz="4" w:space="0" w:color="auto"/>
            </w:tcBorders>
            <w:shd w:val="clear" w:color="000000" w:fill="FFFFFF"/>
            <w:vAlign w:val="center"/>
            <w:hideMark/>
          </w:tcPr>
          <w:p w14:paraId="38DD586F" w14:textId="77777777" w:rsidR="00F71640" w:rsidRPr="002C119E" w:rsidRDefault="00F71640" w:rsidP="00C87CFF">
            <w:pPr>
              <w:spacing w:before="0" w:after="0" w:line="240" w:lineRule="auto"/>
              <w:jc w:val="right"/>
              <w:rPr>
                <w:rFonts w:cs="Times New Roman"/>
                <w:lang w:eastAsia="el-GR"/>
              </w:rPr>
            </w:pPr>
            <w:r w:rsidRPr="002C119E">
              <w:rPr>
                <w:lang w:eastAsia="el-GR"/>
              </w:rPr>
              <w:t>15.694</w:t>
            </w:r>
          </w:p>
        </w:tc>
        <w:tc>
          <w:tcPr>
            <w:tcW w:w="1204" w:type="dxa"/>
            <w:tcBorders>
              <w:top w:val="nil"/>
              <w:left w:val="nil"/>
              <w:bottom w:val="single" w:sz="4" w:space="0" w:color="auto"/>
              <w:right w:val="single" w:sz="4" w:space="0" w:color="auto"/>
            </w:tcBorders>
            <w:shd w:val="clear" w:color="000000" w:fill="FFFFFF"/>
            <w:vAlign w:val="center"/>
            <w:hideMark/>
          </w:tcPr>
          <w:p w14:paraId="1E9672D1" w14:textId="77777777" w:rsidR="00F71640" w:rsidRPr="002C119E" w:rsidRDefault="00F71640" w:rsidP="00C87CFF">
            <w:pPr>
              <w:spacing w:before="0" w:after="0" w:line="240" w:lineRule="auto"/>
              <w:jc w:val="right"/>
              <w:rPr>
                <w:rFonts w:cs="Times New Roman"/>
                <w:lang w:eastAsia="el-GR"/>
              </w:rPr>
            </w:pPr>
            <w:r w:rsidRPr="002C119E">
              <w:rPr>
                <w:lang w:eastAsia="el-GR"/>
              </w:rPr>
              <w:t>865</w:t>
            </w:r>
          </w:p>
        </w:tc>
      </w:tr>
      <w:tr w:rsidR="00F71640" w:rsidRPr="002C119E" w14:paraId="6B0873FE" w14:textId="77777777" w:rsidTr="00C87CFF">
        <w:trPr>
          <w:trHeight w:val="196"/>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2A1B51D2" w14:textId="77777777" w:rsidR="00F71640" w:rsidRPr="002C119E" w:rsidRDefault="00F71640" w:rsidP="00C87CFF">
            <w:pPr>
              <w:spacing w:before="0" w:after="0" w:line="240" w:lineRule="auto"/>
              <w:jc w:val="left"/>
              <w:rPr>
                <w:lang w:eastAsia="el-GR"/>
              </w:rPr>
            </w:pPr>
            <w:r w:rsidRPr="002C119E">
              <w:rPr>
                <w:lang w:eastAsia="el-GR"/>
              </w:rPr>
              <w:t>Ζ</w:t>
            </w:r>
          </w:p>
        </w:tc>
        <w:tc>
          <w:tcPr>
            <w:tcW w:w="1345" w:type="dxa"/>
            <w:tcBorders>
              <w:top w:val="nil"/>
              <w:left w:val="nil"/>
              <w:bottom w:val="single" w:sz="4" w:space="0" w:color="auto"/>
              <w:right w:val="single" w:sz="4" w:space="0" w:color="auto"/>
            </w:tcBorders>
            <w:shd w:val="clear" w:color="000000" w:fill="FFFFFF"/>
            <w:vAlign w:val="center"/>
            <w:hideMark/>
          </w:tcPr>
          <w:p w14:paraId="751EACC5" w14:textId="77777777" w:rsidR="00F71640" w:rsidRPr="002C119E" w:rsidRDefault="00F71640" w:rsidP="00C87CFF">
            <w:pPr>
              <w:spacing w:before="0" w:after="0" w:line="240" w:lineRule="auto"/>
              <w:jc w:val="right"/>
              <w:rPr>
                <w:rFonts w:cs="Times New Roman"/>
                <w:lang w:eastAsia="el-GR"/>
              </w:rPr>
            </w:pPr>
            <w:r w:rsidRPr="002C119E">
              <w:rPr>
                <w:lang w:eastAsia="el-GR"/>
              </w:rPr>
              <w:t>2.468</w:t>
            </w:r>
          </w:p>
        </w:tc>
        <w:tc>
          <w:tcPr>
            <w:tcW w:w="1346" w:type="dxa"/>
            <w:tcBorders>
              <w:top w:val="nil"/>
              <w:left w:val="nil"/>
              <w:bottom w:val="single" w:sz="4" w:space="0" w:color="auto"/>
              <w:right w:val="single" w:sz="4" w:space="0" w:color="auto"/>
            </w:tcBorders>
            <w:shd w:val="clear" w:color="000000" w:fill="FFFFFF"/>
            <w:vAlign w:val="center"/>
            <w:hideMark/>
          </w:tcPr>
          <w:p w14:paraId="34D6E659" w14:textId="77777777" w:rsidR="00F71640" w:rsidRPr="002C119E" w:rsidRDefault="00F71640" w:rsidP="00C87CFF">
            <w:pPr>
              <w:spacing w:before="0" w:after="0" w:line="240" w:lineRule="auto"/>
              <w:jc w:val="right"/>
              <w:rPr>
                <w:rFonts w:cs="Times New Roman"/>
                <w:lang w:eastAsia="el-GR"/>
              </w:rPr>
            </w:pPr>
            <w:r w:rsidRPr="002C119E">
              <w:rPr>
                <w:lang w:eastAsia="el-GR"/>
              </w:rPr>
              <w:t>4.045</w:t>
            </w:r>
          </w:p>
        </w:tc>
        <w:tc>
          <w:tcPr>
            <w:tcW w:w="1346" w:type="dxa"/>
            <w:tcBorders>
              <w:top w:val="nil"/>
              <w:left w:val="nil"/>
              <w:bottom w:val="single" w:sz="4" w:space="0" w:color="auto"/>
              <w:right w:val="single" w:sz="4" w:space="0" w:color="auto"/>
            </w:tcBorders>
            <w:shd w:val="clear" w:color="000000" w:fill="FFFFFF"/>
            <w:vAlign w:val="center"/>
            <w:hideMark/>
          </w:tcPr>
          <w:p w14:paraId="334FA3A6" w14:textId="77777777" w:rsidR="00F71640" w:rsidRPr="002C119E" w:rsidRDefault="00F71640" w:rsidP="00C87CFF">
            <w:pPr>
              <w:spacing w:before="0" w:after="0" w:line="240" w:lineRule="auto"/>
              <w:jc w:val="right"/>
              <w:rPr>
                <w:rFonts w:cs="Times New Roman"/>
                <w:lang w:eastAsia="el-GR"/>
              </w:rPr>
            </w:pPr>
            <w:r w:rsidRPr="002C119E">
              <w:rPr>
                <w:lang w:eastAsia="el-GR"/>
              </w:rPr>
              <w:t>11.307</w:t>
            </w:r>
          </w:p>
        </w:tc>
        <w:tc>
          <w:tcPr>
            <w:tcW w:w="1345" w:type="dxa"/>
            <w:tcBorders>
              <w:top w:val="nil"/>
              <w:left w:val="nil"/>
              <w:bottom w:val="single" w:sz="4" w:space="0" w:color="auto"/>
              <w:right w:val="single" w:sz="4" w:space="0" w:color="auto"/>
            </w:tcBorders>
            <w:shd w:val="clear" w:color="000000" w:fill="FFFFFF"/>
            <w:vAlign w:val="center"/>
            <w:hideMark/>
          </w:tcPr>
          <w:p w14:paraId="1145DD71" w14:textId="77777777" w:rsidR="00F71640" w:rsidRPr="002C119E" w:rsidRDefault="00F71640" w:rsidP="00C87CFF">
            <w:pPr>
              <w:spacing w:before="0" w:after="0" w:line="240" w:lineRule="auto"/>
              <w:jc w:val="right"/>
              <w:rPr>
                <w:lang w:eastAsia="el-GR"/>
              </w:rPr>
            </w:pPr>
            <w:r w:rsidRPr="002C119E">
              <w:rPr>
                <w:lang w:eastAsia="el-GR"/>
              </w:rPr>
              <w:t>33.755</w:t>
            </w:r>
          </w:p>
        </w:tc>
        <w:tc>
          <w:tcPr>
            <w:tcW w:w="1346" w:type="dxa"/>
            <w:tcBorders>
              <w:top w:val="nil"/>
              <w:left w:val="nil"/>
              <w:bottom w:val="single" w:sz="4" w:space="0" w:color="auto"/>
              <w:right w:val="single" w:sz="4" w:space="0" w:color="auto"/>
            </w:tcBorders>
            <w:shd w:val="clear" w:color="000000" w:fill="FFFFFF"/>
            <w:vAlign w:val="center"/>
            <w:hideMark/>
          </w:tcPr>
          <w:p w14:paraId="404CEC20" w14:textId="77777777" w:rsidR="00F71640" w:rsidRPr="002C119E" w:rsidRDefault="00F71640" w:rsidP="00C87CFF">
            <w:pPr>
              <w:spacing w:before="0" w:after="0" w:line="240" w:lineRule="auto"/>
              <w:jc w:val="right"/>
              <w:rPr>
                <w:rFonts w:cs="Times New Roman"/>
                <w:lang w:eastAsia="el-GR"/>
              </w:rPr>
            </w:pPr>
            <w:r w:rsidRPr="002C119E">
              <w:rPr>
                <w:lang w:eastAsia="el-GR"/>
              </w:rPr>
              <w:t>22.475</w:t>
            </w:r>
          </w:p>
        </w:tc>
        <w:tc>
          <w:tcPr>
            <w:tcW w:w="1204" w:type="dxa"/>
            <w:tcBorders>
              <w:top w:val="nil"/>
              <w:left w:val="nil"/>
              <w:bottom w:val="single" w:sz="4" w:space="0" w:color="auto"/>
              <w:right w:val="single" w:sz="4" w:space="0" w:color="auto"/>
            </w:tcBorders>
            <w:shd w:val="clear" w:color="000000" w:fill="FFFFFF"/>
            <w:vAlign w:val="center"/>
            <w:hideMark/>
          </w:tcPr>
          <w:p w14:paraId="620B6AAE" w14:textId="77777777" w:rsidR="00F71640" w:rsidRPr="002C119E" w:rsidRDefault="00F71640" w:rsidP="00C87CFF">
            <w:pPr>
              <w:spacing w:before="0" w:after="0" w:line="240" w:lineRule="auto"/>
              <w:jc w:val="right"/>
              <w:rPr>
                <w:rFonts w:cs="Times New Roman"/>
                <w:lang w:eastAsia="el-GR"/>
              </w:rPr>
            </w:pPr>
            <w:r w:rsidRPr="002C119E">
              <w:rPr>
                <w:lang w:eastAsia="el-GR"/>
              </w:rPr>
              <w:t>1.269</w:t>
            </w:r>
          </w:p>
        </w:tc>
      </w:tr>
      <w:tr w:rsidR="00F71640" w:rsidRPr="002C119E" w14:paraId="3A991B87" w14:textId="77777777" w:rsidTr="00C87CFF">
        <w:trPr>
          <w:trHeight w:val="90"/>
        </w:trPr>
        <w:tc>
          <w:tcPr>
            <w:tcW w:w="588" w:type="dxa"/>
            <w:tcBorders>
              <w:top w:val="nil"/>
              <w:left w:val="single" w:sz="4" w:space="0" w:color="auto"/>
              <w:bottom w:val="single" w:sz="4" w:space="0" w:color="auto"/>
              <w:right w:val="single" w:sz="4" w:space="0" w:color="auto"/>
            </w:tcBorders>
            <w:shd w:val="clear" w:color="000000" w:fill="FFFFFF"/>
            <w:vAlign w:val="center"/>
            <w:hideMark/>
          </w:tcPr>
          <w:p w14:paraId="3E56CEDC" w14:textId="77777777" w:rsidR="00F71640" w:rsidRPr="002C119E" w:rsidRDefault="00F71640" w:rsidP="00C87CFF">
            <w:pPr>
              <w:spacing w:before="0" w:after="0" w:line="240" w:lineRule="auto"/>
              <w:jc w:val="left"/>
              <w:rPr>
                <w:lang w:eastAsia="el-GR"/>
              </w:rPr>
            </w:pPr>
            <w:r w:rsidRPr="002C119E">
              <w:rPr>
                <w:lang w:eastAsia="el-GR"/>
              </w:rPr>
              <w:t>Η</w:t>
            </w:r>
          </w:p>
        </w:tc>
        <w:tc>
          <w:tcPr>
            <w:tcW w:w="1345" w:type="dxa"/>
            <w:tcBorders>
              <w:top w:val="nil"/>
              <w:left w:val="nil"/>
              <w:bottom w:val="single" w:sz="4" w:space="0" w:color="auto"/>
              <w:right w:val="single" w:sz="4" w:space="0" w:color="auto"/>
            </w:tcBorders>
            <w:shd w:val="clear" w:color="000000" w:fill="FFFFFF"/>
            <w:vAlign w:val="center"/>
            <w:hideMark/>
          </w:tcPr>
          <w:p w14:paraId="234AA3DE" w14:textId="77777777" w:rsidR="00F71640" w:rsidRPr="002C119E" w:rsidRDefault="00F71640" w:rsidP="00C87CFF">
            <w:pPr>
              <w:spacing w:before="0" w:after="0" w:line="240" w:lineRule="auto"/>
              <w:jc w:val="right"/>
              <w:rPr>
                <w:rFonts w:cs="Times New Roman"/>
                <w:lang w:eastAsia="el-GR"/>
              </w:rPr>
            </w:pPr>
            <w:r w:rsidRPr="002C119E">
              <w:rPr>
                <w:lang w:eastAsia="el-GR"/>
              </w:rPr>
              <w:t>1.943</w:t>
            </w:r>
          </w:p>
        </w:tc>
        <w:tc>
          <w:tcPr>
            <w:tcW w:w="1346" w:type="dxa"/>
            <w:tcBorders>
              <w:top w:val="nil"/>
              <w:left w:val="nil"/>
              <w:bottom w:val="single" w:sz="4" w:space="0" w:color="auto"/>
              <w:right w:val="single" w:sz="4" w:space="0" w:color="auto"/>
            </w:tcBorders>
            <w:shd w:val="clear" w:color="000000" w:fill="FFFFFF"/>
            <w:vAlign w:val="center"/>
            <w:hideMark/>
          </w:tcPr>
          <w:p w14:paraId="017D3C3E" w14:textId="77777777" w:rsidR="00F71640" w:rsidRPr="002C119E" w:rsidRDefault="00F71640" w:rsidP="00C87CFF">
            <w:pPr>
              <w:spacing w:before="0" w:after="0" w:line="240" w:lineRule="auto"/>
              <w:jc w:val="right"/>
              <w:rPr>
                <w:rFonts w:cs="Times New Roman"/>
                <w:lang w:eastAsia="el-GR"/>
              </w:rPr>
            </w:pPr>
            <w:r w:rsidRPr="002C119E">
              <w:rPr>
                <w:lang w:eastAsia="el-GR"/>
              </w:rPr>
              <w:t>3.313</w:t>
            </w:r>
          </w:p>
        </w:tc>
        <w:tc>
          <w:tcPr>
            <w:tcW w:w="1346" w:type="dxa"/>
            <w:tcBorders>
              <w:top w:val="nil"/>
              <w:left w:val="nil"/>
              <w:bottom w:val="single" w:sz="4" w:space="0" w:color="auto"/>
              <w:right w:val="single" w:sz="4" w:space="0" w:color="auto"/>
            </w:tcBorders>
            <w:shd w:val="clear" w:color="000000" w:fill="FFFFFF"/>
            <w:vAlign w:val="center"/>
            <w:hideMark/>
          </w:tcPr>
          <w:p w14:paraId="3C7CB9AA" w14:textId="77777777" w:rsidR="00F71640" w:rsidRPr="002C119E" w:rsidRDefault="00F71640" w:rsidP="00C87CFF">
            <w:pPr>
              <w:spacing w:before="0" w:after="0" w:line="240" w:lineRule="auto"/>
              <w:jc w:val="right"/>
              <w:rPr>
                <w:rFonts w:cs="Times New Roman"/>
                <w:lang w:eastAsia="el-GR"/>
              </w:rPr>
            </w:pPr>
            <w:r w:rsidRPr="002C119E">
              <w:rPr>
                <w:lang w:eastAsia="el-GR"/>
              </w:rPr>
              <w:t>15.767</w:t>
            </w:r>
          </w:p>
        </w:tc>
        <w:tc>
          <w:tcPr>
            <w:tcW w:w="1345" w:type="dxa"/>
            <w:tcBorders>
              <w:top w:val="nil"/>
              <w:left w:val="nil"/>
              <w:bottom w:val="single" w:sz="4" w:space="0" w:color="auto"/>
              <w:right w:val="single" w:sz="4" w:space="0" w:color="auto"/>
            </w:tcBorders>
            <w:shd w:val="clear" w:color="000000" w:fill="FFFFFF"/>
            <w:vAlign w:val="center"/>
            <w:hideMark/>
          </w:tcPr>
          <w:p w14:paraId="17EB8FDE" w14:textId="77777777" w:rsidR="00F71640" w:rsidRPr="002C119E" w:rsidRDefault="00F71640" w:rsidP="00C87CFF">
            <w:pPr>
              <w:spacing w:before="0" w:after="0" w:line="240" w:lineRule="auto"/>
              <w:jc w:val="right"/>
              <w:rPr>
                <w:lang w:eastAsia="el-GR"/>
              </w:rPr>
            </w:pPr>
            <w:r w:rsidRPr="002C119E">
              <w:rPr>
                <w:lang w:eastAsia="el-GR"/>
              </w:rPr>
              <w:t>60.951</w:t>
            </w:r>
          </w:p>
        </w:tc>
        <w:tc>
          <w:tcPr>
            <w:tcW w:w="1346" w:type="dxa"/>
            <w:tcBorders>
              <w:top w:val="nil"/>
              <w:left w:val="nil"/>
              <w:bottom w:val="single" w:sz="4" w:space="0" w:color="auto"/>
              <w:right w:val="single" w:sz="4" w:space="0" w:color="auto"/>
            </w:tcBorders>
            <w:shd w:val="clear" w:color="000000" w:fill="FFFFFF"/>
            <w:vAlign w:val="center"/>
            <w:hideMark/>
          </w:tcPr>
          <w:p w14:paraId="42FB062C" w14:textId="77777777" w:rsidR="00F71640" w:rsidRPr="002C119E" w:rsidRDefault="00F71640" w:rsidP="00C87CFF">
            <w:pPr>
              <w:spacing w:before="0" w:after="0" w:line="240" w:lineRule="auto"/>
              <w:jc w:val="right"/>
              <w:rPr>
                <w:rFonts w:cs="Times New Roman"/>
                <w:lang w:eastAsia="el-GR"/>
              </w:rPr>
            </w:pPr>
            <w:r w:rsidRPr="002C119E">
              <w:rPr>
                <w:lang w:eastAsia="el-GR"/>
              </w:rPr>
              <w:t>53.515</w:t>
            </w:r>
          </w:p>
        </w:tc>
        <w:tc>
          <w:tcPr>
            <w:tcW w:w="1204" w:type="dxa"/>
            <w:tcBorders>
              <w:top w:val="nil"/>
              <w:left w:val="nil"/>
              <w:bottom w:val="single" w:sz="4" w:space="0" w:color="auto"/>
              <w:right w:val="single" w:sz="4" w:space="0" w:color="auto"/>
            </w:tcBorders>
            <w:shd w:val="clear" w:color="000000" w:fill="FFFFFF"/>
            <w:vAlign w:val="center"/>
            <w:hideMark/>
          </w:tcPr>
          <w:p w14:paraId="3328AD9C" w14:textId="77777777" w:rsidR="00F71640" w:rsidRPr="002C119E" w:rsidRDefault="00F71640" w:rsidP="00C87CFF">
            <w:pPr>
              <w:spacing w:before="0" w:after="0" w:line="240" w:lineRule="auto"/>
              <w:jc w:val="right"/>
              <w:rPr>
                <w:rFonts w:cs="Times New Roman"/>
                <w:lang w:eastAsia="el-GR"/>
              </w:rPr>
            </w:pPr>
            <w:r w:rsidRPr="002C119E">
              <w:rPr>
                <w:lang w:eastAsia="el-GR"/>
              </w:rPr>
              <w:t>3.020</w:t>
            </w:r>
          </w:p>
        </w:tc>
      </w:tr>
    </w:tbl>
    <w:p w14:paraId="1EC1EC6D" w14:textId="77777777" w:rsidR="00F71640" w:rsidRDefault="00F71640" w:rsidP="00F71640">
      <w:pPr>
        <w:spacing w:line="360" w:lineRule="auto"/>
        <w:rPr>
          <w:iCs/>
        </w:rPr>
      </w:pPr>
      <w:r w:rsidRPr="00854E8C">
        <w:rPr>
          <w:iCs/>
        </w:rPr>
        <w:lastRenderedPageBreak/>
        <w:t xml:space="preserve">Αντίστοιχα με την  έκθεση </w:t>
      </w:r>
      <w:r>
        <w:rPr>
          <w:iCs/>
        </w:rPr>
        <w:t xml:space="preserve">ΠΕΑ </w:t>
      </w:r>
      <w:r w:rsidRPr="00854E8C">
        <w:rPr>
          <w:iCs/>
        </w:rPr>
        <w:t xml:space="preserve">του </w:t>
      </w:r>
      <w:r>
        <w:rPr>
          <w:iCs/>
        </w:rPr>
        <w:t xml:space="preserve">Ιανουαρίου του </w:t>
      </w:r>
      <w:r w:rsidRPr="00854E8C">
        <w:rPr>
          <w:iCs/>
        </w:rPr>
        <w:t>2019</w:t>
      </w:r>
      <w:r>
        <w:rPr>
          <w:iCs/>
        </w:rPr>
        <w:t xml:space="preserve"> τα στοιχεία έκδοσης ΠΕΑ ανά </w:t>
      </w:r>
      <w:r w:rsidR="00E5630E">
        <w:rPr>
          <w:iCs/>
        </w:rPr>
        <w:t>Περιφέρ</w:t>
      </w:r>
      <w:r>
        <w:rPr>
          <w:iCs/>
        </w:rPr>
        <w:t>εια και ενεργειακή κατηγορία:</w:t>
      </w:r>
    </w:p>
    <w:p w14:paraId="1097D809" w14:textId="77777777" w:rsidR="00F71640" w:rsidRPr="00854E8C" w:rsidRDefault="00F71640" w:rsidP="00F71640">
      <w:pPr>
        <w:spacing w:line="360" w:lineRule="auto"/>
        <w:rPr>
          <w:iCs/>
        </w:rPr>
      </w:pPr>
      <w:r>
        <w:rPr>
          <w:noProof/>
          <w:lang w:eastAsia="el-GR"/>
        </w:rPr>
        <w:drawing>
          <wp:inline distT="0" distB="0" distL="0" distR="0" wp14:anchorId="2422A2C4" wp14:editId="5FCAFA2A">
            <wp:extent cx="5580380" cy="2809875"/>
            <wp:effectExtent l="0" t="0" r="127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80" cy="2809875"/>
                    </a:xfrm>
                    <a:prstGeom prst="rect">
                      <a:avLst/>
                    </a:prstGeom>
                  </pic:spPr>
                </pic:pic>
              </a:graphicData>
            </a:graphic>
          </wp:inline>
        </w:drawing>
      </w:r>
    </w:p>
    <w:p w14:paraId="2C477ADB" w14:textId="77777777" w:rsidR="00F71640" w:rsidRPr="001A5251" w:rsidRDefault="00F71640" w:rsidP="00C87CFF">
      <w:pPr>
        <w:spacing w:before="0" w:after="0" w:line="360" w:lineRule="auto"/>
      </w:pPr>
      <w:r>
        <w:t>Από τον πίνακα προκύπτει πως</w:t>
      </w:r>
      <w:r w:rsidRPr="001A5251">
        <w:t xml:space="preserve"> </w:t>
      </w:r>
      <w:r>
        <w:t>τα</w:t>
      </w:r>
      <w:r w:rsidRPr="001A5251">
        <w:t xml:space="preserve"> ΠΕΑ που είναι κατηγορίας από Ε και κάτω </w:t>
      </w:r>
      <w:r>
        <w:t xml:space="preserve">αντιπροσωπεύουν το 61,35% του συνόλου. </w:t>
      </w:r>
    </w:p>
    <w:p w14:paraId="4D40F621" w14:textId="77777777" w:rsidR="00F71640" w:rsidRPr="001A5251" w:rsidRDefault="00F71640" w:rsidP="00F71640">
      <w:pPr>
        <w:spacing w:line="360" w:lineRule="auto"/>
      </w:pPr>
      <w:r>
        <w:rPr>
          <w:noProof/>
          <w:lang w:eastAsia="el-GR"/>
        </w:rPr>
        <w:drawing>
          <wp:inline distT="0" distB="0" distL="0" distR="0" wp14:anchorId="08EC099C" wp14:editId="62394BCF">
            <wp:extent cx="5580380" cy="335280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80" cy="3352800"/>
                    </a:xfrm>
                    <a:prstGeom prst="rect">
                      <a:avLst/>
                    </a:prstGeom>
                  </pic:spPr>
                </pic:pic>
              </a:graphicData>
            </a:graphic>
          </wp:inline>
        </w:drawing>
      </w:r>
    </w:p>
    <w:p w14:paraId="502F3045" w14:textId="77777777" w:rsidR="00F71640" w:rsidRDefault="00F71640" w:rsidP="00C87CFF">
      <w:pPr>
        <w:spacing w:before="0" w:after="0"/>
        <w:rPr>
          <w:rStyle w:val="af3"/>
          <w:b w:val="0"/>
          <w:i w:val="0"/>
          <w:color w:val="auto"/>
          <w:sz w:val="18"/>
          <w:szCs w:val="18"/>
        </w:rPr>
      </w:pPr>
      <w:r w:rsidRPr="00F71640">
        <w:rPr>
          <w:rStyle w:val="af3"/>
          <w:b w:val="0"/>
          <w:i w:val="0"/>
          <w:color w:val="auto"/>
          <w:sz w:val="18"/>
          <w:szCs w:val="18"/>
        </w:rPr>
        <w:t xml:space="preserve">Κατοικίες ανά </w:t>
      </w:r>
      <w:r w:rsidR="00E5630E">
        <w:rPr>
          <w:rStyle w:val="af3"/>
          <w:b w:val="0"/>
          <w:i w:val="0"/>
          <w:color w:val="auto"/>
          <w:sz w:val="18"/>
          <w:szCs w:val="18"/>
        </w:rPr>
        <w:t>Περιφέρ</w:t>
      </w:r>
      <w:r w:rsidRPr="00F71640">
        <w:rPr>
          <w:rStyle w:val="af3"/>
          <w:b w:val="0"/>
          <w:i w:val="0"/>
          <w:color w:val="auto"/>
          <w:sz w:val="18"/>
          <w:szCs w:val="18"/>
        </w:rPr>
        <w:t>εια</w:t>
      </w:r>
      <w:r w:rsidRPr="00F71640">
        <w:rPr>
          <w:rStyle w:val="ac"/>
          <w:iCs/>
          <w:sz w:val="18"/>
          <w:szCs w:val="18"/>
        </w:rPr>
        <w:footnoteReference w:id="18"/>
      </w:r>
    </w:p>
    <w:p w14:paraId="3D5BB091" w14:textId="77777777" w:rsidR="00F71640" w:rsidRDefault="00F71640" w:rsidP="00F71640">
      <w:pPr>
        <w:spacing w:line="360" w:lineRule="auto"/>
      </w:pPr>
      <w:r w:rsidRPr="001A5251">
        <w:lastRenderedPageBreak/>
        <w:t xml:space="preserve">Προκειμένου να προσδιοριστεί το </w:t>
      </w:r>
      <w:proofErr w:type="spellStart"/>
      <w:r w:rsidRPr="001A5251">
        <w:t>ενεργοβόρο</w:t>
      </w:r>
      <w:proofErr w:type="spellEnd"/>
      <w:r w:rsidRPr="001A5251">
        <w:t xml:space="preserve"> κτιριακό απόθεμα, έγινε αναγωγή του ποσοστού των κτιρίων που είχαν ΠΕΑ από Ε και κάτω στο </w:t>
      </w:r>
      <w:r w:rsidRPr="001A5251">
        <w:rPr>
          <w:bCs/>
        </w:rPr>
        <w:t>σύνολο</w:t>
      </w:r>
      <w:r w:rsidRPr="001A5251">
        <w:rPr>
          <w:b/>
          <w:bCs/>
        </w:rPr>
        <w:t xml:space="preserve"> </w:t>
      </w:r>
      <w:r w:rsidRPr="001A5251">
        <w:t xml:space="preserve">των κατοικιών </w:t>
      </w:r>
      <w:r>
        <w:t>της απογραφής του 2011 όπου</w:t>
      </w:r>
      <w:r w:rsidRPr="001A5251">
        <w:t xml:space="preserve"> το σύνολο των κατοικιών </w:t>
      </w:r>
      <w:r>
        <w:t xml:space="preserve">της χώρας </w:t>
      </w:r>
      <w:r w:rsidRPr="001A5251">
        <w:t>ανέρχεται σε 6.371.901 εκ των οποίων τα 4.1</w:t>
      </w:r>
      <w:r>
        <w:t>22</w:t>
      </w:r>
      <w:r w:rsidRPr="001A5251">
        <w:t>.</w:t>
      </w:r>
      <w:r>
        <w:t>088</w:t>
      </w:r>
      <w:r w:rsidRPr="001A5251">
        <w:t xml:space="preserve"> είναι κατοικήσιμα.</w:t>
      </w:r>
      <w:r>
        <w:t xml:space="preserve"> </w:t>
      </w:r>
      <w:r w:rsidRPr="001A5251">
        <w:t xml:space="preserve">Έτσι λοιπόν το </w:t>
      </w:r>
      <w:proofErr w:type="spellStart"/>
      <w:r w:rsidRPr="001A5251">
        <w:t>ενεργοβόρο</w:t>
      </w:r>
      <w:proofErr w:type="spellEnd"/>
      <w:r w:rsidRPr="001A5251">
        <w:t xml:space="preserve"> κτιριακό απόθεμα, δηλαδή με ΠΕΑ κατηγορίας Ε και κάτω, διαμορφώνεται </w:t>
      </w:r>
      <w:r>
        <w:t xml:space="preserve">τουλάχιστον σε </w:t>
      </w:r>
      <w:r w:rsidRPr="001A5251">
        <w:rPr>
          <w:bCs/>
        </w:rPr>
        <w:t>3.973.077</w:t>
      </w:r>
      <w:r w:rsidRPr="001A5251">
        <w:t xml:space="preserve">. Άρα το </w:t>
      </w:r>
      <w:proofErr w:type="spellStart"/>
      <w:r w:rsidRPr="001A5251">
        <w:t>ενεργοβόρο</w:t>
      </w:r>
      <w:proofErr w:type="spellEnd"/>
      <w:r w:rsidRPr="001A5251">
        <w:t xml:space="preserve"> κτιριακό απόθεμα σε κατοικήσιμες κατοικίες είναι περίπου </w:t>
      </w:r>
      <w:r w:rsidRPr="001A5251">
        <w:rPr>
          <w:bCs/>
        </w:rPr>
        <w:t>2.</w:t>
      </w:r>
      <w:r>
        <w:rPr>
          <w:bCs/>
        </w:rPr>
        <w:t>53</w:t>
      </w:r>
      <w:r w:rsidRPr="001A5251">
        <w:rPr>
          <w:bCs/>
        </w:rPr>
        <w:t>0.000</w:t>
      </w:r>
      <w:r w:rsidRPr="001A5251">
        <w:t xml:space="preserve">. </w:t>
      </w:r>
    </w:p>
    <w:p w14:paraId="01917AEE" w14:textId="77777777" w:rsidR="00F71640" w:rsidRDefault="00F71640" w:rsidP="00F71640">
      <w:pPr>
        <w:spacing w:line="360" w:lineRule="auto"/>
      </w:pPr>
      <w:r w:rsidRPr="001A5251">
        <w:t xml:space="preserve">Η ανάγκη για εξοικονόμηση ενέργειας </w:t>
      </w:r>
      <w:r>
        <w:t>σ</w:t>
      </w:r>
      <w:r w:rsidRPr="001A5251">
        <w:t>τις κατοικίες</w:t>
      </w:r>
      <w:r>
        <w:t xml:space="preserve"> και μάλιστα σε βαθμό που να απαιτείται να αναβαθμιστούν ενεργειακά στη χώρα άνω των 2,5 εκ κατοικιών </w:t>
      </w:r>
      <w:r w:rsidRPr="001A5251">
        <w:t xml:space="preserve">, σύμφωνα με τα δεδομένα που αποτυπώνονται από πλευράς ζήτησης αλλά και της κάλυψης του στόχου για το </w:t>
      </w:r>
      <w:r w:rsidR="00B925F9">
        <w:t>ΕΠΑνΕΚ</w:t>
      </w:r>
      <w:r w:rsidRPr="001A5251">
        <w:t xml:space="preserve">, διαμορφώνει ένα σημαντικό περιθώριο επενδυτικού κενού που μπορεί να ικανοποιηθεί με την ανάπτυξη ενός </w:t>
      </w:r>
      <w:r w:rsidR="005E65CC">
        <w:t>Χρηματοοικονομικού Εργαλείου (FI)</w:t>
      </w:r>
      <w:r>
        <w:t xml:space="preserve"> ώστε να προσελκυσθούν ιδιωτικοί και να </w:t>
      </w:r>
      <w:proofErr w:type="spellStart"/>
      <w:r>
        <w:t>μοχλευθούν</w:t>
      </w:r>
      <w:proofErr w:type="spellEnd"/>
      <w:r>
        <w:t xml:space="preserve"> οι δημόσιοι πόροι.</w:t>
      </w:r>
      <w:r w:rsidRPr="001A5251">
        <w:t xml:space="preserve"> </w:t>
      </w:r>
    </w:p>
    <w:p w14:paraId="45259E2E" w14:textId="77777777" w:rsidR="00F52E8A" w:rsidRPr="001A5251" w:rsidRDefault="00EB73E0" w:rsidP="00524440">
      <w:pPr>
        <w:spacing w:line="360" w:lineRule="auto"/>
      </w:pPr>
      <w:r w:rsidRPr="001A5251">
        <w:t xml:space="preserve">Η </w:t>
      </w:r>
      <w:proofErr w:type="spellStart"/>
      <w:r w:rsidRPr="001A5251">
        <w:t>στοχοθεσία</w:t>
      </w:r>
      <w:proofErr w:type="spellEnd"/>
      <w:r w:rsidRPr="001A5251">
        <w:t xml:space="preserve"> του </w:t>
      </w:r>
      <w:r w:rsidR="00971D9A">
        <w:t>Προγράμματος</w:t>
      </w:r>
      <w:r w:rsidRPr="001A5251">
        <w:t xml:space="preserve"> παρουσιάζεται ανά άξονα προτεραιότητας, </w:t>
      </w:r>
      <w:r w:rsidR="00694310" w:rsidRPr="001A5251">
        <w:t xml:space="preserve">καθώς ανάλογα με </w:t>
      </w:r>
      <w:r w:rsidRPr="001A5251">
        <w:t xml:space="preserve">το ΑΕΠ της κάθε </w:t>
      </w:r>
      <w:r w:rsidR="00E5630E">
        <w:t>Περιφέρ</w:t>
      </w:r>
      <w:r w:rsidRPr="001A5251">
        <w:t xml:space="preserve">ειας </w:t>
      </w:r>
      <w:r w:rsidR="00694310" w:rsidRPr="001A5251">
        <w:t xml:space="preserve">προσδιορίζεται </w:t>
      </w:r>
      <w:r w:rsidRPr="001A5251">
        <w:t xml:space="preserve">και το ποσοστό </w:t>
      </w:r>
      <w:proofErr w:type="spellStart"/>
      <w:r w:rsidR="00C87CFF">
        <w:t>Ε</w:t>
      </w:r>
      <w:r w:rsidRPr="001A5251">
        <w:t>νωσιακής</w:t>
      </w:r>
      <w:proofErr w:type="spellEnd"/>
      <w:r w:rsidRPr="001A5251">
        <w:t xml:space="preserve"> </w:t>
      </w:r>
      <w:r w:rsidR="00C87CFF">
        <w:t>Στήριξης</w:t>
      </w:r>
      <w:r w:rsidRPr="001A5251">
        <w:t xml:space="preserve">. </w:t>
      </w:r>
      <w:r w:rsidR="00694310" w:rsidRPr="001A5251">
        <w:t>Έτσι ο</w:t>
      </w:r>
      <w:r w:rsidRPr="001A5251">
        <w:t xml:space="preserve">ι </w:t>
      </w:r>
      <w:r w:rsidR="00E5630E">
        <w:t>Περιφέρ</w:t>
      </w:r>
      <w:r w:rsidRPr="001A5251">
        <w:t>ειες Νοτίου Αιγαίου και Στερεάς</w:t>
      </w:r>
      <w:r w:rsidR="00C87CFF">
        <w:t xml:space="preserve"> Ελλάδας παρακολουθούνται στον Ά</w:t>
      </w:r>
      <w:r w:rsidRPr="001A5251">
        <w:t xml:space="preserve">ξονα </w:t>
      </w:r>
      <w:r w:rsidR="00C87CFF">
        <w:t>Π</w:t>
      </w:r>
      <w:r w:rsidRPr="001A5251">
        <w:t xml:space="preserve">ροτεραιότητας </w:t>
      </w:r>
      <w:r w:rsidR="00C87CFF">
        <w:t>0</w:t>
      </w:r>
      <w:r w:rsidRPr="001A5251">
        <w:t xml:space="preserve">3Σ λόγω του </w:t>
      </w:r>
      <w:r w:rsidR="00FA2ABA" w:rsidRPr="001A5251">
        <w:t>χαμηλότερου</w:t>
      </w:r>
      <w:r w:rsidRPr="001A5251">
        <w:t xml:space="preserve"> ποσοστού </w:t>
      </w:r>
      <w:proofErr w:type="spellStart"/>
      <w:r w:rsidR="00C87CFF">
        <w:t>Ε</w:t>
      </w:r>
      <w:r w:rsidRPr="001A5251">
        <w:t>νωσιακής</w:t>
      </w:r>
      <w:proofErr w:type="spellEnd"/>
      <w:r w:rsidRPr="001A5251">
        <w:t xml:space="preserve"> </w:t>
      </w:r>
      <w:r w:rsidR="00C87CFF">
        <w:t>Στήριξης</w:t>
      </w:r>
      <w:r w:rsidR="00FA2ABA" w:rsidRPr="001A5251">
        <w:t>.</w:t>
      </w:r>
    </w:p>
    <w:tbl>
      <w:tblPr>
        <w:tblStyle w:val="a6"/>
        <w:tblW w:w="0" w:type="auto"/>
        <w:jc w:val="center"/>
        <w:tblLook w:val="04A0" w:firstRow="1" w:lastRow="0" w:firstColumn="1" w:lastColumn="0" w:noHBand="0" w:noVBand="1"/>
      </w:tblPr>
      <w:tblGrid>
        <w:gridCol w:w="1377"/>
        <w:gridCol w:w="2251"/>
        <w:gridCol w:w="1117"/>
        <w:gridCol w:w="1458"/>
        <w:gridCol w:w="1117"/>
        <w:gridCol w:w="1458"/>
      </w:tblGrid>
      <w:tr w:rsidR="00335BB0" w:rsidRPr="00335BB0" w14:paraId="79106874" w14:textId="77777777" w:rsidTr="00C87CFF">
        <w:trPr>
          <w:trHeight w:val="413"/>
          <w:jc w:val="center"/>
        </w:trPr>
        <w:tc>
          <w:tcPr>
            <w:tcW w:w="4744" w:type="dxa"/>
            <w:gridSpan w:val="2"/>
            <w:vMerge w:val="restart"/>
          </w:tcPr>
          <w:p w14:paraId="4F321A83" w14:textId="77777777" w:rsidR="00335BB0" w:rsidRPr="00335BB0" w:rsidRDefault="00335BB0" w:rsidP="00335BB0">
            <w:pPr>
              <w:spacing w:after="40" w:line="240" w:lineRule="auto"/>
              <w:rPr>
                <w:sz w:val="18"/>
                <w:szCs w:val="18"/>
              </w:rPr>
            </w:pPr>
          </w:p>
        </w:tc>
        <w:tc>
          <w:tcPr>
            <w:tcW w:w="1978" w:type="dxa"/>
            <w:gridSpan w:val="2"/>
            <w:vAlign w:val="center"/>
          </w:tcPr>
          <w:p w14:paraId="502FE3B0" w14:textId="77777777" w:rsidR="00335BB0" w:rsidRPr="00C87CFF" w:rsidRDefault="00335BB0" w:rsidP="00335BB0">
            <w:pPr>
              <w:spacing w:after="40" w:line="240" w:lineRule="auto"/>
              <w:rPr>
                <w:b/>
                <w:sz w:val="18"/>
                <w:szCs w:val="18"/>
              </w:rPr>
            </w:pPr>
            <w:r w:rsidRPr="00C87CFF">
              <w:rPr>
                <w:b/>
                <w:sz w:val="18"/>
                <w:szCs w:val="18"/>
              </w:rPr>
              <w:t xml:space="preserve">Άξονας Προτεραιότητας </w:t>
            </w:r>
            <w:r w:rsidR="00C87CFF" w:rsidRPr="00C87CFF">
              <w:rPr>
                <w:b/>
                <w:sz w:val="18"/>
                <w:szCs w:val="18"/>
              </w:rPr>
              <w:t>0</w:t>
            </w:r>
            <w:r w:rsidRPr="00C87CFF">
              <w:rPr>
                <w:b/>
                <w:sz w:val="18"/>
                <w:szCs w:val="18"/>
              </w:rPr>
              <w:t>3</w:t>
            </w:r>
          </w:p>
        </w:tc>
        <w:tc>
          <w:tcPr>
            <w:tcW w:w="2056" w:type="dxa"/>
            <w:gridSpan w:val="2"/>
            <w:vAlign w:val="center"/>
          </w:tcPr>
          <w:p w14:paraId="583EB772" w14:textId="77777777" w:rsidR="00335BB0" w:rsidRPr="00C87CFF" w:rsidRDefault="00335BB0" w:rsidP="00335BB0">
            <w:pPr>
              <w:spacing w:after="40" w:line="240" w:lineRule="auto"/>
              <w:rPr>
                <w:b/>
                <w:sz w:val="18"/>
                <w:szCs w:val="18"/>
              </w:rPr>
            </w:pPr>
            <w:r w:rsidRPr="00C87CFF">
              <w:rPr>
                <w:b/>
                <w:sz w:val="18"/>
                <w:szCs w:val="18"/>
              </w:rPr>
              <w:t xml:space="preserve">Άξονας Προτεραιότητας </w:t>
            </w:r>
            <w:r w:rsidR="00C87CFF" w:rsidRPr="00C87CFF">
              <w:rPr>
                <w:b/>
                <w:sz w:val="18"/>
                <w:szCs w:val="18"/>
              </w:rPr>
              <w:t>0</w:t>
            </w:r>
            <w:r w:rsidRPr="00C87CFF">
              <w:rPr>
                <w:b/>
                <w:sz w:val="18"/>
                <w:szCs w:val="18"/>
              </w:rPr>
              <w:t>3Σ</w:t>
            </w:r>
          </w:p>
        </w:tc>
      </w:tr>
      <w:tr w:rsidR="00335BB0" w:rsidRPr="00335BB0" w14:paraId="57D6E3A0" w14:textId="77777777" w:rsidTr="00335BB0">
        <w:trPr>
          <w:trHeight w:val="184"/>
          <w:jc w:val="center"/>
        </w:trPr>
        <w:tc>
          <w:tcPr>
            <w:tcW w:w="4744" w:type="dxa"/>
            <w:gridSpan w:val="2"/>
            <w:vMerge/>
          </w:tcPr>
          <w:p w14:paraId="05841465" w14:textId="77777777" w:rsidR="00335BB0" w:rsidRPr="00335BB0" w:rsidRDefault="00335BB0" w:rsidP="00335BB0">
            <w:pPr>
              <w:spacing w:after="40" w:line="240" w:lineRule="auto"/>
              <w:rPr>
                <w:sz w:val="18"/>
                <w:szCs w:val="18"/>
              </w:rPr>
            </w:pPr>
          </w:p>
        </w:tc>
        <w:tc>
          <w:tcPr>
            <w:tcW w:w="1063" w:type="dxa"/>
            <w:vAlign w:val="center"/>
          </w:tcPr>
          <w:p w14:paraId="370F09AF" w14:textId="77777777" w:rsidR="00335BB0" w:rsidRPr="00C87CFF" w:rsidRDefault="00971D9A" w:rsidP="00335BB0">
            <w:pPr>
              <w:spacing w:after="40" w:line="240" w:lineRule="auto"/>
              <w:jc w:val="center"/>
              <w:rPr>
                <w:b/>
                <w:sz w:val="18"/>
                <w:szCs w:val="18"/>
              </w:rPr>
            </w:pPr>
            <w:r w:rsidRPr="00C87CFF">
              <w:rPr>
                <w:b/>
                <w:sz w:val="18"/>
                <w:szCs w:val="18"/>
              </w:rPr>
              <w:t>Πρόγραμμα</w:t>
            </w:r>
          </w:p>
        </w:tc>
        <w:tc>
          <w:tcPr>
            <w:tcW w:w="915" w:type="dxa"/>
            <w:vAlign w:val="center"/>
          </w:tcPr>
          <w:p w14:paraId="56F351BE" w14:textId="77777777" w:rsidR="00335BB0" w:rsidRPr="00C87CFF" w:rsidRDefault="00335BB0" w:rsidP="00335BB0">
            <w:pPr>
              <w:spacing w:after="40" w:line="240" w:lineRule="auto"/>
              <w:jc w:val="center"/>
              <w:rPr>
                <w:b/>
                <w:sz w:val="18"/>
                <w:szCs w:val="18"/>
              </w:rPr>
            </w:pPr>
            <w:r w:rsidRPr="00C87CFF">
              <w:rPr>
                <w:b/>
                <w:sz w:val="18"/>
                <w:szCs w:val="18"/>
              </w:rPr>
              <w:t>Αναθεωρημένος στόχος</w:t>
            </w:r>
            <w:r w:rsidR="00952E73" w:rsidRPr="00C87CFF">
              <w:rPr>
                <w:b/>
                <w:sz w:val="18"/>
                <w:szCs w:val="18"/>
              </w:rPr>
              <w:t xml:space="preserve"> μετά την έκδοση του </w:t>
            </w:r>
            <w:r w:rsidR="00B925F9" w:rsidRPr="00C87CFF">
              <w:rPr>
                <w:b/>
                <w:sz w:val="18"/>
                <w:szCs w:val="18"/>
              </w:rPr>
              <w:t>Οδηγού</w:t>
            </w:r>
          </w:p>
        </w:tc>
        <w:tc>
          <w:tcPr>
            <w:tcW w:w="1014" w:type="dxa"/>
            <w:vAlign w:val="center"/>
          </w:tcPr>
          <w:p w14:paraId="4F93D7B0" w14:textId="77777777" w:rsidR="00335BB0" w:rsidRPr="00C87CFF" w:rsidRDefault="00335BB0" w:rsidP="00335BB0">
            <w:pPr>
              <w:spacing w:after="40" w:line="240" w:lineRule="auto"/>
              <w:jc w:val="center"/>
              <w:rPr>
                <w:b/>
                <w:sz w:val="18"/>
                <w:szCs w:val="18"/>
              </w:rPr>
            </w:pPr>
            <w:r w:rsidRPr="00C87CFF">
              <w:rPr>
                <w:b/>
                <w:sz w:val="18"/>
                <w:szCs w:val="18"/>
              </w:rPr>
              <w:t xml:space="preserve">Αρχικό </w:t>
            </w:r>
            <w:r w:rsidR="00971D9A" w:rsidRPr="00C87CFF">
              <w:rPr>
                <w:b/>
                <w:sz w:val="18"/>
                <w:szCs w:val="18"/>
              </w:rPr>
              <w:t>Πρόγραμμα</w:t>
            </w:r>
          </w:p>
        </w:tc>
        <w:tc>
          <w:tcPr>
            <w:tcW w:w="1042" w:type="dxa"/>
            <w:vAlign w:val="center"/>
          </w:tcPr>
          <w:p w14:paraId="75C669D4" w14:textId="77777777" w:rsidR="00335BB0" w:rsidRPr="00C87CFF" w:rsidRDefault="00335BB0" w:rsidP="00335BB0">
            <w:pPr>
              <w:spacing w:after="40" w:line="240" w:lineRule="auto"/>
              <w:jc w:val="center"/>
              <w:rPr>
                <w:b/>
                <w:sz w:val="18"/>
                <w:szCs w:val="18"/>
              </w:rPr>
            </w:pPr>
            <w:r w:rsidRPr="00C87CFF">
              <w:rPr>
                <w:b/>
                <w:sz w:val="18"/>
                <w:szCs w:val="18"/>
              </w:rPr>
              <w:t>Αναθεωρημένος στόχος</w:t>
            </w:r>
          </w:p>
        </w:tc>
      </w:tr>
      <w:tr w:rsidR="00335BB0" w:rsidRPr="00335BB0" w14:paraId="2289FAEC" w14:textId="77777777" w:rsidTr="00335BB0">
        <w:trPr>
          <w:jc w:val="center"/>
        </w:trPr>
        <w:tc>
          <w:tcPr>
            <w:tcW w:w="1499" w:type="dxa"/>
          </w:tcPr>
          <w:p w14:paraId="69E74378" w14:textId="77777777" w:rsidR="00335BB0" w:rsidRPr="00335BB0" w:rsidRDefault="00335BB0" w:rsidP="00335BB0">
            <w:pPr>
              <w:spacing w:after="40" w:line="240" w:lineRule="auto"/>
              <w:rPr>
                <w:sz w:val="18"/>
                <w:szCs w:val="18"/>
              </w:rPr>
            </w:pPr>
            <w:r w:rsidRPr="00335BB0">
              <w:rPr>
                <w:sz w:val="18"/>
                <w:szCs w:val="18"/>
              </w:rPr>
              <w:t xml:space="preserve">Λιγότερο ανεπτυγμένες </w:t>
            </w:r>
            <w:r w:rsidR="00E5630E">
              <w:rPr>
                <w:sz w:val="18"/>
                <w:szCs w:val="18"/>
              </w:rPr>
              <w:t>Περιφέρ</w:t>
            </w:r>
            <w:r w:rsidRPr="00335BB0">
              <w:rPr>
                <w:sz w:val="18"/>
                <w:szCs w:val="18"/>
              </w:rPr>
              <w:t>ειες</w:t>
            </w:r>
          </w:p>
        </w:tc>
        <w:tc>
          <w:tcPr>
            <w:tcW w:w="3245" w:type="dxa"/>
            <w:vAlign w:val="center"/>
          </w:tcPr>
          <w:p w14:paraId="68144455" w14:textId="77777777" w:rsidR="00335BB0" w:rsidRPr="00335BB0" w:rsidRDefault="00335BB0" w:rsidP="00335BB0">
            <w:pPr>
              <w:spacing w:after="40" w:line="240" w:lineRule="auto"/>
              <w:jc w:val="left"/>
              <w:rPr>
                <w:sz w:val="18"/>
                <w:szCs w:val="18"/>
              </w:rPr>
            </w:pPr>
            <w:r w:rsidRPr="00335BB0">
              <w:rPr>
                <w:sz w:val="18"/>
                <w:szCs w:val="18"/>
              </w:rPr>
              <w:t xml:space="preserve">Ανατολική Μακεδονία και Θράκη, Κεντρική Μακεδονία, Ήπειρος, Θεσσαλία, </w:t>
            </w:r>
            <w:proofErr w:type="spellStart"/>
            <w:r w:rsidRPr="00335BB0">
              <w:rPr>
                <w:sz w:val="18"/>
                <w:szCs w:val="18"/>
              </w:rPr>
              <w:t>Δ</w:t>
            </w:r>
            <w:r w:rsidR="00C87CFF">
              <w:rPr>
                <w:sz w:val="18"/>
                <w:szCs w:val="18"/>
              </w:rPr>
              <w:t>υτ</w:t>
            </w:r>
            <w:r w:rsidRPr="00335BB0">
              <w:rPr>
                <w:sz w:val="18"/>
                <w:szCs w:val="18"/>
              </w:rPr>
              <w:t>.Ελλάδα</w:t>
            </w:r>
            <w:proofErr w:type="spellEnd"/>
          </w:p>
        </w:tc>
        <w:tc>
          <w:tcPr>
            <w:tcW w:w="1063" w:type="dxa"/>
            <w:vAlign w:val="center"/>
          </w:tcPr>
          <w:p w14:paraId="6C8E66BD" w14:textId="77777777" w:rsidR="00335BB0" w:rsidRPr="00335BB0" w:rsidRDefault="00335BB0" w:rsidP="00335BB0">
            <w:pPr>
              <w:spacing w:after="40" w:line="240" w:lineRule="auto"/>
              <w:jc w:val="center"/>
              <w:rPr>
                <w:sz w:val="18"/>
                <w:szCs w:val="18"/>
              </w:rPr>
            </w:pPr>
            <w:r w:rsidRPr="00335BB0">
              <w:rPr>
                <w:sz w:val="18"/>
                <w:szCs w:val="18"/>
              </w:rPr>
              <w:t>13.545</w:t>
            </w:r>
          </w:p>
        </w:tc>
        <w:tc>
          <w:tcPr>
            <w:tcW w:w="915" w:type="dxa"/>
            <w:vAlign w:val="center"/>
          </w:tcPr>
          <w:p w14:paraId="2E085626" w14:textId="77777777" w:rsidR="00335BB0" w:rsidRPr="00335BB0" w:rsidRDefault="00335BB0" w:rsidP="00335BB0">
            <w:pPr>
              <w:spacing w:after="40" w:line="240" w:lineRule="auto"/>
              <w:jc w:val="center"/>
              <w:rPr>
                <w:sz w:val="18"/>
                <w:szCs w:val="18"/>
              </w:rPr>
            </w:pPr>
            <w:r>
              <w:rPr>
                <w:sz w:val="18"/>
                <w:szCs w:val="18"/>
              </w:rPr>
              <w:t>24.510</w:t>
            </w:r>
          </w:p>
        </w:tc>
        <w:tc>
          <w:tcPr>
            <w:tcW w:w="1014" w:type="dxa"/>
            <w:vAlign w:val="center"/>
          </w:tcPr>
          <w:p w14:paraId="10DDC274" w14:textId="77777777" w:rsidR="00335BB0" w:rsidRPr="00335BB0" w:rsidRDefault="00335BB0" w:rsidP="00335BB0">
            <w:pPr>
              <w:spacing w:after="40" w:line="240" w:lineRule="auto"/>
              <w:jc w:val="center"/>
              <w:rPr>
                <w:sz w:val="18"/>
                <w:szCs w:val="18"/>
              </w:rPr>
            </w:pPr>
          </w:p>
        </w:tc>
        <w:tc>
          <w:tcPr>
            <w:tcW w:w="1042" w:type="dxa"/>
            <w:vAlign w:val="center"/>
          </w:tcPr>
          <w:p w14:paraId="26799D08" w14:textId="77777777" w:rsidR="00335BB0" w:rsidRPr="00335BB0" w:rsidRDefault="00335BB0" w:rsidP="00335BB0">
            <w:pPr>
              <w:spacing w:after="40" w:line="240" w:lineRule="auto"/>
              <w:jc w:val="center"/>
              <w:rPr>
                <w:sz w:val="18"/>
                <w:szCs w:val="18"/>
              </w:rPr>
            </w:pPr>
          </w:p>
        </w:tc>
      </w:tr>
      <w:tr w:rsidR="00335BB0" w:rsidRPr="00335BB0" w14:paraId="4A8E149A" w14:textId="77777777" w:rsidTr="00335BB0">
        <w:trPr>
          <w:jc w:val="center"/>
        </w:trPr>
        <w:tc>
          <w:tcPr>
            <w:tcW w:w="1499" w:type="dxa"/>
          </w:tcPr>
          <w:p w14:paraId="226C005C" w14:textId="77777777" w:rsidR="00335BB0" w:rsidRPr="00335BB0" w:rsidRDefault="00335BB0" w:rsidP="00335BB0">
            <w:pPr>
              <w:spacing w:after="40" w:line="240" w:lineRule="auto"/>
              <w:rPr>
                <w:sz w:val="18"/>
                <w:szCs w:val="18"/>
              </w:rPr>
            </w:pPr>
            <w:r w:rsidRPr="00335BB0">
              <w:rPr>
                <w:sz w:val="18"/>
                <w:szCs w:val="18"/>
              </w:rPr>
              <w:t xml:space="preserve">Περισσότερο αναπτυγμένες </w:t>
            </w:r>
            <w:r w:rsidR="00E5630E">
              <w:rPr>
                <w:sz w:val="18"/>
                <w:szCs w:val="18"/>
              </w:rPr>
              <w:t>Περιφέρ</w:t>
            </w:r>
            <w:r w:rsidRPr="00335BB0">
              <w:rPr>
                <w:sz w:val="18"/>
                <w:szCs w:val="18"/>
              </w:rPr>
              <w:t xml:space="preserve">ειες </w:t>
            </w:r>
          </w:p>
        </w:tc>
        <w:tc>
          <w:tcPr>
            <w:tcW w:w="3245" w:type="dxa"/>
            <w:vAlign w:val="center"/>
          </w:tcPr>
          <w:p w14:paraId="24568DFC" w14:textId="77777777" w:rsidR="00335BB0" w:rsidRPr="00335BB0" w:rsidRDefault="00335BB0" w:rsidP="00335BB0">
            <w:pPr>
              <w:spacing w:after="40" w:line="240" w:lineRule="auto"/>
              <w:jc w:val="left"/>
              <w:rPr>
                <w:sz w:val="18"/>
                <w:szCs w:val="18"/>
              </w:rPr>
            </w:pPr>
            <w:r w:rsidRPr="00335BB0">
              <w:rPr>
                <w:sz w:val="18"/>
                <w:szCs w:val="18"/>
              </w:rPr>
              <w:t>Αττική, Νότιο Αιγαίο</w:t>
            </w:r>
          </w:p>
        </w:tc>
        <w:tc>
          <w:tcPr>
            <w:tcW w:w="1063" w:type="dxa"/>
            <w:vAlign w:val="center"/>
          </w:tcPr>
          <w:p w14:paraId="2791B7BE" w14:textId="77777777" w:rsidR="00335BB0" w:rsidRPr="00335BB0" w:rsidRDefault="00335BB0" w:rsidP="00335BB0">
            <w:pPr>
              <w:spacing w:after="40" w:line="240" w:lineRule="auto"/>
              <w:jc w:val="center"/>
              <w:rPr>
                <w:color w:val="000000"/>
                <w:sz w:val="18"/>
                <w:szCs w:val="18"/>
              </w:rPr>
            </w:pPr>
            <w:r w:rsidRPr="00335BB0">
              <w:rPr>
                <w:sz w:val="18"/>
                <w:szCs w:val="18"/>
              </w:rPr>
              <w:t>3.990</w:t>
            </w:r>
          </w:p>
        </w:tc>
        <w:tc>
          <w:tcPr>
            <w:tcW w:w="915" w:type="dxa"/>
            <w:vAlign w:val="center"/>
          </w:tcPr>
          <w:p w14:paraId="1C42BA89" w14:textId="77777777" w:rsidR="00335BB0" w:rsidRPr="00335BB0" w:rsidRDefault="00335BB0" w:rsidP="00335BB0">
            <w:pPr>
              <w:spacing w:after="40" w:line="240" w:lineRule="auto"/>
              <w:jc w:val="center"/>
              <w:rPr>
                <w:color w:val="000000"/>
                <w:sz w:val="18"/>
                <w:szCs w:val="18"/>
              </w:rPr>
            </w:pPr>
            <w:r>
              <w:rPr>
                <w:color w:val="000000"/>
                <w:sz w:val="18"/>
                <w:szCs w:val="18"/>
              </w:rPr>
              <w:t>7.220</w:t>
            </w:r>
          </w:p>
        </w:tc>
        <w:tc>
          <w:tcPr>
            <w:tcW w:w="1014" w:type="dxa"/>
            <w:vAlign w:val="center"/>
          </w:tcPr>
          <w:p w14:paraId="46FACA53" w14:textId="77777777" w:rsidR="00335BB0" w:rsidRPr="00335BB0" w:rsidRDefault="00335BB0" w:rsidP="00335BB0">
            <w:pPr>
              <w:spacing w:after="40" w:line="240" w:lineRule="auto"/>
              <w:jc w:val="center"/>
              <w:rPr>
                <w:color w:val="000000"/>
                <w:sz w:val="18"/>
                <w:szCs w:val="18"/>
              </w:rPr>
            </w:pPr>
            <w:r w:rsidRPr="00335BB0">
              <w:rPr>
                <w:sz w:val="18"/>
                <w:szCs w:val="18"/>
              </w:rPr>
              <w:t>441</w:t>
            </w:r>
          </w:p>
        </w:tc>
        <w:tc>
          <w:tcPr>
            <w:tcW w:w="1042" w:type="dxa"/>
            <w:vAlign w:val="center"/>
          </w:tcPr>
          <w:p w14:paraId="1E30A09B" w14:textId="77777777" w:rsidR="00335BB0" w:rsidRPr="00335BB0" w:rsidRDefault="00335BB0" w:rsidP="00335BB0">
            <w:pPr>
              <w:spacing w:after="40" w:line="240" w:lineRule="auto"/>
              <w:jc w:val="center"/>
              <w:rPr>
                <w:color w:val="000000"/>
                <w:sz w:val="18"/>
                <w:szCs w:val="18"/>
              </w:rPr>
            </w:pPr>
            <w:r>
              <w:rPr>
                <w:color w:val="000000"/>
                <w:sz w:val="18"/>
                <w:szCs w:val="18"/>
              </w:rPr>
              <w:t>798</w:t>
            </w:r>
          </w:p>
        </w:tc>
      </w:tr>
      <w:tr w:rsidR="00335BB0" w:rsidRPr="00335BB0" w14:paraId="11EDADC5" w14:textId="77777777" w:rsidTr="00335BB0">
        <w:trPr>
          <w:jc w:val="center"/>
        </w:trPr>
        <w:tc>
          <w:tcPr>
            <w:tcW w:w="1499" w:type="dxa"/>
            <w:vAlign w:val="center"/>
          </w:tcPr>
          <w:p w14:paraId="47B93DEC" w14:textId="77777777" w:rsidR="00335BB0" w:rsidRPr="00335BB0" w:rsidRDefault="00335BB0" w:rsidP="00335BB0">
            <w:pPr>
              <w:spacing w:after="40" w:line="240" w:lineRule="auto"/>
              <w:rPr>
                <w:sz w:val="18"/>
                <w:szCs w:val="18"/>
              </w:rPr>
            </w:pPr>
            <w:r w:rsidRPr="00335BB0">
              <w:rPr>
                <w:sz w:val="18"/>
                <w:szCs w:val="18"/>
              </w:rPr>
              <w:t>Μετάβαση</w:t>
            </w:r>
          </w:p>
        </w:tc>
        <w:tc>
          <w:tcPr>
            <w:tcW w:w="3245" w:type="dxa"/>
            <w:vAlign w:val="center"/>
          </w:tcPr>
          <w:p w14:paraId="288968BE" w14:textId="77777777" w:rsidR="00335BB0" w:rsidRPr="00335BB0" w:rsidRDefault="00335BB0" w:rsidP="00335BB0">
            <w:pPr>
              <w:spacing w:after="40" w:line="240" w:lineRule="auto"/>
              <w:jc w:val="left"/>
              <w:rPr>
                <w:sz w:val="18"/>
                <w:szCs w:val="18"/>
              </w:rPr>
            </w:pPr>
            <w:proofErr w:type="spellStart"/>
            <w:r w:rsidRPr="00335BB0">
              <w:rPr>
                <w:sz w:val="18"/>
                <w:szCs w:val="18"/>
              </w:rPr>
              <w:t>Στ.Ελλάδα</w:t>
            </w:r>
            <w:proofErr w:type="spellEnd"/>
            <w:r w:rsidRPr="00335BB0">
              <w:rPr>
                <w:sz w:val="18"/>
                <w:szCs w:val="18"/>
              </w:rPr>
              <w:t xml:space="preserve">, </w:t>
            </w:r>
            <w:proofErr w:type="spellStart"/>
            <w:r w:rsidRPr="00335BB0">
              <w:rPr>
                <w:sz w:val="18"/>
                <w:szCs w:val="18"/>
              </w:rPr>
              <w:t>Δ.Μακεδονία</w:t>
            </w:r>
            <w:proofErr w:type="spellEnd"/>
            <w:r w:rsidRPr="00335BB0">
              <w:rPr>
                <w:sz w:val="18"/>
                <w:szCs w:val="18"/>
              </w:rPr>
              <w:t xml:space="preserve">, Πελοπόννησος, Ιόνια νησιά, </w:t>
            </w:r>
            <w:proofErr w:type="spellStart"/>
            <w:r w:rsidRPr="00335BB0">
              <w:rPr>
                <w:sz w:val="18"/>
                <w:szCs w:val="18"/>
              </w:rPr>
              <w:t>Β.Αιγαίο</w:t>
            </w:r>
            <w:proofErr w:type="spellEnd"/>
            <w:r w:rsidRPr="00335BB0">
              <w:rPr>
                <w:sz w:val="18"/>
                <w:szCs w:val="18"/>
              </w:rPr>
              <w:t xml:space="preserve"> και Κρήτη</w:t>
            </w:r>
          </w:p>
        </w:tc>
        <w:tc>
          <w:tcPr>
            <w:tcW w:w="1063" w:type="dxa"/>
            <w:vAlign w:val="center"/>
          </w:tcPr>
          <w:p w14:paraId="3A840AFA" w14:textId="77777777" w:rsidR="00335BB0" w:rsidRPr="00335BB0" w:rsidRDefault="00335BB0" w:rsidP="00335BB0">
            <w:pPr>
              <w:spacing w:after="40" w:line="240" w:lineRule="auto"/>
              <w:jc w:val="center"/>
              <w:rPr>
                <w:color w:val="000000"/>
                <w:sz w:val="18"/>
                <w:szCs w:val="18"/>
              </w:rPr>
            </w:pPr>
            <w:r w:rsidRPr="00335BB0">
              <w:rPr>
                <w:sz w:val="18"/>
                <w:szCs w:val="18"/>
              </w:rPr>
              <w:t>2.667</w:t>
            </w:r>
          </w:p>
        </w:tc>
        <w:tc>
          <w:tcPr>
            <w:tcW w:w="915" w:type="dxa"/>
            <w:vAlign w:val="center"/>
          </w:tcPr>
          <w:p w14:paraId="76A5FD5F" w14:textId="77777777" w:rsidR="00335BB0" w:rsidRPr="00335BB0" w:rsidRDefault="00335BB0" w:rsidP="00335BB0">
            <w:pPr>
              <w:spacing w:after="40" w:line="240" w:lineRule="auto"/>
              <w:jc w:val="center"/>
              <w:rPr>
                <w:color w:val="000000"/>
                <w:sz w:val="18"/>
                <w:szCs w:val="18"/>
              </w:rPr>
            </w:pPr>
            <w:r>
              <w:rPr>
                <w:color w:val="000000"/>
                <w:sz w:val="18"/>
                <w:szCs w:val="18"/>
              </w:rPr>
              <w:t>4.826</w:t>
            </w:r>
          </w:p>
        </w:tc>
        <w:tc>
          <w:tcPr>
            <w:tcW w:w="1014" w:type="dxa"/>
            <w:vAlign w:val="center"/>
          </w:tcPr>
          <w:p w14:paraId="58F61C92" w14:textId="77777777" w:rsidR="00335BB0" w:rsidRPr="00335BB0" w:rsidRDefault="00335BB0" w:rsidP="00335BB0">
            <w:pPr>
              <w:spacing w:after="40" w:line="240" w:lineRule="auto"/>
              <w:jc w:val="center"/>
              <w:rPr>
                <w:color w:val="000000"/>
                <w:sz w:val="18"/>
                <w:szCs w:val="18"/>
              </w:rPr>
            </w:pPr>
            <w:r w:rsidRPr="00335BB0">
              <w:rPr>
                <w:sz w:val="18"/>
                <w:szCs w:val="18"/>
              </w:rPr>
              <w:t>357</w:t>
            </w:r>
          </w:p>
        </w:tc>
        <w:tc>
          <w:tcPr>
            <w:tcW w:w="1042" w:type="dxa"/>
            <w:vAlign w:val="center"/>
          </w:tcPr>
          <w:p w14:paraId="74B2FF01" w14:textId="77777777" w:rsidR="00335BB0" w:rsidRPr="00335BB0" w:rsidRDefault="00335BB0" w:rsidP="00335BB0">
            <w:pPr>
              <w:spacing w:after="40" w:line="240" w:lineRule="auto"/>
              <w:jc w:val="center"/>
              <w:rPr>
                <w:color w:val="000000"/>
                <w:sz w:val="18"/>
                <w:szCs w:val="18"/>
              </w:rPr>
            </w:pPr>
            <w:r>
              <w:rPr>
                <w:color w:val="000000"/>
                <w:sz w:val="18"/>
                <w:szCs w:val="18"/>
              </w:rPr>
              <w:t>646</w:t>
            </w:r>
          </w:p>
        </w:tc>
      </w:tr>
      <w:tr w:rsidR="00335BB0" w:rsidRPr="00335BB0" w14:paraId="05140E1B" w14:textId="77777777" w:rsidTr="00C87CFF">
        <w:trPr>
          <w:trHeight w:val="667"/>
          <w:jc w:val="center"/>
        </w:trPr>
        <w:tc>
          <w:tcPr>
            <w:tcW w:w="4744" w:type="dxa"/>
            <w:gridSpan w:val="2"/>
            <w:vAlign w:val="center"/>
          </w:tcPr>
          <w:p w14:paraId="66302153" w14:textId="77777777" w:rsidR="00335BB0" w:rsidRPr="00335BB0" w:rsidRDefault="00335BB0" w:rsidP="00335BB0">
            <w:pPr>
              <w:spacing w:after="40" w:line="240" w:lineRule="auto"/>
              <w:rPr>
                <w:b/>
                <w:sz w:val="18"/>
                <w:szCs w:val="18"/>
              </w:rPr>
            </w:pPr>
            <w:r w:rsidRPr="00335BB0">
              <w:rPr>
                <w:b/>
                <w:sz w:val="18"/>
                <w:szCs w:val="18"/>
              </w:rPr>
              <w:tab/>
              <w:t>Σύνολα (αριθμός κατοικιών)</w:t>
            </w:r>
          </w:p>
        </w:tc>
        <w:tc>
          <w:tcPr>
            <w:tcW w:w="1063" w:type="dxa"/>
            <w:vAlign w:val="center"/>
          </w:tcPr>
          <w:p w14:paraId="5F7B6749" w14:textId="77777777" w:rsidR="00335BB0" w:rsidRPr="00335BB0" w:rsidRDefault="00335BB0" w:rsidP="00335BB0">
            <w:pPr>
              <w:spacing w:after="40" w:line="240" w:lineRule="auto"/>
              <w:jc w:val="center"/>
              <w:rPr>
                <w:b/>
                <w:sz w:val="18"/>
                <w:szCs w:val="18"/>
              </w:rPr>
            </w:pPr>
            <w:r w:rsidRPr="00335BB0">
              <w:rPr>
                <w:b/>
                <w:sz w:val="18"/>
                <w:szCs w:val="18"/>
              </w:rPr>
              <w:t>20.202</w:t>
            </w:r>
          </w:p>
        </w:tc>
        <w:tc>
          <w:tcPr>
            <w:tcW w:w="915" w:type="dxa"/>
            <w:vAlign w:val="center"/>
          </w:tcPr>
          <w:p w14:paraId="1C363835" w14:textId="77777777" w:rsidR="00335BB0" w:rsidRPr="00335BB0" w:rsidRDefault="00335BB0" w:rsidP="00335BB0">
            <w:pPr>
              <w:spacing w:after="40" w:line="240" w:lineRule="auto"/>
              <w:jc w:val="center"/>
              <w:rPr>
                <w:b/>
                <w:sz w:val="18"/>
                <w:szCs w:val="18"/>
              </w:rPr>
            </w:pPr>
            <w:r>
              <w:rPr>
                <w:b/>
                <w:sz w:val="18"/>
                <w:szCs w:val="18"/>
              </w:rPr>
              <w:t>36.556</w:t>
            </w:r>
          </w:p>
        </w:tc>
        <w:tc>
          <w:tcPr>
            <w:tcW w:w="1014" w:type="dxa"/>
            <w:vAlign w:val="center"/>
          </w:tcPr>
          <w:p w14:paraId="6717172D" w14:textId="77777777" w:rsidR="00335BB0" w:rsidRPr="00335BB0" w:rsidRDefault="00335BB0" w:rsidP="00335BB0">
            <w:pPr>
              <w:spacing w:after="40" w:line="240" w:lineRule="auto"/>
              <w:jc w:val="center"/>
              <w:rPr>
                <w:b/>
                <w:sz w:val="18"/>
                <w:szCs w:val="18"/>
              </w:rPr>
            </w:pPr>
            <w:r w:rsidRPr="00335BB0">
              <w:rPr>
                <w:b/>
                <w:sz w:val="18"/>
                <w:szCs w:val="18"/>
              </w:rPr>
              <w:t>798</w:t>
            </w:r>
          </w:p>
        </w:tc>
        <w:tc>
          <w:tcPr>
            <w:tcW w:w="1042" w:type="dxa"/>
            <w:vAlign w:val="center"/>
          </w:tcPr>
          <w:p w14:paraId="7BE115F3" w14:textId="77777777" w:rsidR="00335BB0" w:rsidRPr="00335BB0" w:rsidRDefault="00335BB0" w:rsidP="00335BB0">
            <w:pPr>
              <w:spacing w:after="40" w:line="240" w:lineRule="auto"/>
              <w:jc w:val="center"/>
              <w:rPr>
                <w:b/>
                <w:sz w:val="18"/>
                <w:szCs w:val="18"/>
              </w:rPr>
            </w:pPr>
            <w:r>
              <w:rPr>
                <w:b/>
                <w:sz w:val="18"/>
                <w:szCs w:val="18"/>
              </w:rPr>
              <w:t>1.444</w:t>
            </w:r>
          </w:p>
        </w:tc>
      </w:tr>
    </w:tbl>
    <w:p w14:paraId="6D6DDAFA" w14:textId="77777777" w:rsidR="00DB6DF4" w:rsidRPr="00791808" w:rsidRDefault="00DC5819" w:rsidP="00524440">
      <w:pPr>
        <w:pStyle w:val="af6"/>
        <w:spacing w:line="360" w:lineRule="auto"/>
        <w:rPr>
          <w:color w:val="000000"/>
        </w:rPr>
      </w:pPr>
      <w:r w:rsidRPr="00791808">
        <w:t xml:space="preserve">Δείκτης Εκροής </w:t>
      </w:r>
      <w:r w:rsidR="00B925F9">
        <w:t>ΕΠΑΝΕΚ</w:t>
      </w:r>
      <w:r w:rsidRPr="00791808">
        <w:t>: Αριθμός νοικοκυριών που κατατάσσονται σε καλύτερη κατηγορία</w:t>
      </w:r>
      <w:r w:rsidR="00643854" w:rsidRPr="00791808">
        <w:t xml:space="preserve"> </w:t>
      </w:r>
      <w:r w:rsidRPr="00791808">
        <w:t xml:space="preserve">ενεργειακής </w:t>
      </w:r>
      <w:r w:rsidR="00643854" w:rsidRPr="00791808">
        <w:t>κ</w:t>
      </w:r>
      <w:r w:rsidRPr="00791808">
        <w:t>ατανάλωσης</w:t>
      </w:r>
      <w:r w:rsidRPr="00791808">
        <w:rPr>
          <w:color w:val="000000"/>
        </w:rPr>
        <w:t xml:space="preserve"> </w:t>
      </w:r>
    </w:p>
    <w:p w14:paraId="2A76995D" w14:textId="77777777" w:rsidR="00DB6DF4" w:rsidRPr="00335BB0" w:rsidRDefault="008D1648" w:rsidP="00524440">
      <w:pPr>
        <w:spacing w:line="360" w:lineRule="auto"/>
      </w:pPr>
      <w:r w:rsidRPr="001A5251">
        <w:t>Όπως περιγράφεται στο εγκεκριμένο έγγραφο εξειδίκευσης της 1</w:t>
      </w:r>
      <w:r w:rsidRPr="001A5251">
        <w:rPr>
          <w:vertAlign w:val="superscript"/>
        </w:rPr>
        <w:t>ης</w:t>
      </w:r>
      <w:r w:rsidRPr="001A5251">
        <w:t xml:space="preserve"> Επιτροπής Παρακολούθησης του </w:t>
      </w:r>
      <w:r w:rsidR="00B925F9">
        <w:t>ΕΠΑΝΕΚ</w:t>
      </w:r>
      <w:r w:rsidRPr="001A5251">
        <w:t xml:space="preserve"> , για την οικονομική ενίσχυση των 21.000 κατοικιών θα διατ</w:t>
      </w:r>
      <w:r w:rsidR="00952E73">
        <w:t>ίθετο</w:t>
      </w:r>
      <w:r w:rsidRPr="001A5251">
        <w:t xml:space="preserve"> ποσό δημόσιας δαπάνης της τάξεως των 248</w:t>
      </w:r>
      <w:r w:rsidR="004F576E">
        <w:t>εκ.€</w:t>
      </w:r>
      <w:r w:rsidRPr="001A5251">
        <w:t xml:space="preserve">. </w:t>
      </w:r>
      <w:r w:rsidR="00335BB0">
        <w:t xml:space="preserve">Με την ολοκλήρωση της συμμετοχής στον </w:t>
      </w:r>
      <w:r w:rsidR="00B925F9">
        <w:t>Α’ Κύκλο</w:t>
      </w:r>
      <w:r w:rsidR="00335BB0">
        <w:t xml:space="preserve"> αναπροσαρμόστηκε το ΤΔΠ των επιχορηγήσεων στο </w:t>
      </w:r>
      <w:r w:rsidR="00B925F9">
        <w:t>ΕΠΑνΕΚ</w:t>
      </w:r>
      <w:r w:rsidR="00335BB0">
        <w:t xml:space="preserve"> και αυξήθηκε η Δημόσια Δαπάνη </w:t>
      </w:r>
      <w:r w:rsidR="00335BB0">
        <w:lastRenderedPageBreak/>
        <w:t>μετά από σύμφωνη γνώμη της ΓΓ ΕΣΠΑ στα 487,8</w:t>
      </w:r>
      <w:r w:rsidR="004F576E">
        <w:t>εκ.€</w:t>
      </w:r>
      <w:r w:rsidR="00335BB0">
        <w:t xml:space="preserve"> συμπεριλαμβανομένων </w:t>
      </w:r>
      <w:r w:rsidR="00FC1E46">
        <w:t>6,85</w:t>
      </w:r>
      <w:r w:rsidR="004F576E">
        <w:t>εκ.€</w:t>
      </w:r>
      <w:r w:rsidR="00FC1E46">
        <w:t xml:space="preserve"> </w:t>
      </w:r>
      <w:r w:rsidR="00335BB0">
        <w:t xml:space="preserve">δαπανών εξόδων του δικαιούχου </w:t>
      </w:r>
      <w:r w:rsidR="00335BB0">
        <w:rPr>
          <w:lang w:val="en-US"/>
        </w:rPr>
        <w:t>fund</w:t>
      </w:r>
      <w:r w:rsidR="00335BB0" w:rsidRPr="00335BB0">
        <w:t xml:space="preserve"> </w:t>
      </w:r>
      <w:r w:rsidR="00335BB0">
        <w:rPr>
          <w:lang w:val="en-US"/>
        </w:rPr>
        <w:t>manager</w:t>
      </w:r>
      <w:r w:rsidR="00335BB0" w:rsidRPr="00335BB0">
        <w:t xml:space="preserve"> </w:t>
      </w:r>
      <w:r w:rsidR="00335BB0">
        <w:t>ΕΑΤ Α.Ε. (πρώην ΕΤΕΑΝ</w:t>
      </w:r>
      <w:r w:rsidR="00C87CFF">
        <w:t xml:space="preserve"> Α.Ε.</w:t>
      </w:r>
      <w:r w:rsidR="00335BB0">
        <w:t>)</w:t>
      </w:r>
      <w:r w:rsidR="00FC1E46">
        <w:t xml:space="preserve"> δηλαδή 480,9</w:t>
      </w:r>
      <w:r w:rsidR="004F576E">
        <w:t>εκ.€</w:t>
      </w:r>
    </w:p>
    <w:tbl>
      <w:tblPr>
        <w:tblStyle w:val="a6"/>
        <w:tblW w:w="0" w:type="auto"/>
        <w:tblLook w:val="04A0" w:firstRow="1" w:lastRow="0" w:firstColumn="1" w:lastColumn="0" w:noHBand="0" w:noVBand="1"/>
      </w:tblPr>
      <w:tblGrid>
        <w:gridCol w:w="1463"/>
        <w:gridCol w:w="1367"/>
        <w:gridCol w:w="1559"/>
        <w:gridCol w:w="1560"/>
        <w:gridCol w:w="1366"/>
        <w:gridCol w:w="1463"/>
      </w:tblGrid>
      <w:tr w:rsidR="00335BB0" w:rsidRPr="00335BB0" w14:paraId="5A3E82F5" w14:textId="77777777" w:rsidTr="00923914">
        <w:trPr>
          <w:trHeight w:val="875"/>
        </w:trPr>
        <w:tc>
          <w:tcPr>
            <w:tcW w:w="2830" w:type="dxa"/>
            <w:gridSpan w:val="2"/>
            <w:vMerge w:val="restart"/>
          </w:tcPr>
          <w:p w14:paraId="22E65808" w14:textId="77777777" w:rsidR="00335BB0" w:rsidRPr="00335BB0" w:rsidRDefault="00335BB0" w:rsidP="00923914">
            <w:pPr>
              <w:spacing w:after="40" w:line="240" w:lineRule="auto"/>
              <w:rPr>
                <w:sz w:val="18"/>
                <w:szCs w:val="18"/>
              </w:rPr>
            </w:pPr>
          </w:p>
        </w:tc>
        <w:tc>
          <w:tcPr>
            <w:tcW w:w="3119" w:type="dxa"/>
            <w:gridSpan w:val="2"/>
            <w:vAlign w:val="center"/>
          </w:tcPr>
          <w:p w14:paraId="79CBFD2D" w14:textId="77777777" w:rsidR="00335BB0" w:rsidRPr="00C87CFF" w:rsidRDefault="00335BB0" w:rsidP="00923914">
            <w:pPr>
              <w:spacing w:after="40" w:line="240" w:lineRule="auto"/>
              <w:jc w:val="center"/>
              <w:rPr>
                <w:b/>
                <w:sz w:val="18"/>
                <w:szCs w:val="18"/>
              </w:rPr>
            </w:pPr>
            <w:r w:rsidRPr="00C87CFF">
              <w:rPr>
                <w:b/>
                <w:sz w:val="18"/>
                <w:szCs w:val="18"/>
              </w:rPr>
              <w:t xml:space="preserve">Άξονας Προτεραιότητας </w:t>
            </w:r>
            <w:r w:rsidR="00C87CFF" w:rsidRPr="00C87CFF">
              <w:rPr>
                <w:b/>
                <w:sz w:val="18"/>
                <w:szCs w:val="18"/>
              </w:rPr>
              <w:t>0</w:t>
            </w:r>
            <w:r w:rsidRPr="00C87CFF">
              <w:rPr>
                <w:b/>
                <w:sz w:val="18"/>
                <w:szCs w:val="18"/>
              </w:rPr>
              <w:t>3</w:t>
            </w:r>
          </w:p>
        </w:tc>
        <w:tc>
          <w:tcPr>
            <w:tcW w:w="2829" w:type="dxa"/>
            <w:gridSpan w:val="2"/>
            <w:vAlign w:val="center"/>
          </w:tcPr>
          <w:p w14:paraId="21BC921F" w14:textId="77777777" w:rsidR="00335BB0" w:rsidRPr="00C87CFF" w:rsidRDefault="00335BB0" w:rsidP="00923914">
            <w:pPr>
              <w:spacing w:after="40" w:line="240" w:lineRule="auto"/>
              <w:jc w:val="center"/>
              <w:rPr>
                <w:b/>
                <w:sz w:val="18"/>
                <w:szCs w:val="18"/>
              </w:rPr>
            </w:pPr>
            <w:r w:rsidRPr="00C87CFF">
              <w:rPr>
                <w:b/>
                <w:sz w:val="18"/>
                <w:szCs w:val="18"/>
              </w:rPr>
              <w:t xml:space="preserve">Άξονας Προτεραιότητας </w:t>
            </w:r>
            <w:r w:rsidR="00C87CFF" w:rsidRPr="00C87CFF">
              <w:rPr>
                <w:b/>
                <w:sz w:val="18"/>
                <w:szCs w:val="18"/>
              </w:rPr>
              <w:t>0</w:t>
            </w:r>
            <w:r w:rsidRPr="00C87CFF">
              <w:rPr>
                <w:b/>
                <w:sz w:val="18"/>
                <w:szCs w:val="18"/>
              </w:rPr>
              <w:t>3Σ</w:t>
            </w:r>
          </w:p>
        </w:tc>
      </w:tr>
      <w:tr w:rsidR="00FC1E46" w:rsidRPr="00335BB0" w14:paraId="512FFF1E" w14:textId="77777777" w:rsidTr="00923914">
        <w:trPr>
          <w:trHeight w:val="196"/>
        </w:trPr>
        <w:tc>
          <w:tcPr>
            <w:tcW w:w="2830" w:type="dxa"/>
            <w:gridSpan w:val="2"/>
            <w:vMerge/>
          </w:tcPr>
          <w:p w14:paraId="2B32C6B9" w14:textId="77777777" w:rsidR="00FC1E46" w:rsidRPr="00335BB0" w:rsidRDefault="00FC1E46" w:rsidP="00923914">
            <w:pPr>
              <w:spacing w:after="40" w:line="240" w:lineRule="auto"/>
              <w:rPr>
                <w:sz w:val="18"/>
                <w:szCs w:val="18"/>
              </w:rPr>
            </w:pPr>
          </w:p>
        </w:tc>
        <w:tc>
          <w:tcPr>
            <w:tcW w:w="1559" w:type="dxa"/>
            <w:vAlign w:val="center"/>
          </w:tcPr>
          <w:p w14:paraId="55FE7941" w14:textId="77777777" w:rsidR="00FC1E46" w:rsidRPr="00C87CFF" w:rsidRDefault="00FC1E46" w:rsidP="00923914">
            <w:pPr>
              <w:spacing w:after="40" w:line="240" w:lineRule="auto"/>
              <w:rPr>
                <w:b/>
                <w:sz w:val="18"/>
                <w:szCs w:val="18"/>
              </w:rPr>
            </w:pPr>
            <w:r w:rsidRPr="00C87CFF">
              <w:rPr>
                <w:b/>
                <w:sz w:val="18"/>
                <w:szCs w:val="18"/>
              </w:rPr>
              <w:t>Αρχική ένταξη</w:t>
            </w:r>
          </w:p>
        </w:tc>
        <w:tc>
          <w:tcPr>
            <w:tcW w:w="1560" w:type="dxa"/>
            <w:vAlign w:val="center"/>
          </w:tcPr>
          <w:p w14:paraId="1E7E887C" w14:textId="77777777" w:rsidR="00FC1E46" w:rsidRPr="00C87CFF" w:rsidRDefault="00FC1E46" w:rsidP="00923914">
            <w:pPr>
              <w:spacing w:after="40" w:line="240" w:lineRule="auto"/>
              <w:rPr>
                <w:b/>
                <w:sz w:val="18"/>
                <w:szCs w:val="18"/>
              </w:rPr>
            </w:pPr>
            <w:r w:rsidRPr="00C87CFF">
              <w:rPr>
                <w:b/>
                <w:sz w:val="18"/>
                <w:szCs w:val="18"/>
              </w:rPr>
              <w:t>Τροποποίηση</w:t>
            </w:r>
            <w:r w:rsidR="00F71640" w:rsidRPr="00C87CFF">
              <w:rPr>
                <w:b/>
                <w:sz w:val="18"/>
                <w:szCs w:val="18"/>
              </w:rPr>
              <w:t xml:space="preserve"> μετά την ολοκλήρωση των αιτήσεων του Α κύκλου.</w:t>
            </w:r>
          </w:p>
        </w:tc>
        <w:tc>
          <w:tcPr>
            <w:tcW w:w="1366" w:type="dxa"/>
            <w:vAlign w:val="center"/>
          </w:tcPr>
          <w:p w14:paraId="7746B6AA" w14:textId="77777777" w:rsidR="00FC1E46" w:rsidRPr="00C87CFF" w:rsidRDefault="00FC1E46" w:rsidP="00923914">
            <w:pPr>
              <w:spacing w:after="40" w:line="240" w:lineRule="auto"/>
              <w:rPr>
                <w:b/>
                <w:sz w:val="18"/>
                <w:szCs w:val="18"/>
              </w:rPr>
            </w:pPr>
            <w:r w:rsidRPr="00C87CFF">
              <w:rPr>
                <w:b/>
                <w:sz w:val="18"/>
                <w:szCs w:val="18"/>
              </w:rPr>
              <w:t>Αρχική ένταξη</w:t>
            </w:r>
          </w:p>
        </w:tc>
        <w:tc>
          <w:tcPr>
            <w:tcW w:w="1463" w:type="dxa"/>
            <w:vAlign w:val="center"/>
          </w:tcPr>
          <w:p w14:paraId="6EDA8BBF" w14:textId="77777777" w:rsidR="00FC1E46" w:rsidRPr="00C87CFF" w:rsidRDefault="00FC1E46" w:rsidP="00923914">
            <w:pPr>
              <w:spacing w:after="40" w:line="240" w:lineRule="auto"/>
              <w:rPr>
                <w:b/>
                <w:sz w:val="18"/>
                <w:szCs w:val="18"/>
              </w:rPr>
            </w:pPr>
            <w:r w:rsidRPr="00C87CFF">
              <w:rPr>
                <w:b/>
                <w:sz w:val="18"/>
                <w:szCs w:val="18"/>
              </w:rPr>
              <w:t>Τροποποίηση</w:t>
            </w:r>
          </w:p>
        </w:tc>
      </w:tr>
      <w:tr w:rsidR="00335BB0" w:rsidRPr="00335BB0" w14:paraId="2F7CA573" w14:textId="77777777" w:rsidTr="00923914">
        <w:tc>
          <w:tcPr>
            <w:tcW w:w="1463" w:type="dxa"/>
          </w:tcPr>
          <w:p w14:paraId="395B0EEB" w14:textId="77777777" w:rsidR="00335BB0" w:rsidRPr="00335BB0" w:rsidRDefault="00335BB0" w:rsidP="00923914">
            <w:pPr>
              <w:spacing w:after="40" w:line="240" w:lineRule="auto"/>
              <w:rPr>
                <w:sz w:val="18"/>
                <w:szCs w:val="18"/>
              </w:rPr>
            </w:pPr>
            <w:r w:rsidRPr="00335BB0">
              <w:rPr>
                <w:sz w:val="18"/>
                <w:szCs w:val="18"/>
              </w:rPr>
              <w:t xml:space="preserve">Λιγότερο ανεπτυγμένες </w:t>
            </w:r>
            <w:r w:rsidR="00E5630E">
              <w:rPr>
                <w:sz w:val="18"/>
                <w:szCs w:val="18"/>
              </w:rPr>
              <w:t>Περιφέρ</w:t>
            </w:r>
            <w:r w:rsidRPr="00335BB0">
              <w:rPr>
                <w:sz w:val="18"/>
                <w:szCs w:val="18"/>
              </w:rPr>
              <w:t>ειες</w:t>
            </w:r>
          </w:p>
        </w:tc>
        <w:tc>
          <w:tcPr>
            <w:tcW w:w="1367" w:type="dxa"/>
            <w:vAlign w:val="center"/>
          </w:tcPr>
          <w:p w14:paraId="75583239" w14:textId="77777777" w:rsidR="00335BB0" w:rsidRPr="00335BB0" w:rsidRDefault="00335BB0" w:rsidP="00923914">
            <w:pPr>
              <w:spacing w:after="40" w:line="240" w:lineRule="auto"/>
              <w:rPr>
                <w:sz w:val="18"/>
                <w:szCs w:val="18"/>
              </w:rPr>
            </w:pPr>
            <w:r w:rsidRPr="00335BB0">
              <w:rPr>
                <w:sz w:val="18"/>
                <w:szCs w:val="18"/>
              </w:rPr>
              <w:t xml:space="preserve">Ανατολική Μακεδονία και Θράκη, Κεντρική Μακεδονία, Ήπειρος, Θεσσαλία, </w:t>
            </w:r>
            <w:proofErr w:type="spellStart"/>
            <w:r w:rsidRPr="00335BB0">
              <w:rPr>
                <w:sz w:val="18"/>
                <w:szCs w:val="18"/>
              </w:rPr>
              <w:t>Δ</w:t>
            </w:r>
            <w:r w:rsidR="00C87CFF">
              <w:rPr>
                <w:sz w:val="18"/>
                <w:szCs w:val="18"/>
              </w:rPr>
              <w:t>υτ</w:t>
            </w:r>
            <w:r w:rsidRPr="00335BB0">
              <w:rPr>
                <w:sz w:val="18"/>
                <w:szCs w:val="18"/>
              </w:rPr>
              <w:t>.Ελλάδα</w:t>
            </w:r>
            <w:proofErr w:type="spellEnd"/>
          </w:p>
        </w:tc>
        <w:tc>
          <w:tcPr>
            <w:tcW w:w="1559" w:type="dxa"/>
            <w:vAlign w:val="center"/>
          </w:tcPr>
          <w:p w14:paraId="538BA147" w14:textId="77777777" w:rsidR="00335BB0" w:rsidRPr="00335BB0" w:rsidRDefault="00335BB0" w:rsidP="00923914">
            <w:pPr>
              <w:spacing w:after="40" w:line="240" w:lineRule="auto"/>
              <w:rPr>
                <w:color w:val="000000"/>
                <w:sz w:val="18"/>
                <w:szCs w:val="18"/>
              </w:rPr>
            </w:pPr>
            <w:r w:rsidRPr="00335BB0">
              <w:rPr>
                <w:sz w:val="18"/>
                <w:szCs w:val="18"/>
              </w:rPr>
              <w:t>156.843.693,75€</w:t>
            </w:r>
          </w:p>
        </w:tc>
        <w:tc>
          <w:tcPr>
            <w:tcW w:w="1560" w:type="dxa"/>
            <w:vAlign w:val="center"/>
          </w:tcPr>
          <w:p w14:paraId="2EB70247" w14:textId="77777777" w:rsidR="00335BB0" w:rsidRPr="00335BB0" w:rsidRDefault="00923914" w:rsidP="00923914">
            <w:pPr>
              <w:spacing w:after="40" w:line="240" w:lineRule="auto"/>
              <w:rPr>
                <w:color w:val="000000"/>
                <w:sz w:val="18"/>
                <w:szCs w:val="18"/>
              </w:rPr>
            </w:pPr>
            <w:r w:rsidRPr="00923914">
              <w:rPr>
                <w:color w:val="000000"/>
                <w:sz w:val="18"/>
                <w:szCs w:val="18"/>
              </w:rPr>
              <w:t>275.055.615,68</w:t>
            </w:r>
            <w:r>
              <w:rPr>
                <w:color w:val="000000"/>
                <w:sz w:val="18"/>
                <w:szCs w:val="18"/>
              </w:rPr>
              <w:t>€</w:t>
            </w:r>
          </w:p>
        </w:tc>
        <w:tc>
          <w:tcPr>
            <w:tcW w:w="1366" w:type="dxa"/>
            <w:vAlign w:val="center"/>
          </w:tcPr>
          <w:p w14:paraId="3DDF1D55" w14:textId="77777777" w:rsidR="00335BB0" w:rsidRPr="00335BB0" w:rsidRDefault="00335BB0" w:rsidP="00923914">
            <w:pPr>
              <w:spacing w:after="40" w:line="240" w:lineRule="auto"/>
              <w:rPr>
                <w:sz w:val="18"/>
                <w:szCs w:val="18"/>
              </w:rPr>
            </w:pPr>
          </w:p>
        </w:tc>
        <w:tc>
          <w:tcPr>
            <w:tcW w:w="1463" w:type="dxa"/>
            <w:vAlign w:val="center"/>
          </w:tcPr>
          <w:p w14:paraId="337520EB" w14:textId="77777777" w:rsidR="00335BB0" w:rsidRPr="00335BB0" w:rsidRDefault="00335BB0" w:rsidP="00923914">
            <w:pPr>
              <w:spacing w:after="40" w:line="240" w:lineRule="auto"/>
              <w:rPr>
                <w:sz w:val="18"/>
                <w:szCs w:val="18"/>
              </w:rPr>
            </w:pPr>
          </w:p>
        </w:tc>
      </w:tr>
      <w:tr w:rsidR="00335BB0" w:rsidRPr="00335BB0" w14:paraId="723D53E8" w14:textId="77777777" w:rsidTr="00923914">
        <w:tc>
          <w:tcPr>
            <w:tcW w:w="1463" w:type="dxa"/>
          </w:tcPr>
          <w:p w14:paraId="5BE3EA98" w14:textId="77777777" w:rsidR="00335BB0" w:rsidRPr="00335BB0" w:rsidRDefault="00335BB0" w:rsidP="00923914">
            <w:pPr>
              <w:spacing w:after="40" w:line="240" w:lineRule="auto"/>
              <w:rPr>
                <w:sz w:val="18"/>
                <w:szCs w:val="18"/>
              </w:rPr>
            </w:pPr>
            <w:r w:rsidRPr="00335BB0">
              <w:rPr>
                <w:sz w:val="18"/>
                <w:szCs w:val="18"/>
              </w:rPr>
              <w:t xml:space="preserve">Περισσότερο αναπτυγμένες </w:t>
            </w:r>
            <w:r w:rsidR="00E5630E">
              <w:rPr>
                <w:sz w:val="18"/>
                <w:szCs w:val="18"/>
              </w:rPr>
              <w:t>Περιφέρ</w:t>
            </w:r>
            <w:r w:rsidRPr="00335BB0">
              <w:rPr>
                <w:sz w:val="18"/>
                <w:szCs w:val="18"/>
              </w:rPr>
              <w:t xml:space="preserve">ειες </w:t>
            </w:r>
          </w:p>
        </w:tc>
        <w:tc>
          <w:tcPr>
            <w:tcW w:w="1367" w:type="dxa"/>
            <w:vAlign w:val="center"/>
          </w:tcPr>
          <w:p w14:paraId="51AB9D70" w14:textId="77777777" w:rsidR="00335BB0" w:rsidRPr="00335BB0" w:rsidRDefault="00335BB0" w:rsidP="00923914">
            <w:pPr>
              <w:spacing w:after="40" w:line="240" w:lineRule="auto"/>
              <w:jc w:val="left"/>
              <w:rPr>
                <w:sz w:val="18"/>
                <w:szCs w:val="18"/>
              </w:rPr>
            </w:pPr>
            <w:r w:rsidRPr="00335BB0">
              <w:rPr>
                <w:sz w:val="18"/>
                <w:szCs w:val="18"/>
              </w:rPr>
              <w:t>Αττική, Νότιο Αιγαίο</w:t>
            </w:r>
          </w:p>
        </w:tc>
        <w:tc>
          <w:tcPr>
            <w:tcW w:w="1559" w:type="dxa"/>
            <w:vAlign w:val="center"/>
          </w:tcPr>
          <w:p w14:paraId="3FC3B1D2" w14:textId="77777777" w:rsidR="00335BB0" w:rsidRPr="00335BB0" w:rsidRDefault="00335BB0" w:rsidP="00923914">
            <w:pPr>
              <w:spacing w:after="40" w:line="240" w:lineRule="auto"/>
              <w:rPr>
                <w:color w:val="000000"/>
                <w:sz w:val="18"/>
                <w:szCs w:val="18"/>
              </w:rPr>
            </w:pPr>
            <w:r w:rsidRPr="00335BB0">
              <w:rPr>
                <w:sz w:val="18"/>
                <w:szCs w:val="18"/>
              </w:rPr>
              <w:t>45.877.233,75€</w:t>
            </w:r>
          </w:p>
        </w:tc>
        <w:tc>
          <w:tcPr>
            <w:tcW w:w="1560" w:type="dxa"/>
            <w:vAlign w:val="center"/>
          </w:tcPr>
          <w:p w14:paraId="5189A0DA" w14:textId="77777777" w:rsidR="00335BB0" w:rsidRPr="00335BB0" w:rsidRDefault="00923914" w:rsidP="00923914">
            <w:pPr>
              <w:spacing w:after="40" w:line="240" w:lineRule="auto"/>
              <w:rPr>
                <w:color w:val="000000"/>
                <w:sz w:val="18"/>
                <w:szCs w:val="18"/>
              </w:rPr>
            </w:pPr>
            <w:r w:rsidRPr="00923914">
              <w:rPr>
                <w:color w:val="000000"/>
                <w:sz w:val="18"/>
                <w:szCs w:val="18"/>
              </w:rPr>
              <w:t>89.628.679,51</w:t>
            </w:r>
            <w:r>
              <w:rPr>
                <w:color w:val="000000"/>
                <w:sz w:val="18"/>
                <w:szCs w:val="18"/>
              </w:rPr>
              <w:t>€</w:t>
            </w:r>
          </w:p>
        </w:tc>
        <w:tc>
          <w:tcPr>
            <w:tcW w:w="1366" w:type="dxa"/>
            <w:vAlign w:val="center"/>
          </w:tcPr>
          <w:p w14:paraId="27ECA3B0" w14:textId="77777777" w:rsidR="00335BB0" w:rsidRPr="00335BB0" w:rsidRDefault="00335BB0" w:rsidP="00923914">
            <w:pPr>
              <w:spacing w:after="40" w:line="240" w:lineRule="auto"/>
              <w:rPr>
                <w:color w:val="000000"/>
                <w:sz w:val="18"/>
                <w:szCs w:val="18"/>
              </w:rPr>
            </w:pPr>
            <w:r w:rsidRPr="00335BB0">
              <w:rPr>
                <w:sz w:val="18"/>
                <w:szCs w:val="18"/>
              </w:rPr>
              <w:t>8.155.952€</w:t>
            </w:r>
          </w:p>
        </w:tc>
        <w:tc>
          <w:tcPr>
            <w:tcW w:w="1463" w:type="dxa"/>
            <w:vAlign w:val="center"/>
          </w:tcPr>
          <w:p w14:paraId="3C505E45" w14:textId="77777777" w:rsidR="00335BB0" w:rsidRPr="00335BB0" w:rsidRDefault="00923914" w:rsidP="00923914">
            <w:pPr>
              <w:spacing w:after="40" w:line="240" w:lineRule="auto"/>
              <w:rPr>
                <w:color w:val="000000"/>
                <w:sz w:val="18"/>
                <w:szCs w:val="18"/>
              </w:rPr>
            </w:pPr>
            <w:r w:rsidRPr="00923914">
              <w:rPr>
                <w:color w:val="000000"/>
                <w:sz w:val="18"/>
                <w:szCs w:val="18"/>
              </w:rPr>
              <w:t>6.728.123,12</w:t>
            </w:r>
            <w:r>
              <w:rPr>
                <w:color w:val="000000"/>
                <w:sz w:val="18"/>
                <w:szCs w:val="18"/>
              </w:rPr>
              <w:t>€</w:t>
            </w:r>
          </w:p>
        </w:tc>
      </w:tr>
      <w:tr w:rsidR="00335BB0" w:rsidRPr="00335BB0" w14:paraId="0E05517F" w14:textId="77777777" w:rsidTr="00923914">
        <w:tc>
          <w:tcPr>
            <w:tcW w:w="1463" w:type="dxa"/>
            <w:vAlign w:val="center"/>
          </w:tcPr>
          <w:p w14:paraId="35C8D921" w14:textId="77777777" w:rsidR="00335BB0" w:rsidRPr="00335BB0" w:rsidRDefault="00335BB0" w:rsidP="00923914">
            <w:pPr>
              <w:spacing w:after="40" w:line="240" w:lineRule="auto"/>
              <w:rPr>
                <w:sz w:val="18"/>
                <w:szCs w:val="18"/>
              </w:rPr>
            </w:pPr>
            <w:r w:rsidRPr="00335BB0">
              <w:rPr>
                <w:sz w:val="18"/>
                <w:szCs w:val="18"/>
              </w:rPr>
              <w:t>Μετάβαση</w:t>
            </w:r>
          </w:p>
        </w:tc>
        <w:tc>
          <w:tcPr>
            <w:tcW w:w="1367" w:type="dxa"/>
            <w:vAlign w:val="center"/>
          </w:tcPr>
          <w:p w14:paraId="753E858D" w14:textId="77777777" w:rsidR="00335BB0" w:rsidRPr="00335BB0" w:rsidRDefault="00335BB0" w:rsidP="00923914">
            <w:pPr>
              <w:spacing w:after="40" w:line="240" w:lineRule="auto"/>
              <w:rPr>
                <w:sz w:val="18"/>
                <w:szCs w:val="18"/>
              </w:rPr>
            </w:pPr>
            <w:proofErr w:type="spellStart"/>
            <w:r w:rsidRPr="00335BB0">
              <w:rPr>
                <w:sz w:val="18"/>
                <w:szCs w:val="18"/>
              </w:rPr>
              <w:t>Στ.Ελλάδα</w:t>
            </w:r>
            <w:proofErr w:type="spellEnd"/>
            <w:r w:rsidRPr="00335BB0">
              <w:rPr>
                <w:sz w:val="18"/>
                <w:szCs w:val="18"/>
              </w:rPr>
              <w:t xml:space="preserve">, </w:t>
            </w:r>
            <w:proofErr w:type="spellStart"/>
            <w:r w:rsidRPr="00335BB0">
              <w:rPr>
                <w:sz w:val="18"/>
                <w:szCs w:val="18"/>
              </w:rPr>
              <w:t>Δ.Μακεδονία</w:t>
            </w:r>
            <w:proofErr w:type="spellEnd"/>
            <w:r w:rsidRPr="00335BB0">
              <w:rPr>
                <w:sz w:val="18"/>
                <w:szCs w:val="18"/>
              </w:rPr>
              <w:t xml:space="preserve">, Πελοπόννησος Ιόνια νησιά, </w:t>
            </w:r>
            <w:proofErr w:type="spellStart"/>
            <w:r w:rsidRPr="00335BB0">
              <w:rPr>
                <w:sz w:val="18"/>
                <w:szCs w:val="18"/>
              </w:rPr>
              <w:t>Β.Αιγαίο</w:t>
            </w:r>
            <w:proofErr w:type="spellEnd"/>
            <w:r w:rsidRPr="00335BB0">
              <w:rPr>
                <w:sz w:val="18"/>
                <w:szCs w:val="18"/>
              </w:rPr>
              <w:t xml:space="preserve"> και Κρήτη</w:t>
            </w:r>
          </w:p>
        </w:tc>
        <w:tc>
          <w:tcPr>
            <w:tcW w:w="1559" w:type="dxa"/>
            <w:vAlign w:val="center"/>
          </w:tcPr>
          <w:p w14:paraId="7A9665C2" w14:textId="77777777" w:rsidR="00335BB0" w:rsidRPr="00335BB0" w:rsidRDefault="00335BB0" w:rsidP="00923914">
            <w:pPr>
              <w:spacing w:after="40" w:line="240" w:lineRule="auto"/>
              <w:rPr>
                <w:color w:val="000000"/>
                <w:sz w:val="18"/>
                <w:szCs w:val="18"/>
              </w:rPr>
            </w:pPr>
            <w:r w:rsidRPr="00335BB0">
              <w:rPr>
                <w:sz w:val="18"/>
                <w:szCs w:val="18"/>
              </w:rPr>
              <w:t>30.519.808,75€</w:t>
            </w:r>
          </w:p>
        </w:tc>
        <w:tc>
          <w:tcPr>
            <w:tcW w:w="1560" w:type="dxa"/>
            <w:vAlign w:val="center"/>
          </w:tcPr>
          <w:p w14:paraId="76CAC746" w14:textId="77777777" w:rsidR="00335BB0" w:rsidRPr="00335BB0" w:rsidRDefault="00923914" w:rsidP="00923914">
            <w:pPr>
              <w:spacing w:after="40" w:line="240" w:lineRule="auto"/>
              <w:rPr>
                <w:color w:val="000000"/>
                <w:sz w:val="18"/>
                <w:szCs w:val="18"/>
              </w:rPr>
            </w:pPr>
            <w:r w:rsidRPr="00923914">
              <w:rPr>
                <w:color w:val="000000"/>
                <w:sz w:val="18"/>
                <w:szCs w:val="18"/>
              </w:rPr>
              <w:t>82.703.910,59</w:t>
            </w:r>
            <w:r>
              <w:rPr>
                <w:color w:val="000000"/>
                <w:sz w:val="18"/>
                <w:szCs w:val="18"/>
              </w:rPr>
              <w:t>€</w:t>
            </w:r>
          </w:p>
        </w:tc>
        <w:tc>
          <w:tcPr>
            <w:tcW w:w="1366" w:type="dxa"/>
            <w:vAlign w:val="center"/>
          </w:tcPr>
          <w:p w14:paraId="5C4BB5C0" w14:textId="77777777" w:rsidR="00335BB0" w:rsidRPr="00335BB0" w:rsidRDefault="00335BB0" w:rsidP="00923914">
            <w:pPr>
              <w:spacing w:after="40" w:line="240" w:lineRule="auto"/>
              <w:rPr>
                <w:color w:val="000000"/>
                <w:sz w:val="18"/>
                <w:szCs w:val="18"/>
              </w:rPr>
            </w:pPr>
            <w:r w:rsidRPr="00335BB0">
              <w:rPr>
                <w:sz w:val="18"/>
                <w:szCs w:val="18"/>
              </w:rPr>
              <w:t>6.658.868€</w:t>
            </w:r>
          </w:p>
        </w:tc>
        <w:tc>
          <w:tcPr>
            <w:tcW w:w="1463" w:type="dxa"/>
            <w:vAlign w:val="center"/>
          </w:tcPr>
          <w:p w14:paraId="5F886130" w14:textId="77777777" w:rsidR="00335BB0" w:rsidRPr="00335BB0" w:rsidRDefault="00923914" w:rsidP="00923914">
            <w:pPr>
              <w:spacing w:after="40" w:line="240" w:lineRule="auto"/>
              <w:rPr>
                <w:color w:val="000000"/>
                <w:sz w:val="18"/>
                <w:szCs w:val="18"/>
              </w:rPr>
            </w:pPr>
            <w:r w:rsidRPr="00923914">
              <w:rPr>
                <w:color w:val="000000"/>
                <w:sz w:val="18"/>
                <w:szCs w:val="18"/>
              </w:rPr>
              <w:t>26.768.361,10</w:t>
            </w:r>
            <w:r>
              <w:rPr>
                <w:color w:val="000000"/>
                <w:sz w:val="18"/>
                <w:szCs w:val="18"/>
              </w:rPr>
              <w:t>€</w:t>
            </w:r>
          </w:p>
        </w:tc>
      </w:tr>
      <w:tr w:rsidR="00335BB0" w:rsidRPr="00C87CFF" w14:paraId="18EC1A2E" w14:textId="77777777" w:rsidTr="00C87CFF">
        <w:trPr>
          <w:trHeight w:val="642"/>
        </w:trPr>
        <w:tc>
          <w:tcPr>
            <w:tcW w:w="2830" w:type="dxa"/>
            <w:gridSpan w:val="2"/>
            <w:vAlign w:val="center"/>
          </w:tcPr>
          <w:p w14:paraId="7D142D8E" w14:textId="77777777" w:rsidR="00335BB0" w:rsidRPr="00C87CFF" w:rsidRDefault="00335BB0" w:rsidP="00923914">
            <w:pPr>
              <w:spacing w:after="40" w:line="240" w:lineRule="auto"/>
              <w:rPr>
                <w:b/>
                <w:sz w:val="18"/>
                <w:szCs w:val="18"/>
              </w:rPr>
            </w:pPr>
            <w:r w:rsidRPr="00C87CFF">
              <w:rPr>
                <w:b/>
                <w:sz w:val="18"/>
                <w:szCs w:val="18"/>
              </w:rPr>
              <w:tab/>
              <w:t>Σύνολα</w:t>
            </w:r>
          </w:p>
        </w:tc>
        <w:tc>
          <w:tcPr>
            <w:tcW w:w="1559" w:type="dxa"/>
            <w:vAlign w:val="center"/>
          </w:tcPr>
          <w:p w14:paraId="0A24982D" w14:textId="77777777" w:rsidR="00335BB0" w:rsidRPr="00C87CFF" w:rsidRDefault="00335BB0" w:rsidP="00923914">
            <w:pPr>
              <w:spacing w:after="40" w:line="240" w:lineRule="auto"/>
              <w:rPr>
                <w:b/>
                <w:sz w:val="18"/>
                <w:szCs w:val="18"/>
              </w:rPr>
            </w:pPr>
            <w:r w:rsidRPr="00C87CFF">
              <w:rPr>
                <w:b/>
                <w:sz w:val="18"/>
                <w:szCs w:val="18"/>
              </w:rPr>
              <w:t>233.240.736,25€</w:t>
            </w:r>
          </w:p>
        </w:tc>
        <w:tc>
          <w:tcPr>
            <w:tcW w:w="1560" w:type="dxa"/>
            <w:vAlign w:val="center"/>
          </w:tcPr>
          <w:p w14:paraId="38EEA5EE" w14:textId="77777777" w:rsidR="00335BB0" w:rsidRPr="00C87CFF" w:rsidRDefault="00923914" w:rsidP="00923914">
            <w:pPr>
              <w:spacing w:after="40" w:line="240" w:lineRule="auto"/>
              <w:rPr>
                <w:b/>
                <w:sz w:val="18"/>
                <w:szCs w:val="18"/>
              </w:rPr>
            </w:pPr>
            <w:r w:rsidRPr="00C87CFF">
              <w:rPr>
                <w:b/>
                <w:sz w:val="18"/>
                <w:szCs w:val="18"/>
              </w:rPr>
              <w:fldChar w:fldCharType="begin"/>
            </w:r>
            <w:r w:rsidRPr="00C87CFF">
              <w:rPr>
                <w:b/>
                <w:sz w:val="18"/>
                <w:szCs w:val="18"/>
              </w:rPr>
              <w:instrText xml:space="preserve"> =SUM(ABOVE) </w:instrText>
            </w:r>
            <w:r w:rsidRPr="00C87CFF">
              <w:rPr>
                <w:b/>
                <w:sz w:val="18"/>
                <w:szCs w:val="18"/>
              </w:rPr>
              <w:fldChar w:fldCharType="separate"/>
            </w:r>
            <w:r w:rsidRPr="00C87CFF">
              <w:rPr>
                <w:b/>
                <w:noProof/>
                <w:sz w:val="18"/>
                <w:szCs w:val="18"/>
              </w:rPr>
              <w:t>447.388.205,78 €</w:t>
            </w:r>
            <w:r w:rsidRPr="00C87CFF">
              <w:rPr>
                <w:b/>
                <w:sz w:val="18"/>
                <w:szCs w:val="18"/>
              </w:rPr>
              <w:fldChar w:fldCharType="end"/>
            </w:r>
          </w:p>
        </w:tc>
        <w:tc>
          <w:tcPr>
            <w:tcW w:w="1366" w:type="dxa"/>
            <w:vAlign w:val="center"/>
          </w:tcPr>
          <w:p w14:paraId="36605C0D" w14:textId="77777777" w:rsidR="00335BB0" w:rsidRPr="00C87CFF" w:rsidRDefault="00335BB0" w:rsidP="00923914">
            <w:pPr>
              <w:spacing w:after="40" w:line="240" w:lineRule="auto"/>
              <w:rPr>
                <w:b/>
                <w:sz w:val="18"/>
                <w:szCs w:val="18"/>
              </w:rPr>
            </w:pPr>
            <w:r w:rsidRPr="00C87CFF">
              <w:rPr>
                <w:b/>
                <w:sz w:val="18"/>
                <w:szCs w:val="18"/>
              </w:rPr>
              <w:t>14.814.820€</w:t>
            </w:r>
          </w:p>
        </w:tc>
        <w:tc>
          <w:tcPr>
            <w:tcW w:w="1463" w:type="dxa"/>
            <w:vAlign w:val="center"/>
          </w:tcPr>
          <w:p w14:paraId="29B8283B" w14:textId="77777777" w:rsidR="00335BB0" w:rsidRPr="00C87CFF" w:rsidRDefault="00923914" w:rsidP="00923914">
            <w:pPr>
              <w:spacing w:after="40" w:line="240" w:lineRule="auto"/>
              <w:rPr>
                <w:b/>
                <w:sz w:val="18"/>
                <w:szCs w:val="18"/>
              </w:rPr>
            </w:pPr>
            <w:r w:rsidRPr="00C87CFF">
              <w:rPr>
                <w:b/>
                <w:sz w:val="18"/>
                <w:szCs w:val="18"/>
              </w:rPr>
              <w:fldChar w:fldCharType="begin"/>
            </w:r>
            <w:r w:rsidRPr="00C87CFF">
              <w:rPr>
                <w:b/>
                <w:sz w:val="18"/>
                <w:szCs w:val="18"/>
              </w:rPr>
              <w:instrText xml:space="preserve"> =SUM(ABOVE) </w:instrText>
            </w:r>
            <w:r w:rsidRPr="00C87CFF">
              <w:rPr>
                <w:b/>
                <w:sz w:val="18"/>
                <w:szCs w:val="18"/>
              </w:rPr>
              <w:fldChar w:fldCharType="separate"/>
            </w:r>
            <w:r w:rsidRPr="00C87CFF">
              <w:rPr>
                <w:b/>
                <w:noProof/>
                <w:sz w:val="18"/>
                <w:szCs w:val="18"/>
              </w:rPr>
              <w:t>33.496.484,22 €</w:t>
            </w:r>
            <w:r w:rsidRPr="00C87CFF">
              <w:rPr>
                <w:b/>
                <w:sz w:val="18"/>
                <w:szCs w:val="18"/>
              </w:rPr>
              <w:fldChar w:fldCharType="end"/>
            </w:r>
          </w:p>
        </w:tc>
      </w:tr>
    </w:tbl>
    <w:p w14:paraId="34B519C6" w14:textId="77777777" w:rsidR="00F52E8A" w:rsidRPr="001A5251" w:rsidRDefault="00F52E8A" w:rsidP="00524440">
      <w:pPr>
        <w:spacing w:line="360" w:lineRule="auto"/>
      </w:pPr>
    </w:p>
    <w:p w14:paraId="22AA8A36" w14:textId="77777777" w:rsidR="00DB7FA0" w:rsidRDefault="00DB7FA0" w:rsidP="00FA5CD9">
      <w:pPr>
        <w:pStyle w:val="3"/>
      </w:pPr>
      <w:bookmarkStart w:id="43" w:name="_Toc36639221"/>
      <w:r>
        <w:t>Προσδιορισμός επενδυτικού κενού σύσταση Ταμείου ΕΞΟΙΚΟΝΟΜΩ ΙΙ</w:t>
      </w:r>
      <w:bookmarkEnd w:id="43"/>
    </w:p>
    <w:p w14:paraId="038505D3" w14:textId="77777777" w:rsidR="00DB7FA0" w:rsidRPr="001A5251" w:rsidRDefault="00DB7FA0" w:rsidP="00DB7FA0">
      <w:pPr>
        <w:spacing w:line="360" w:lineRule="auto"/>
      </w:pPr>
      <w:r w:rsidRPr="001A5251">
        <w:t xml:space="preserve">Όπως γίνεται αντιληπτό και από τα διαγράμματα που παρουσιάσθηκαν κατά την ανάλυση του </w:t>
      </w:r>
      <w:r w:rsidR="00971D9A">
        <w:t>Προγράμματος</w:t>
      </w:r>
      <w:r w:rsidRPr="001A5251">
        <w:t xml:space="preserve"> «Εξοικονόμηση </w:t>
      </w:r>
      <w:proofErr w:type="spellStart"/>
      <w:r w:rsidR="00EB38B3">
        <w:t>κατ</w:t>
      </w:r>
      <w:proofErr w:type="spellEnd"/>
      <w:r w:rsidR="00EB38B3">
        <w:t xml:space="preserve">΄ </w:t>
      </w:r>
      <w:proofErr w:type="spellStart"/>
      <w:r w:rsidR="00EB38B3">
        <w:t>Οίκον</w:t>
      </w:r>
      <w:proofErr w:type="spellEnd"/>
      <w:r w:rsidRPr="001A5251">
        <w:t xml:space="preserve">» την </w:t>
      </w:r>
      <w:r w:rsidR="00C87CFF">
        <w:t xml:space="preserve">Προγραμματική </w:t>
      </w:r>
      <w:r w:rsidR="00EB38B3">
        <w:t>Περίοδο</w:t>
      </w:r>
      <w:r w:rsidRPr="001A5251">
        <w:t xml:space="preserve"> 2007-2013, η πλειονότητα των ωφελούμενων ήταν ιδιοκτήτες ακινήτων με ατομικό εισόδημα κάτω από 40.000€ ή οικογενειακό εισόδημα κάτω από 60.000€. Μόλις 269 ιδιοκτήτες ακινήτων υπερέβαιναν αυτά τα όρια και ωφελήθηκαν από την κατηγορία κινήτρων Β. </w:t>
      </w:r>
      <w:r>
        <w:t xml:space="preserve"> </w:t>
      </w:r>
      <w:r w:rsidRPr="001A5251">
        <w:t>Βασικό κίνητρο για την ενεργοποίηση των ιδιοκτητών ακινήτων με χαμηλά εισοδήματα αποτ</w:t>
      </w:r>
      <w:r>
        <w:t>έλεσε</w:t>
      </w:r>
      <w:r w:rsidRPr="001A5251">
        <w:t xml:space="preserve"> η επιχορήγηση μέρους των δαπανών των ενεργειακών παρεμβάσεων.</w:t>
      </w:r>
    </w:p>
    <w:p w14:paraId="213D18B7" w14:textId="77777777" w:rsidR="00DB7FA0" w:rsidRPr="001A5251" w:rsidRDefault="00DB7FA0" w:rsidP="00DB7FA0">
      <w:pPr>
        <w:spacing w:line="360" w:lineRule="auto"/>
      </w:pPr>
      <w:r w:rsidRPr="001A5251">
        <w:t>Η εκτίμηση του ποσού που θα διατ</w:t>
      </w:r>
      <w:r>
        <w:t>ίθεντο</w:t>
      </w:r>
      <w:r w:rsidRPr="001A5251">
        <w:t xml:space="preserve"> για τη σύσταση του νέου Ταμείο</w:t>
      </w:r>
      <w:r>
        <w:t>υ</w:t>
      </w:r>
      <w:r w:rsidRPr="001A5251">
        <w:t xml:space="preserve"> </w:t>
      </w:r>
      <w:r>
        <w:t>υπήρξε</w:t>
      </w:r>
      <w:r w:rsidRPr="001A5251">
        <w:t xml:space="preserve"> αλληλένδετη με τη δέσμευση κονδυλίων του </w:t>
      </w:r>
      <w:r w:rsidR="00B925F9">
        <w:t>ΕΠΑΝΕΚ</w:t>
      </w:r>
      <w:r w:rsidRPr="001A5251">
        <w:t xml:space="preserve"> (ή και άλλων επιχειρησιακών προγραμμάτων) για την κάλυψη αυτών των επιχορηγήσεων. </w:t>
      </w:r>
    </w:p>
    <w:p w14:paraId="3FE9ECA3" w14:textId="77777777" w:rsidR="00DB7FA0" w:rsidRDefault="00DB7FA0" w:rsidP="00DB7FA0">
      <w:pPr>
        <w:spacing w:line="360" w:lineRule="auto"/>
      </w:pPr>
      <w:r w:rsidRPr="001A5251">
        <w:lastRenderedPageBreak/>
        <w:t xml:space="preserve">Προκειμένου να υπολογισθεί το ποσό του κεφαλαίου του νέου Ταμείου </w:t>
      </w:r>
      <w:r>
        <w:t xml:space="preserve">για το Επιχειρησιακό </w:t>
      </w:r>
      <w:r w:rsidR="00971D9A">
        <w:t>Πρόγραμμα</w:t>
      </w:r>
      <w:r>
        <w:t xml:space="preserve"> 2014-2020, ακολουθήθηκαν οι παρουσιαζόμενοι στον πίνακα</w:t>
      </w:r>
      <w:r w:rsidRPr="001A5251">
        <w:t xml:space="preserve"> παρ</w:t>
      </w:r>
      <w:r>
        <w:t>άμετροι</w:t>
      </w:r>
      <w:r w:rsidRPr="001A5251">
        <w:t xml:space="preserve"> σχεδιασμού.</w:t>
      </w:r>
    </w:p>
    <w:tbl>
      <w:tblPr>
        <w:tblStyle w:val="a6"/>
        <w:tblW w:w="0" w:type="auto"/>
        <w:tblInd w:w="108" w:type="dxa"/>
        <w:tblLook w:val="04A0" w:firstRow="1" w:lastRow="0" w:firstColumn="1" w:lastColumn="0" w:noHBand="0" w:noVBand="1"/>
      </w:tblPr>
      <w:tblGrid>
        <w:gridCol w:w="5132"/>
        <w:gridCol w:w="3232"/>
      </w:tblGrid>
      <w:tr w:rsidR="00DB7FA0" w:rsidRPr="00AE28C8" w14:paraId="7594270F" w14:textId="77777777" w:rsidTr="00C37EAA">
        <w:tc>
          <w:tcPr>
            <w:tcW w:w="8364" w:type="dxa"/>
            <w:gridSpan w:val="2"/>
          </w:tcPr>
          <w:p w14:paraId="0C27FFFC" w14:textId="77777777" w:rsidR="00DB7FA0" w:rsidRPr="00AE28C8" w:rsidRDefault="00DB7FA0" w:rsidP="003C6F79">
            <w:pPr>
              <w:spacing w:line="360" w:lineRule="auto"/>
              <w:rPr>
                <w:sz w:val="18"/>
                <w:szCs w:val="18"/>
              </w:rPr>
            </w:pPr>
            <w:r w:rsidRPr="00AE28C8">
              <w:rPr>
                <w:sz w:val="18"/>
                <w:szCs w:val="18"/>
              </w:rPr>
              <w:t xml:space="preserve">Βασικές Μεταβλητές Σχεδιασμού του </w:t>
            </w:r>
            <w:r w:rsidR="00971D9A">
              <w:rPr>
                <w:sz w:val="18"/>
                <w:szCs w:val="18"/>
              </w:rPr>
              <w:t>Προγράμματος</w:t>
            </w:r>
            <w:r w:rsidRPr="00AE28C8">
              <w:rPr>
                <w:sz w:val="18"/>
                <w:szCs w:val="18"/>
              </w:rPr>
              <w:t xml:space="preserve"> </w:t>
            </w:r>
            <w:r w:rsidR="003C6F79">
              <w:rPr>
                <w:sz w:val="18"/>
                <w:szCs w:val="18"/>
              </w:rPr>
              <w:t>Ε</w:t>
            </w:r>
            <w:r w:rsidRPr="00AE28C8">
              <w:rPr>
                <w:sz w:val="18"/>
                <w:szCs w:val="18"/>
              </w:rPr>
              <w:t xml:space="preserve">ξοικονόμησης ενέργειας </w:t>
            </w:r>
            <w:r w:rsidR="003C6F79">
              <w:rPr>
                <w:sz w:val="18"/>
                <w:szCs w:val="18"/>
              </w:rPr>
              <w:t xml:space="preserve">«ΕΞΟΙΚΟΝΟΜΩ ΙΙ» </w:t>
            </w:r>
            <w:r w:rsidRPr="00AE28C8">
              <w:rPr>
                <w:sz w:val="18"/>
                <w:szCs w:val="18"/>
              </w:rPr>
              <w:t>στον οικιακό τομέα</w:t>
            </w:r>
          </w:p>
        </w:tc>
      </w:tr>
      <w:tr w:rsidR="00DB7FA0" w:rsidRPr="00AE28C8" w14:paraId="4F36F100" w14:textId="77777777" w:rsidTr="00C37EAA">
        <w:tc>
          <w:tcPr>
            <w:tcW w:w="5132" w:type="dxa"/>
          </w:tcPr>
          <w:p w14:paraId="4FAB5359" w14:textId="77777777" w:rsidR="00DB7FA0" w:rsidRPr="00AE28C8" w:rsidRDefault="00DB7FA0" w:rsidP="00C37EAA">
            <w:pPr>
              <w:spacing w:line="360" w:lineRule="auto"/>
              <w:rPr>
                <w:sz w:val="18"/>
                <w:szCs w:val="18"/>
              </w:rPr>
            </w:pPr>
            <w:r w:rsidRPr="00AE28C8">
              <w:rPr>
                <w:sz w:val="18"/>
                <w:szCs w:val="18"/>
              </w:rPr>
              <w:t>Δημόσια Δαπάνη</w:t>
            </w:r>
            <w:r w:rsidRPr="00AE28C8">
              <w:rPr>
                <w:rStyle w:val="ac"/>
                <w:color w:val="000000"/>
                <w:sz w:val="18"/>
                <w:szCs w:val="18"/>
              </w:rPr>
              <w:footnoteReference w:id="19"/>
            </w:r>
          </w:p>
        </w:tc>
        <w:tc>
          <w:tcPr>
            <w:tcW w:w="3232" w:type="dxa"/>
          </w:tcPr>
          <w:p w14:paraId="7AA9628F" w14:textId="77777777" w:rsidR="00DB7FA0" w:rsidRPr="00AE28C8" w:rsidRDefault="00DB7FA0" w:rsidP="00C37EAA">
            <w:pPr>
              <w:spacing w:line="360" w:lineRule="auto"/>
              <w:rPr>
                <w:sz w:val="18"/>
                <w:szCs w:val="18"/>
              </w:rPr>
            </w:pPr>
            <w:r w:rsidRPr="00AE28C8">
              <w:rPr>
                <w:sz w:val="18"/>
                <w:szCs w:val="18"/>
              </w:rPr>
              <w:t>από 248εκ.€ έως 279,6εκ.€.</w:t>
            </w:r>
          </w:p>
        </w:tc>
      </w:tr>
      <w:tr w:rsidR="00DB7FA0" w:rsidRPr="00AE28C8" w14:paraId="4E33E17D" w14:textId="77777777" w:rsidTr="00C37EAA">
        <w:tc>
          <w:tcPr>
            <w:tcW w:w="5132" w:type="dxa"/>
          </w:tcPr>
          <w:p w14:paraId="09C859F4" w14:textId="77777777" w:rsidR="00DB7FA0" w:rsidRPr="00AE28C8" w:rsidRDefault="00DB7FA0" w:rsidP="00C37EAA">
            <w:pPr>
              <w:spacing w:line="360" w:lineRule="auto"/>
              <w:rPr>
                <w:sz w:val="18"/>
                <w:szCs w:val="18"/>
              </w:rPr>
            </w:pPr>
            <w:proofErr w:type="spellStart"/>
            <w:r w:rsidRPr="00AE28C8">
              <w:rPr>
                <w:sz w:val="18"/>
                <w:szCs w:val="18"/>
              </w:rPr>
              <w:t>Μόχλευση</w:t>
            </w:r>
            <w:proofErr w:type="spellEnd"/>
            <w:r w:rsidRPr="00AE28C8">
              <w:rPr>
                <w:sz w:val="18"/>
                <w:szCs w:val="18"/>
              </w:rPr>
              <w:t xml:space="preserve"> (</w:t>
            </w:r>
            <w:r w:rsidRPr="00AE28C8">
              <w:rPr>
                <w:sz w:val="18"/>
                <w:szCs w:val="18"/>
                <w:lang w:val="en-US"/>
              </w:rPr>
              <w:t>Leverage</w:t>
            </w:r>
            <w:r w:rsidRPr="00AE28C8">
              <w:rPr>
                <w:sz w:val="18"/>
                <w:szCs w:val="18"/>
              </w:rPr>
              <w:t xml:space="preserve">) κεφαλαίων νέου </w:t>
            </w:r>
            <w:r w:rsidR="001E5965" w:rsidRPr="001E5965">
              <w:rPr>
                <w:sz w:val="18"/>
                <w:szCs w:val="18"/>
              </w:rPr>
              <w:t>Χρηματοοικονομικού Εργαλείου (FI)</w:t>
            </w:r>
          </w:p>
        </w:tc>
        <w:tc>
          <w:tcPr>
            <w:tcW w:w="3232" w:type="dxa"/>
          </w:tcPr>
          <w:p w14:paraId="662FAE05" w14:textId="77777777" w:rsidR="00DB7FA0" w:rsidRPr="00AE28C8" w:rsidRDefault="00DB7FA0" w:rsidP="00C37EAA">
            <w:pPr>
              <w:spacing w:line="360" w:lineRule="auto"/>
              <w:rPr>
                <w:sz w:val="18"/>
                <w:szCs w:val="18"/>
              </w:rPr>
            </w:pPr>
            <w:r>
              <w:rPr>
                <w:sz w:val="18"/>
                <w:szCs w:val="18"/>
              </w:rPr>
              <w:t>2</w:t>
            </w:r>
          </w:p>
        </w:tc>
      </w:tr>
      <w:tr w:rsidR="00DB7FA0" w:rsidRPr="00AE28C8" w14:paraId="6FD61A23" w14:textId="77777777" w:rsidTr="00C37EAA">
        <w:tc>
          <w:tcPr>
            <w:tcW w:w="5132" w:type="dxa"/>
          </w:tcPr>
          <w:p w14:paraId="375E52ED" w14:textId="77777777" w:rsidR="00DB7FA0" w:rsidRPr="00AE28C8" w:rsidRDefault="00DB7FA0" w:rsidP="00C37EAA">
            <w:pPr>
              <w:spacing w:line="360" w:lineRule="auto"/>
              <w:rPr>
                <w:sz w:val="18"/>
                <w:szCs w:val="18"/>
              </w:rPr>
            </w:pPr>
            <w:r>
              <w:rPr>
                <w:sz w:val="18"/>
                <w:szCs w:val="18"/>
              </w:rPr>
              <w:t xml:space="preserve">Μέσο </w:t>
            </w:r>
            <w:r w:rsidRPr="00AE28C8">
              <w:rPr>
                <w:sz w:val="18"/>
                <w:szCs w:val="18"/>
              </w:rPr>
              <w:t>Ποσοστό επιχορήγησης ενεργειακών παρεμβάσεων</w:t>
            </w:r>
          </w:p>
        </w:tc>
        <w:tc>
          <w:tcPr>
            <w:tcW w:w="3232" w:type="dxa"/>
            <w:vAlign w:val="center"/>
          </w:tcPr>
          <w:p w14:paraId="38A011C2" w14:textId="77777777" w:rsidR="00DB7FA0" w:rsidRPr="00AE28C8" w:rsidRDefault="00DB7FA0" w:rsidP="00C37EAA">
            <w:pPr>
              <w:spacing w:line="360" w:lineRule="auto"/>
              <w:rPr>
                <w:sz w:val="18"/>
                <w:szCs w:val="18"/>
              </w:rPr>
            </w:pPr>
            <w:r w:rsidRPr="00AE28C8">
              <w:rPr>
                <w:sz w:val="18"/>
                <w:szCs w:val="18"/>
              </w:rPr>
              <w:t>50%</w:t>
            </w:r>
          </w:p>
        </w:tc>
      </w:tr>
      <w:tr w:rsidR="00DB7FA0" w:rsidRPr="00AE28C8" w14:paraId="17305449" w14:textId="77777777" w:rsidTr="00C37EAA">
        <w:tc>
          <w:tcPr>
            <w:tcW w:w="5132" w:type="dxa"/>
          </w:tcPr>
          <w:p w14:paraId="03B5A8AE" w14:textId="77777777" w:rsidR="00DB7FA0" w:rsidRPr="00FD46C8" w:rsidRDefault="00DB7FA0" w:rsidP="00C37EAA">
            <w:pPr>
              <w:spacing w:line="360" w:lineRule="auto"/>
              <w:rPr>
                <w:sz w:val="18"/>
                <w:szCs w:val="18"/>
              </w:rPr>
            </w:pPr>
            <w:r>
              <w:rPr>
                <w:sz w:val="18"/>
                <w:szCs w:val="18"/>
              </w:rPr>
              <w:t>Ποσοστό πολιτών που κάνουν χρήση Ταμείου</w:t>
            </w:r>
          </w:p>
        </w:tc>
        <w:tc>
          <w:tcPr>
            <w:tcW w:w="3232" w:type="dxa"/>
            <w:vAlign w:val="center"/>
          </w:tcPr>
          <w:p w14:paraId="6B14C757" w14:textId="77777777" w:rsidR="00DB7FA0" w:rsidRDefault="00DB7FA0" w:rsidP="00C37EAA">
            <w:pPr>
              <w:spacing w:line="360" w:lineRule="auto"/>
              <w:rPr>
                <w:sz w:val="18"/>
                <w:szCs w:val="18"/>
              </w:rPr>
            </w:pPr>
            <w:r>
              <w:rPr>
                <w:sz w:val="18"/>
                <w:szCs w:val="18"/>
              </w:rPr>
              <w:t>70%</w:t>
            </w:r>
          </w:p>
        </w:tc>
      </w:tr>
      <w:tr w:rsidR="00DB7FA0" w:rsidRPr="00AE28C8" w14:paraId="0FE76A3A" w14:textId="77777777" w:rsidTr="00C37EAA">
        <w:tc>
          <w:tcPr>
            <w:tcW w:w="5132" w:type="dxa"/>
          </w:tcPr>
          <w:p w14:paraId="341E3BC7" w14:textId="77777777" w:rsidR="00DB7FA0" w:rsidRPr="00AE28C8" w:rsidRDefault="00DB7FA0" w:rsidP="00C37EAA">
            <w:pPr>
              <w:spacing w:line="360" w:lineRule="auto"/>
              <w:rPr>
                <w:sz w:val="18"/>
                <w:szCs w:val="18"/>
              </w:rPr>
            </w:pPr>
            <w:r w:rsidRPr="00AE28C8">
              <w:rPr>
                <w:sz w:val="18"/>
                <w:szCs w:val="18"/>
              </w:rPr>
              <w:t xml:space="preserve">Επιστρεπτέα κεφάλαια από το Ταμείο «Εξοικονομώ </w:t>
            </w:r>
            <w:r w:rsidR="00971D9A">
              <w:rPr>
                <w:sz w:val="18"/>
                <w:szCs w:val="18"/>
              </w:rPr>
              <w:t xml:space="preserve">κατ’ </w:t>
            </w:r>
            <w:proofErr w:type="spellStart"/>
            <w:r w:rsidR="00971D9A">
              <w:rPr>
                <w:sz w:val="18"/>
                <w:szCs w:val="18"/>
              </w:rPr>
              <w:t>Οίκον</w:t>
            </w:r>
            <w:proofErr w:type="spellEnd"/>
            <w:r w:rsidRPr="00AE28C8">
              <w:rPr>
                <w:sz w:val="18"/>
                <w:szCs w:val="18"/>
              </w:rPr>
              <w:t>»</w:t>
            </w:r>
            <w:r w:rsidRPr="00AE28C8">
              <w:rPr>
                <w:rStyle w:val="ac"/>
                <w:color w:val="000000"/>
                <w:sz w:val="18"/>
                <w:szCs w:val="18"/>
              </w:rPr>
              <w:footnoteReference w:id="20"/>
            </w:r>
            <w:r w:rsidRPr="00AE28C8">
              <w:rPr>
                <w:sz w:val="18"/>
                <w:szCs w:val="18"/>
              </w:rPr>
              <w:t xml:space="preserve"> </w:t>
            </w:r>
          </w:p>
        </w:tc>
        <w:tc>
          <w:tcPr>
            <w:tcW w:w="3232" w:type="dxa"/>
            <w:vAlign w:val="center"/>
          </w:tcPr>
          <w:p w14:paraId="06E8112C" w14:textId="77777777" w:rsidR="00DB7FA0" w:rsidRPr="00AE28C8" w:rsidRDefault="00DB7FA0" w:rsidP="00C37EAA">
            <w:pPr>
              <w:spacing w:line="360" w:lineRule="auto"/>
              <w:rPr>
                <w:sz w:val="18"/>
                <w:szCs w:val="18"/>
              </w:rPr>
            </w:pPr>
            <w:r>
              <w:rPr>
                <w:sz w:val="18"/>
                <w:szCs w:val="18"/>
              </w:rPr>
              <w:t>0</w:t>
            </w:r>
            <w:r w:rsidRPr="00AE28C8">
              <w:rPr>
                <w:sz w:val="18"/>
                <w:szCs w:val="18"/>
              </w:rPr>
              <w:t>εκ.€.</w:t>
            </w:r>
          </w:p>
        </w:tc>
      </w:tr>
      <w:tr w:rsidR="00DB7FA0" w:rsidRPr="00AE28C8" w14:paraId="5A6D3F61" w14:textId="77777777" w:rsidTr="00C37EAA">
        <w:tc>
          <w:tcPr>
            <w:tcW w:w="5132" w:type="dxa"/>
          </w:tcPr>
          <w:p w14:paraId="3BE2F11D" w14:textId="77777777" w:rsidR="00DB7FA0" w:rsidRPr="00AE28C8" w:rsidRDefault="00DB7FA0" w:rsidP="00C37EAA">
            <w:pPr>
              <w:spacing w:line="360" w:lineRule="auto"/>
              <w:rPr>
                <w:sz w:val="18"/>
                <w:szCs w:val="18"/>
              </w:rPr>
            </w:pPr>
            <w:r w:rsidRPr="00AE28C8">
              <w:rPr>
                <w:sz w:val="18"/>
                <w:szCs w:val="18"/>
              </w:rPr>
              <w:t>Μέσος προϋπολογισμός παρεμβάσεων στις κατοικίες</w:t>
            </w:r>
            <w:r w:rsidRPr="00AE28C8">
              <w:rPr>
                <w:rStyle w:val="ac"/>
                <w:color w:val="000000"/>
                <w:sz w:val="18"/>
                <w:szCs w:val="18"/>
              </w:rPr>
              <w:footnoteReference w:id="21"/>
            </w:r>
          </w:p>
        </w:tc>
        <w:tc>
          <w:tcPr>
            <w:tcW w:w="3232" w:type="dxa"/>
            <w:vAlign w:val="center"/>
          </w:tcPr>
          <w:p w14:paraId="0C48A84D" w14:textId="77777777" w:rsidR="00DB7FA0" w:rsidRPr="00AE28C8" w:rsidRDefault="00DB7FA0" w:rsidP="00C37EAA">
            <w:pPr>
              <w:spacing w:line="360" w:lineRule="auto"/>
              <w:rPr>
                <w:sz w:val="18"/>
                <w:szCs w:val="18"/>
              </w:rPr>
            </w:pPr>
            <w:r w:rsidRPr="00AE28C8">
              <w:rPr>
                <w:sz w:val="18"/>
                <w:szCs w:val="18"/>
              </w:rPr>
              <w:t>από 11.000€ έως 15.000€.</w:t>
            </w:r>
          </w:p>
        </w:tc>
      </w:tr>
      <w:tr w:rsidR="00DB7FA0" w:rsidRPr="00AE28C8" w14:paraId="0F350E6D" w14:textId="77777777" w:rsidTr="00C37EAA">
        <w:tc>
          <w:tcPr>
            <w:tcW w:w="5132" w:type="dxa"/>
          </w:tcPr>
          <w:p w14:paraId="2C2548ED" w14:textId="77777777" w:rsidR="00DB7FA0" w:rsidRPr="00AE28C8" w:rsidRDefault="00DB7FA0" w:rsidP="00C37EAA">
            <w:pPr>
              <w:spacing w:line="360" w:lineRule="auto"/>
              <w:rPr>
                <w:sz w:val="18"/>
                <w:szCs w:val="18"/>
              </w:rPr>
            </w:pPr>
            <w:r>
              <w:rPr>
                <w:sz w:val="18"/>
                <w:szCs w:val="18"/>
              </w:rPr>
              <w:t>Κόστος Μελετών/ Ενεργειακών Επιθεωρητών / Συμβούλων</w:t>
            </w:r>
          </w:p>
        </w:tc>
        <w:tc>
          <w:tcPr>
            <w:tcW w:w="3232" w:type="dxa"/>
          </w:tcPr>
          <w:p w14:paraId="2D6B7A06" w14:textId="77777777" w:rsidR="00DB7FA0" w:rsidRPr="00AE28C8" w:rsidRDefault="00DB7FA0" w:rsidP="00C37EAA">
            <w:pPr>
              <w:spacing w:line="360" w:lineRule="auto"/>
              <w:rPr>
                <w:sz w:val="18"/>
                <w:szCs w:val="18"/>
              </w:rPr>
            </w:pPr>
            <w:r>
              <w:rPr>
                <w:sz w:val="18"/>
                <w:szCs w:val="18"/>
              </w:rPr>
              <w:t>300€</w:t>
            </w:r>
          </w:p>
        </w:tc>
      </w:tr>
      <w:tr w:rsidR="00DB7FA0" w:rsidRPr="00AE28C8" w14:paraId="101A73F8" w14:textId="77777777" w:rsidTr="00C37EAA">
        <w:tc>
          <w:tcPr>
            <w:tcW w:w="5132" w:type="dxa"/>
          </w:tcPr>
          <w:p w14:paraId="017721B3" w14:textId="77777777" w:rsidR="00DB7FA0" w:rsidRPr="00AE28C8" w:rsidRDefault="00DB7FA0" w:rsidP="00C37EAA">
            <w:pPr>
              <w:spacing w:line="360" w:lineRule="auto"/>
              <w:rPr>
                <w:sz w:val="18"/>
                <w:szCs w:val="18"/>
              </w:rPr>
            </w:pPr>
            <w:r w:rsidRPr="00AE28C8">
              <w:rPr>
                <w:sz w:val="18"/>
                <w:szCs w:val="18"/>
              </w:rPr>
              <w:t>Επιδότηση επιτοκίου</w:t>
            </w:r>
          </w:p>
        </w:tc>
        <w:tc>
          <w:tcPr>
            <w:tcW w:w="3232" w:type="dxa"/>
          </w:tcPr>
          <w:p w14:paraId="5254890C" w14:textId="77777777" w:rsidR="00DB7FA0" w:rsidRPr="00AE28C8" w:rsidRDefault="00DB7FA0" w:rsidP="00C37EAA">
            <w:pPr>
              <w:spacing w:line="360" w:lineRule="auto"/>
              <w:rPr>
                <w:sz w:val="18"/>
                <w:szCs w:val="18"/>
              </w:rPr>
            </w:pPr>
            <w:r w:rsidRPr="00AE28C8">
              <w:rPr>
                <w:sz w:val="18"/>
                <w:szCs w:val="18"/>
              </w:rPr>
              <w:t>700€ ανά δάνειο.</w:t>
            </w:r>
          </w:p>
        </w:tc>
      </w:tr>
      <w:tr w:rsidR="00DB7FA0" w:rsidRPr="00AE28C8" w14:paraId="73701C97" w14:textId="77777777" w:rsidTr="00C37EAA">
        <w:tc>
          <w:tcPr>
            <w:tcW w:w="5132" w:type="dxa"/>
          </w:tcPr>
          <w:p w14:paraId="61DFB188" w14:textId="77777777" w:rsidR="00DB7FA0" w:rsidRPr="00AE28C8" w:rsidRDefault="00DB7FA0" w:rsidP="00C37EAA">
            <w:pPr>
              <w:spacing w:line="360" w:lineRule="auto"/>
              <w:rPr>
                <w:sz w:val="18"/>
                <w:szCs w:val="18"/>
              </w:rPr>
            </w:pPr>
            <w:r w:rsidRPr="00AE28C8">
              <w:rPr>
                <w:sz w:val="18"/>
                <w:szCs w:val="18"/>
              </w:rPr>
              <w:t xml:space="preserve">Έξοδα διαχείρισης </w:t>
            </w:r>
            <w:r w:rsidR="001E5965" w:rsidRPr="001E5965">
              <w:rPr>
                <w:sz w:val="18"/>
                <w:szCs w:val="18"/>
              </w:rPr>
              <w:t>Χρηματοοικονομικού Εργαλείου (FI)</w:t>
            </w:r>
          </w:p>
        </w:tc>
        <w:tc>
          <w:tcPr>
            <w:tcW w:w="3232" w:type="dxa"/>
          </w:tcPr>
          <w:p w14:paraId="5DAA9056" w14:textId="77777777" w:rsidR="00DB7FA0" w:rsidRPr="00AE28C8" w:rsidRDefault="00DB7FA0" w:rsidP="001E5965">
            <w:pPr>
              <w:spacing w:line="360" w:lineRule="auto"/>
              <w:rPr>
                <w:sz w:val="18"/>
                <w:szCs w:val="18"/>
              </w:rPr>
            </w:pPr>
            <w:r w:rsidRPr="00AE28C8">
              <w:rPr>
                <w:sz w:val="18"/>
                <w:szCs w:val="18"/>
                <w:lang w:val="en-US"/>
              </w:rPr>
              <w:t>max</w:t>
            </w:r>
            <w:r w:rsidRPr="00AE28C8">
              <w:rPr>
                <w:sz w:val="18"/>
                <w:szCs w:val="18"/>
              </w:rPr>
              <w:t xml:space="preserve">6% της συνεισφοράς του </w:t>
            </w:r>
            <w:r w:rsidR="00B925F9">
              <w:rPr>
                <w:sz w:val="18"/>
                <w:szCs w:val="18"/>
              </w:rPr>
              <w:t>ΕΠΑΝΕΚ</w:t>
            </w:r>
            <w:r w:rsidRPr="00AE28C8">
              <w:rPr>
                <w:sz w:val="18"/>
                <w:szCs w:val="18"/>
              </w:rPr>
              <w:t xml:space="preserve"> στο </w:t>
            </w:r>
            <w:r w:rsidR="001E5965">
              <w:rPr>
                <w:sz w:val="18"/>
                <w:szCs w:val="18"/>
              </w:rPr>
              <w:t>Χρηματοοικονομικό</w:t>
            </w:r>
            <w:r w:rsidR="001E5965" w:rsidRPr="001E5965">
              <w:rPr>
                <w:sz w:val="18"/>
                <w:szCs w:val="18"/>
              </w:rPr>
              <w:t xml:space="preserve"> Εργαλείο (FI)</w:t>
            </w:r>
            <w:r w:rsidRPr="00AE28C8">
              <w:rPr>
                <w:sz w:val="18"/>
                <w:szCs w:val="18"/>
              </w:rPr>
              <w:t>.</w:t>
            </w:r>
          </w:p>
        </w:tc>
      </w:tr>
    </w:tbl>
    <w:p w14:paraId="2F05B588" w14:textId="77777777" w:rsidR="00DB7FA0" w:rsidRPr="001A5251" w:rsidRDefault="00DB7FA0" w:rsidP="00DB7FA0">
      <w:pPr>
        <w:spacing w:line="360" w:lineRule="auto"/>
      </w:pPr>
    </w:p>
    <w:p w14:paraId="0911F2CF" w14:textId="77777777" w:rsidR="00DB7FA0" w:rsidRDefault="00DB7FA0" w:rsidP="00DB7FA0">
      <w:pPr>
        <w:spacing w:line="360" w:lineRule="auto"/>
      </w:pPr>
      <w:r w:rsidRPr="001A5251">
        <w:t xml:space="preserve">Με βάση αυτά τα στοιχεία </w:t>
      </w:r>
      <w:r>
        <w:t>η επιτροπή της 1</w:t>
      </w:r>
      <w:r w:rsidRPr="00AE28C8">
        <w:rPr>
          <w:vertAlign w:val="superscript"/>
        </w:rPr>
        <w:t>ης</w:t>
      </w:r>
      <w:r>
        <w:t xml:space="preserve"> </w:t>
      </w:r>
      <w:proofErr w:type="spellStart"/>
      <w:r>
        <w:t>επικαιροποίησης</w:t>
      </w:r>
      <w:proofErr w:type="spellEnd"/>
      <w:r>
        <w:t xml:space="preserve"> της </w:t>
      </w:r>
      <w:proofErr w:type="spellStart"/>
      <w:r>
        <w:rPr>
          <w:lang w:val="en-US"/>
        </w:rPr>
        <w:t>exante</w:t>
      </w:r>
      <w:proofErr w:type="spellEnd"/>
      <w:r w:rsidRPr="00AE28C8">
        <w:t xml:space="preserve"> </w:t>
      </w:r>
      <w:r>
        <w:rPr>
          <w:lang w:val="en-US"/>
        </w:rPr>
        <w:t>assessment</w:t>
      </w:r>
      <w:r w:rsidRPr="00AE28C8">
        <w:t xml:space="preserve"> </w:t>
      </w:r>
      <w:r>
        <w:t xml:space="preserve">του Ταμείου ΕΞΟΙΚΟΝΟΜΩ ΙΙ </w:t>
      </w:r>
      <w:r w:rsidRPr="001A5251">
        <w:t>κατ</w:t>
      </w:r>
      <w:r>
        <w:t>έληξε</w:t>
      </w:r>
      <w:r w:rsidRPr="001A5251">
        <w:t xml:space="preserve"> </w:t>
      </w:r>
      <w:r>
        <w:t>στο ποσό των 68.000.000€ ως κεφάλαιο για το Ταμείο με στόχο τον</w:t>
      </w:r>
      <w:r w:rsidRPr="001A5251">
        <w:t xml:space="preserve"> αριθμό των </w:t>
      </w:r>
      <w:r>
        <w:t xml:space="preserve">38.500 </w:t>
      </w:r>
      <w:r w:rsidRPr="001A5251">
        <w:t xml:space="preserve">κατοικιών που </w:t>
      </w:r>
      <w:r>
        <w:t xml:space="preserve">να </w:t>
      </w:r>
      <w:r w:rsidRPr="001A5251">
        <w:t xml:space="preserve">μπορούν να ενισχυθούν από το ΕΣΠΑ </w:t>
      </w:r>
      <w:r>
        <w:t>2014-2020</w:t>
      </w:r>
    </w:p>
    <w:p w14:paraId="109C9EDB" w14:textId="77777777" w:rsidR="006C328A" w:rsidRDefault="006C328A" w:rsidP="00DB7FA0">
      <w:pPr>
        <w:spacing w:line="360" w:lineRule="auto"/>
      </w:pPr>
    </w:p>
    <w:p w14:paraId="6386FF1D" w14:textId="77777777" w:rsidR="006C328A" w:rsidRDefault="006C328A" w:rsidP="00FA5CD9">
      <w:pPr>
        <w:pStyle w:val="3"/>
      </w:pPr>
      <w:bookmarkStart w:id="44" w:name="_Toc36639222"/>
      <w:r w:rsidRPr="002830A1">
        <w:t xml:space="preserve">Ανάλυση στοιχείων από την </w:t>
      </w:r>
      <w:r w:rsidR="00971D9A">
        <w:t>Πρόγραμμα</w:t>
      </w:r>
      <w:r w:rsidRPr="002830A1">
        <w:t xml:space="preserve"> «ΕΞΟΙΚΟΝΟΜΩ Ι</w:t>
      </w:r>
      <w:r>
        <w:t xml:space="preserve">Ι – </w:t>
      </w:r>
      <w:proofErr w:type="spellStart"/>
      <w:r>
        <w:t>Α’Κύκλος</w:t>
      </w:r>
      <w:proofErr w:type="spellEnd"/>
      <w:r w:rsidRPr="002830A1">
        <w:t>»</w:t>
      </w:r>
      <w:bookmarkEnd w:id="44"/>
      <w:r w:rsidRPr="002830A1">
        <w:t xml:space="preserve"> </w:t>
      </w:r>
    </w:p>
    <w:p w14:paraId="4CF5E748" w14:textId="77777777" w:rsidR="006C328A" w:rsidRPr="005C273A" w:rsidRDefault="006C328A" w:rsidP="006C328A">
      <w:r w:rsidRPr="005C273A">
        <w:lastRenderedPageBreak/>
        <w:t xml:space="preserve">Συνοπτικά για τον </w:t>
      </w:r>
      <w:r w:rsidR="00B925F9">
        <w:t>Α’ Κύκλο</w:t>
      </w:r>
      <w:r w:rsidRPr="005C273A">
        <w:t xml:space="preserve"> έχουμε</w:t>
      </w:r>
      <w:r>
        <w:t xml:space="preserve"> από υπαγωγές με βάση τον προϋπολογισμό των προτάσεων και τον υπολογισμό για τις </w:t>
      </w:r>
      <w:proofErr w:type="spellStart"/>
      <w:r>
        <w:t>προκύπτουσες</w:t>
      </w:r>
      <w:proofErr w:type="spellEnd"/>
      <w:r>
        <w:t xml:space="preserve"> δεσμεύσεις του ταμείου (δάνεια και επιδότηση επιτοκίου)</w:t>
      </w:r>
      <w:r w:rsidRPr="005C273A">
        <w:t>:</w:t>
      </w:r>
    </w:p>
    <w:tbl>
      <w:tblPr>
        <w:tblW w:w="9669" w:type="dxa"/>
        <w:tblInd w:w="-743" w:type="dxa"/>
        <w:tblLook w:val="04A0" w:firstRow="1" w:lastRow="0" w:firstColumn="1" w:lastColumn="0" w:noHBand="0" w:noVBand="1"/>
      </w:tblPr>
      <w:tblGrid>
        <w:gridCol w:w="541"/>
        <w:gridCol w:w="540"/>
        <w:gridCol w:w="1085"/>
        <w:gridCol w:w="818"/>
        <w:gridCol w:w="627"/>
        <w:gridCol w:w="863"/>
        <w:gridCol w:w="1363"/>
        <w:gridCol w:w="1271"/>
        <w:gridCol w:w="1363"/>
        <w:gridCol w:w="839"/>
        <w:gridCol w:w="1272"/>
      </w:tblGrid>
      <w:tr w:rsidR="006C328A" w:rsidRPr="006C70F0" w14:paraId="2A95BEE7" w14:textId="77777777" w:rsidTr="006C328A">
        <w:trPr>
          <w:trHeight w:val="564"/>
        </w:trPr>
        <w:tc>
          <w:tcPr>
            <w:tcW w:w="54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0B696A4" w14:textId="77777777" w:rsidR="006C328A" w:rsidRPr="006C70F0" w:rsidRDefault="006C328A" w:rsidP="006C328A">
            <w:pPr>
              <w:spacing w:after="0" w:line="24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ΚΥΚΛΟΣ</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47BDD11E" w14:textId="77777777" w:rsidR="006C328A" w:rsidRPr="006C70F0" w:rsidRDefault="006C328A" w:rsidP="006C328A">
            <w:pPr>
              <w:spacing w:after="0" w:line="24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Συνεδρίαση</w:t>
            </w:r>
          </w:p>
        </w:tc>
        <w:tc>
          <w:tcPr>
            <w:tcW w:w="9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0C46EF" w14:textId="77777777" w:rsidR="006C328A" w:rsidRPr="006C70F0" w:rsidRDefault="006C328A" w:rsidP="006C328A">
            <w:pPr>
              <w:spacing w:after="0" w:line="240" w:lineRule="auto"/>
              <w:rPr>
                <w:rFonts w:ascii="Calibri" w:eastAsia="Times New Roman" w:hAnsi="Calibri" w:cs="Times New Roman"/>
                <w:color w:val="000000"/>
                <w:sz w:val="18"/>
                <w:szCs w:val="18"/>
                <w:lang w:eastAsia="el-GR"/>
              </w:rPr>
            </w:pPr>
            <w:proofErr w:type="spellStart"/>
            <w:r w:rsidRPr="006C70F0">
              <w:rPr>
                <w:rFonts w:ascii="Calibri" w:eastAsia="Times New Roman" w:hAnsi="Calibri" w:cs="Times New Roman"/>
                <w:color w:val="000000"/>
                <w:sz w:val="18"/>
                <w:szCs w:val="18"/>
                <w:lang w:eastAsia="el-GR"/>
              </w:rPr>
              <w:t>ημερ</w:t>
            </w:r>
            <w:proofErr w:type="spellEnd"/>
            <w:r w:rsidRPr="006C70F0">
              <w:rPr>
                <w:rFonts w:ascii="Calibri" w:eastAsia="Times New Roman" w:hAnsi="Calibri" w:cs="Times New Roman"/>
                <w:color w:val="000000"/>
                <w:sz w:val="18"/>
                <w:szCs w:val="18"/>
                <w:lang w:eastAsia="el-GR"/>
              </w:rPr>
              <w:t>.</w:t>
            </w:r>
          </w:p>
        </w:tc>
        <w:tc>
          <w:tcPr>
            <w:tcW w:w="20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0A3343" w14:textId="77777777" w:rsidR="006C328A" w:rsidRPr="006C70F0" w:rsidRDefault="00C87CFF" w:rsidP="00C87CFF">
            <w:pPr>
              <w:spacing w:after="0" w:line="240" w:lineRule="auto"/>
              <w:jc w:val="center"/>
              <w:rPr>
                <w:rFonts w:ascii="Calibri" w:eastAsia="Times New Roman" w:hAnsi="Calibri" w:cs="Times New Roman"/>
                <w:b/>
                <w:bCs/>
                <w:color w:val="000000"/>
                <w:sz w:val="18"/>
                <w:szCs w:val="18"/>
                <w:lang w:eastAsia="el-GR"/>
              </w:rPr>
            </w:pPr>
            <w:r>
              <w:rPr>
                <w:rFonts w:ascii="Calibri" w:eastAsia="Times New Roman" w:hAnsi="Calibri" w:cs="Times New Roman"/>
                <w:b/>
                <w:bCs/>
                <w:color w:val="000000"/>
                <w:sz w:val="18"/>
                <w:szCs w:val="18"/>
                <w:lang w:eastAsia="el-GR"/>
              </w:rPr>
              <w:t>Υ</w:t>
            </w:r>
            <w:r w:rsidR="006C328A" w:rsidRPr="006C70F0">
              <w:rPr>
                <w:rFonts w:ascii="Calibri" w:eastAsia="Times New Roman" w:hAnsi="Calibri" w:cs="Times New Roman"/>
                <w:b/>
                <w:bCs/>
                <w:color w:val="000000"/>
                <w:sz w:val="18"/>
                <w:szCs w:val="18"/>
                <w:lang w:eastAsia="el-GR"/>
              </w:rPr>
              <w:t>παγωγές</w:t>
            </w:r>
          </w:p>
        </w:tc>
        <w:tc>
          <w:tcPr>
            <w:tcW w:w="35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5D7585" w14:textId="77777777" w:rsidR="006C328A" w:rsidRPr="006C70F0" w:rsidRDefault="00C87CFF" w:rsidP="00C87CFF">
            <w:pPr>
              <w:spacing w:after="0" w:line="240" w:lineRule="auto"/>
              <w:jc w:val="center"/>
              <w:rPr>
                <w:rFonts w:ascii="Calibri" w:eastAsia="Times New Roman" w:hAnsi="Calibri" w:cs="Times New Roman"/>
                <w:b/>
                <w:bCs/>
                <w:color w:val="000000"/>
                <w:sz w:val="18"/>
                <w:szCs w:val="18"/>
                <w:lang w:eastAsia="el-GR"/>
              </w:rPr>
            </w:pPr>
            <w:r>
              <w:rPr>
                <w:rFonts w:ascii="Calibri" w:eastAsia="Times New Roman" w:hAnsi="Calibri" w:cs="Times New Roman"/>
                <w:b/>
                <w:bCs/>
                <w:color w:val="000000"/>
                <w:sz w:val="18"/>
                <w:szCs w:val="18"/>
                <w:lang w:eastAsia="el-GR"/>
              </w:rPr>
              <w:t>Προϋπολογισμός</w:t>
            </w:r>
            <w:r w:rsidR="006C328A" w:rsidRPr="006C70F0">
              <w:rPr>
                <w:rFonts w:ascii="Calibri" w:eastAsia="Times New Roman" w:hAnsi="Calibri" w:cs="Times New Roman"/>
                <w:b/>
                <w:bCs/>
                <w:color w:val="000000"/>
                <w:sz w:val="18"/>
                <w:szCs w:val="18"/>
                <w:lang w:eastAsia="el-GR"/>
              </w:rPr>
              <w:t xml:space="preserve"> υπαγωγών</w:t>
            </w:r>
          </w:p>
        </w:tc>
        <w:tc>
          <w:tcPr>
            <w:tcW w:w="2024" w:type="dxa"/>
            <w:gridSpan w:val="2"/>
            <w:tcBorders>
              <w:top w:val="single" w:sz="4" w:space="0" w:color="auto"/>
              <w:left w:val="nil"/>
              <w:bottom w:val="single" w:sz="4" w:space="0" w:color="auto"/>
              <w:right w:val="single" w:sz="4" w:space="0" w:color="000000"/>
            </w:tcBorders>
            <w:shd w:val="clear" w:color="auto" w:fill="auto"/>
            <w:vAlign w:val="center"/>
            <w:hideMark/>
          </w:tcPr>
          <w:p w14:paraId="30724389" w14:textId="77777777" w:rsidR="006C328A" w:rsidRPr="006C70F0" w:rsidRDefault="006C328A" w:rsidP="006C328A">
            <w:pPr>
              <w:spacing w:after="0" w:line="240" w:lineRule="auto"/>
              <w:rPr>
                <w:rFonts w:ascii="Calibri" w:eastAsia="Times New Roman" w:hAnsi="Calibri" w:cs="Times New Roman"/>
                <w:b/>
                <w:bCs/>
                <w:color w:val="000000"/>
                <w:sz w:val="18"/>
                <w:szCs w:val="18"/>
                <w:lang w:eastAsia="el-GR"/>
              </w:rPr>
            </w:pPr>
            <w:r w:rsidRPr="006C70F0">
              <w:rPr>
                <w:rFonts w:ascii="Calibri" w:eastAsia="Times New Roman" w:hAnsi="Calibri" w:cs="Times New Roman"/>
                <w:b/>
                <w:bCs/>
                <w:color w:val="000000"/>
                <w:sz w:val="18"/>
                <w:szCs w:val="18"/>
                <w:lang w:eastAsia="el-GR"/>
              </w:rPr>
              <w:t>Δάνεια &amp; εκτίμηση τόκων</w:t>
            </w:r>
          </w:p>
        </w:tc>
      </w:tr>
      <w:tr w:rsidR="006C328A" w:rsidRPr="006C70F0" w14:paraId="322BA4F7" w14:textId="77777777" w:rsidTr="006C328A">
        <w:trPr>
          <w:trHeight w:val="480"/>
        </w:trPr>
        <w:tc>
          <w:tcPr>
            <w:tcW w:w="541" w:type="dxa"/>
            <w:vMerge/>
            <w:tcBorders>
              <w:top w:val="single" w:sz="4" w:space="0" w:color="auto"/>
              <w:left w:val="single" w:sz="4" w:space="0" w:color="auto"/>
              <w:bottom w:val="single" w:sz="4" w:space="0" w:color="000000"/>
              <w:right w:val="single" w:sz="4" w:space="0" w:color="auto"/>
            </w:tcBorders>
            <w:vAlign w:val="center"/>
            <w:hideMark/>
          </w:tcPr>
          <w:p w14:paraId="4DC97F7B"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462C6A2D"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30F207AE"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p>
        </w:tc>
        <w:tc>
          <w:tcPr>
            <w:tcW w:w="734" w:type="dxa"/>
            <w:tcBorders>
              <w:top w:val="nil"/>
              <w:left w:val="nil"/>
              <w:bottom w:val="single" w:sz="4" w:space="0" w:color="auto"/>
              <w:right w:val="single" w:sz="4" w:space="0" w:color="auto"/>
            </w:tcBorders>
            <w:shd w:val="clear" w:color="auto" w:fill="auto"/>
            <w:noWrap/>
            <w:vAlign w:val="center"/>
            <w:hideMark/>
          </w:tcPr>
          <w:p w14:paraId="501D750D" w14:textId="77777777" w:rsidR="006C328A" w:rsidRPr="006C70F0" w:rsidRDefault="00B925F9" w:rsidP="006C328A">
            <w:pPr>
              <w:spacing w:after="0" w:line="360" w:lineRule="auto"/>
              <w:rPr>
                <w:rFonts w:ascii="Calibri" w:eastAsia="Times New Roman" w:hAnsi="Calibri" w:cs="Times New Roman"/>
                <w:color w:val="FF0000"/>
                <w:sz w:val="18"/>
                <w:szCs w:val="18"/>
                <w:lang w:eastAsia="el-GR"/>
              </w:rPr>
            </w:pPr>
            <w:r>
              <w:rPr>
                <w:rFonts w:ascii="Calibri" w:eastAsia="Times New Roman" w:hAnsi="Calibri" w:cs="Times New Roman"/>
                <w:color w:val="FF0000"/>
                <w:sz w:val="18"/>
                <w:szCs w:val="18"/>
                <w:lang w:eastAsia="el-GR"/>
              </w:rPr>
              <w:t>ΕΠΑΝΕΚ</w:t>
            </w:r>
          </w:p>
        </w:tc>
        <w:tc>
          <w:tcPr>
            <w:tcW w:w="570" w:type="dxa"/>
            <w:tcBorders>
              <w:top w:val="nil"/>
              <w:left w:val="nil"/>
              <w:bottom w:val="single" w:sz="4" w:space="0" w:color="auto"/>
              <w:right w:val="single" w:sz="4" w:space="0" w:color="auto"/>
            </w:tcBorders>
            <w:shd w:val="clear" w:color="auto" w:fill="auto"/>
            <w:noWrap/>
            <w:vAlign w:val="center"/>
            <w:hideMark/>
          </w:tcPr>
          <w:p w14:paraId="15206192"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ΠΕΠ</w:t>
            </w:r>
          </w:p>
        </w:tc>
        <w:tc>
          <w:tcPr>
            <w:tcW w:w="773" w:type="dxa"/>
            <w:tcBorders>
              <w:top w:val="nil"/>
              <w:left w:val="nil"/>
              <w:bottom w:val="single" w:sz="4" w:space="0" w:color="auto"/>
              <w:right w:val="single" w:sz="4" w:space="0" w:color="auto"/>
            </w:tcBorders>
            <w:shd w:val="clear" w:color="auto" w:fill="auto"/>
            <w:noWrap/>
            <w:vAlign w:val="center"/>
            <w:hideMark/>
          </w:tcPr>
          <w:p w14:paraId="164BDC75" w14:textId="77777777" w:rsidR="006C328A" w:rsidRPr="006C70F0" w:rsidRDefault="006C328A" w:rsidP="006C328A">
            <w:pPr>
              <w:spacing w:after="0" w:line="360" w:lineRule="auto"/>
              <w:rPr>
                <w:rFonts w:ascii="Calibri" w:eastAsia="Times New Roman" w:hAnsi="Calibri" w:cs="Times New Roman"/>
                <w:b/>
                <w:bCs/>
                <w:color w:val="000000"/>
                <w:sz w:val="18"/>
                <w:szCs w:val="18"/>
                <w:lang w:eastAsia="el-GR"/>
              </w:rPr>
            </w:pPr>
            <w:r w:rsidRPr="006C70F0">
              <w:rPr>
                <w:rFonts w:ascii="Calibri" w:eastAsia="Times New Roman" w:hAnsi="Calibri" w:cs="Times New Roman"/>
                <w:b/>
                <w:bCs/>
                <w:color w:val="000000"/>
                <w:sz w:val="18"/>
                <w:szCs w:val="18"/>
                <w:lang w:eastAsia="el-GR"/>
              </w:rPr>
              <w:t>ΣΥΝΟΛΟ</w:t>
            </w:r>
          </w:p>
        </w:tc>
        <w:tc>
          <w:tcPr>
            <w:tcW w:w="1203" w:type="dxa"/>
            <w:tcBorders>
              <w:top w:val="nil"/>
              <w:left w:val="nil"/>
              <w:bottom w:val="single" w:sz="4" w:space="0" w:color="auto"/>
              <w:right w:val="single" w:sz="4" w:space="0" w:color="auto"/>
            </w:tcBorders>
            <w:shd w:val="clear" w:color="auto" w:fill="auto"/>
            <w:noWrap/>
            <w:vAlign w:val="center"/>
            <w:hideMark/>
          </w:tcPr>
          <w:p w14:paraId="775533BE" w14:textId="77777777" w:rsidR="006C328A" w:rsidRPr="006C70F0" w:rsidRDefault="00B925F9" w:rsidP="006C328A">
            <w:pPr>
              <w:spacing w:after="0" w:line="360" w:lineRule="auto"/>
              <w:rPr>
                <w:rFonts w:ascii="Calibri" w:eastAsia="Times New Roman" w:hAnsi="Calibri" w:cs="Times New Roman"/>
                <w:color w:val="FF0000"/>
                <w:sz w:val="18"/>
                <w:szCs w:val="18"/>
                <w:lang w:eastAsia="el-GR"/>
              </w:rPr>
            </w:pPr>
            <w:r>
              <w:rPr>
                <w:rFonts w:ascii="Calibri" w:eastAsia="Times New Roman" w:hAnsi="Calibri" w:cs="Times New Roman"/>
                <w:color w:val="FF0000"/>
                <w:sz w:val="18"/>
                <w:szCs w:val="18"/>
                <w:lang w:eastAsia="el-GR"/>
              </w:rPr>
              <w:t>ΕΠΑΝΕΚ</w:t>
            </w:r>
          </w:p>
        </w:tc>
        <w:tc>
          <w:tcPr>
            <w:tcW w:w="1124" w:type="dxa"/>
            <w:tcBorders>
              <w:top w:val="nil"/>
              <w:left w:val="nil"/>
              <w:bottom w:val="single" w:sz="4" w:space="0" w:color="auto"/>
              <w:right w:val="single" w:sz="4" w:space="0" w:color="auto"/>
            </w:tcBorders>
            <w:shd w:val="clear" w:color="auto" w:fill="auto"/>
            <w:noWrap/>
            <w:vAlign w:val="center"/>
            <w:hideMark/>
          </w:tcPr>
          <w:p w14:paraId="1AAEE58E"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ΠΕΠ</w:t>
            </w:r>
          </w:p>
        </w:tc>
        <w:tc>
          <w:tcPr>
            <w:tcW w:w="1203" w:type="dxa"/>
            <w:tcBorders>
              <w:top w:val="nil"/>
              <w:left w:val="nil"/>
              <w:bottom w:val="single" w:sz="4" w:space="0" w:color="auto"/>
              <w:right w:val="single" w:sz="4" w:space="0" w:color="auto"/>
            </w:tcBorders>
            <w:shd w:val="clear" w:color="auto" w:fill="auto"/>
            <w:noWrap/>
            <w:vAlign w:val="center"/>
            <w:hideMark/>
          </w:tcPr>
          <w:p w14:paraId="42A930DB" w14:textId="77777777" w:rsidR="006C328A" w:rsidRPr="006C70F0" w:rsidRDefault="006C328A" w:rsidP="006C328A">
            <w:pPr>
              <w:spacing w:after="0" w:line="360" w:lineRule="auto"/>
              <w:rPr>
                <w:rFonts w:ascii="Calibri" w:eastAsia="Times New Roman" w:hAnsi="Calibri" w:cs="Times New Roman"/>
                <w:b/>
                <w:bCs/>
                <w:color w:val="000000"/>
                <w:sz w:val="18"/>
                <w:szCs w:val="18"/>
                <w:lang w:eastAsia="el-GR"/>
              </w:rPr>
            </w:pPr>
            <w:r w:rsidRPr="006C70F0">
              <w:rPr>
                <w:rFonts w:ascii="Calibri" w:eastAsia="Times New Roman" w:hAnsi="Calibri" w:cs="Times New Roman"/>
                <w:b/>
                <w:bCs/>
                <w:color w:val="000000"/>
                <w:sz w:val="18"/>
                <w:szCs w:val="18"/>
                <w:lang w:eastAsia="el-GR"/>
              </w:rPr>
              <w:t>ΣΥΝΟΛΟ</w:t>
            </w:r>
          </w:p>
        </w:tc>
        <w:tc>
          <w:tcPr>
            <w:tcW w:w="752" w:type="dxa"/>
            <w:tcBorders>
              <w:top w:val="nil"/>
              <w:left w:val="nil"/>
              <w:bottom w:val="single" w:sz="4" w:space="0" w:color="auto"/>
              <w:right w:val="single" w:sz="4" w:space="0" w:color="auto"/>
            </w:tcBorders>
            <w:shd w:val="clear" w:color="auto" w:fill="auto"/>
            <w:vAlign w:val="center"/>
            <w:hideMark/>
          </w:tcPr>
          <w:p w14:paraId="6FC42B34"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αριθμός Δανείων</w:t>
            </w:r>
          </w:p>
        </w:tc>
        <w:tc>
          <w:tcPr>
            <w:tcW w:w="1272" w:type="dxa"/>
            <w:tcBorders>
              <w:top w:val="nil"/>
              <w:left w:val="nil"/>
              <w:bottom w:val="single" w:sz="4" w:space="0" w:color="auto"/>
              <w:right w:val="single" w:sz="4" w:space="0" w:color="auto"/>
            </w:tcBorders>
            <w:shd w:val="clear" w:color="auto" w:fill="auto"/>
            <w:vAlign w:val="center"/>
            <w:hideMark/>
          </w:tcPr>
          <w:p w14:paraId="53BA6E70"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δέσμευση Ταμείου</w:t>
            </w:r>
          </w:p>
        </w:tc>
      </w:tr>
      <w:tr w:rsidR="006C328A" w:rsidRPr="006C70F0" w14:paraId="7C9614B5" w14:textId="77777777" w:rsidTr="00A353FE">
        <w:trPr>
          <w:trHeight w:val="50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4F646F3F"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Α</w:t>
            </w:r>
          </w:p>
        </w:tc>
        <w:tc>
          <w:tcPr>
            <w:tcW w:w="540" w:type="dxa"/>
            <w:tcBorders>
              <w:top w:val="nil"/>
              <w:left w:val="nil"/>
              <w:bottom w:val="single" w:sz="4" w:space="0" w:color="auto"/>
              <w:right w:val="single" w:sz="4" w:space="0" w:color="auto"/>
            </w:tcBorders>
            <w:shd w:val="clear" w:color="auto" w:fill="auto"/>
            <w:noWrap/>
            <w:vAlign w:val="center"/>
            <w:hideMark/>
          </w:tcPr>
          <w:p w14:paraId="5B0CA3B8"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6η</w:t>
            </w:r>
          </w:p>
        </w:tc>
        <w:tc>
          <w:tcPr>
            <w:tcW w:w="957" w:type="dxa"/>
            <w:tcBorders>
              <w:top w:val="nil"/>
              <w:left w:val="nil"/>
              <w:bottom w:val="single" w:sz="4" w:space="0" w:color="auto"/>
              <w:right w:val="single" w:sz="4" w:space="0" w:color="auto"/>
            </w:tcBorders>
            <w:shd w:val="clear" w:color="auto" w:fill="auto"/>
            <w:noWrap/>
            <w:vAlign w:val="center"/>
            <w:hideMark/>
          </w:tcPr>
          <w:p w14:paraId="0EF1AFE6"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11/7/2018</w:t>
            </w:r>
          </w:p>
        </w:tc>
        <w:tc>
          <w:tcPr>
            <w:tcW w:w="734" w:type="dxa"/>
            <w:tcBorders>
              <w:top w:val="nil"/>
              <w:left w:val="nil"/>
              <w:bottom w:val="single" w:sz="4" w:space="0" w:color="auto"/>
              <w:right w:val="single" w:sz="4" w:space="0" w:color="auto"/>
            </w:tcBorders>
            <w:shd w:val="clear" w:color="auto" w:fill="auto"/>
            <w:noWrap/>
            <w:vAlign w:val="center"/>
            <w:hideMark/>
          </w:tcPr>
          <w:p w14:paraId="68F5CD2A"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12.188</w:t>
            </w:r>
          </w:p>
        </w:tc>
        <w:tc>
          <w:tcPr>
            <w:tcW w:w="570" w:type="dxa"/>
            <w:tcBorders>
              <w:top w:val="nil"/>
              <w:left w:val="nil"/>
              <w:bottom w:val="single" w:sz="4" w:space="0" w:color="auto"/>
              <w:right w:val="single" w:sz="4" w:space="0" w:color="auto"/>
            </w:tcBorders>
            <w:shd w:val="clear" w:color="auto" w:fill="auto"/>
            <w:noWrap/>
            <w:vAlign w:val="center"/>
            <w:hideMark/>
          </w:tcPr>
          <w:p w14:paraId="38CCB074"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1.314</w:t>
            </w:r>
          </w:p>
        </w:tc>
        <w:tc>
          <w:tcPr>
            <w:tcW w:w="773" w:type="dxa"/>
            <w:tcBorders>
              <w:top w:val="nil"/>
              <w:left w:val="nil"/>
              <w:bottom w:val="single" w:sz="4" w:space="0" w:color="auto"/>
              <w:right w:val="single" w:sz="4" w:space="0" w:color="auto"/>
            </w:tcBorders>
            <w:shd w:val="clear" w:color="auto" w:fill="auto"/>
            <w:noWrap/>
            <w:vAlign w:val="center"/>
            <w:hideMark/>
          </w:tcPr>
          <w:p w14:paraId="1F9A3712"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13.502</w:t>
            </w:r>
          </w:p>
        </w:tc>
        <w:tc>
          <w:tcPr>
            <w:tcW w:w="1203" w:type="dxa"/>
            <w:tcBorders>
              <w:top w:val="nil"/>
              <w:left w:val="nil"/>
              <w:bottom w:val="single" w:sz="4" w:space="0" w:color="auto"/>
              <w:right w:val="single" w:sz="4" w:space="0" w:color="auto"/>
            </w:tcBorders>
            <w:shd w:val="clear" w:color="auto" w:fill="auto"/>
            <w:vAlign w:val="center"/>
            <w:hideMark/>
          </w:tcPr>
          <w:p w14:paraId="7A3F7AB6"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111.294.242,39</w:t>
            </w:r>
          </w:p>
        </w:tc>
        <w:tc>
          <w:tcPr>
            <w:tcW w:w="1124" w:type="dxa"/>
            <w:tcBorders>
              <w:top w:val="nil"/>
              <w:left w:val="nil"/>
              <w:bottom w:val="single" w:sz="4" w:space="0" w:color="auto"/>
              <w:right w:val="single" w:sz="4" w:space="0" w:color="auto"/>
            </w:tcBorders>
            <w:shd w:val="clear" w:color="auto" w:fill="auto"/>
            <w:noWrap/>
            <w:vAlign w:val="center"/>
            <w:hideMark/>
          </w:tcPr>
          <w:p w14:paraId="70539BC3"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11.676.083,51</w:t>
            </w:r>
          </w:p>
        </w:tc>
        <w:tc>
          <w:tcPr>
            <w:tcW w:w="1203" w:type="dxa"/>
            <w:tcBorders>
              <w:top w:val="nil"/>
              <w:left w:val="nil"/>
              <w:bottom w:val="single" w:sz="4" w:space="0" w:color="auto"/>
              <w:right w:val="single" w:sz="4" w:space="0" w:color="auto"/>
            </w:tcBorders>
            <w:shd w:val="clear" w:color="auto" w:fill="auto"/>
            <w:noWrap/>
            <w:vAlign w:val="center"/>
            <w:hideMark/>
          </w:tcPr>
          <w:p w14:paraId="528B8D96"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122.970.325,90</w:t>
            </w:r>
          </w:p>
        </w:tc>
        <w:tc>
          <w:tcPr>
            <w:tcW w:w="752" w:type="dxa"/>
            <w:tcBorders>
              <w:top w:val="nil"/>
              <w:left w:val="nil"/>
              <w:bottom w:val="single" w:sz="4" w:space="0" w:color="auto"/>
              <w:right w:val="single" w:sz="4" w:space="0" w:color="auto"/>
            </w:tcBorders>
            <w:shd w:val="clear" w:color="auto" w:fill="auto"/>
            <w:noWrap/>
            <w:vAlign w:val="center"/>
            <w:hideMark/>
          </w:tcPr>
          <w:p w14:paraId="4EC3962C"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0</w:t>
            </w:r>
          </w:p>
        </w:tc>
        <w:tc>
          <w:tcPr>
            <w:tcW w:w="1272" w:type="dxa"/>
            <w:tcBorders>
              <w:top w:val="nil"/>
              <w:left w:val="nil"/>
              <w:bottom w:val="single" w:sz="4" w:space="0" w:color="auto"/>
              <w:right w:val="single" w:sz="4" w:space="0" w:color="auto"/>
            </w:tcBorders>
            <w:shd w:val="clear" w:color="auto" w:fill="auto"/>
            <w:noWrap/>
            <w:vAlign w:val="center"/>
            <w:hideMark/>
          </w:tcPr>
          <w:p w14:paraId="4064F84A"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0</w:t>
            </w:r>
          </w:p>
        </w:tc>
      </w:tr>
      <w:tr w:rsidR="006C328A" w:rsidRPr="006C70F0" w14:paraId="155B332F" w14:textId="77777777" w:rsidTr="00A353FE">
        <w:trPr>
          <w:trHeight w:val="50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24A55E30"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Α</w:t>
            </w:r>
          </w:p>
        </w:tc>
        <w:tc>
          <w:tcPr>
            <w:tcW w:w="540" w:type="dxa"/>
            <w:tcBorders>
              <w:top w:val="nil"/>
              <w:left w:val="nil"/>
              <w:bottom w:val="single" w:sz="4" w:space="0" w:color="auto"/>
              <w:right w:val="single" w:sz="4" w:space="0" w:color="auto"/>
            </w:tcBorders>
            <w:shd w:val="clear" w:color="auto" w:fill="auto"/>
            <w:noWrap/>
            <w:vAlign w:val="center"/>
            <w:hideMark/>
          </w:tcPr>
          <w:p w14:paraId="771B29C8"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7η</w:t>
            </w:r>
          </w:p>
        </w:tc>
        <w:tc>
          <w:tcPr>
            <w:tcW w:w="957" w:type="dxa"/>
            <w:tcBorders>
              <w:top w:val="nil"/>
              <w:left w:val="nil"/>
              <w:bottom w:val="single" w:sz="4" w:space="0" w:color="auto"/>
              <w:right w:val="single" w:sz="4" w:space="0" w:color="auto"/>
            </w:tcBorders>
            <w:shd w:val="clear" w:color="auto" w:fill="auto"/>
            <w:noWrap/>
            <w:vAlign w:val="center"/>
            <w:hideMark/>
          </w:tcPr>
          <w:p w14:paraId="681ECF65"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30/7/2018</w:t>
            </w:r>
          </w:p>
        </w:tc>
        <w:tc>
          <w:tcPr>
            <w:tcW w:w="734" w:type="dxa"/>
            <w:tcBorders>
              <w:top w:val="nil"/>
              <w:left w:val="nil"/>
              <w:bottom w:val="single" w:sz="4" w:space="0" w:color="auto"/>
              <w:right w:val="single" w:sz="4" w:space="0" w:color="auto"/>
            </w:tcBorders>
            <w:shd w:val="clear" w:color="auto" w:fill="auto"/>
            <w:noWrap/>
            <w:vAlign w:val="center"/>
            <w:hideMark/>
          </w:tcPr>
          <w:p w14:paraId="01074BB5"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13.579</w:t>
            </w:r>
          </w:p>
        </w:tc>
        <w:tc>
          <w:tcPr>
            <w:tcW w:w="570" w:type="dxa"/>
            <w:tcBorders>
              <w:top w:val="nil"/>
              <w:left w:val="nil"/>
              <w:bottom w:val="single" w:sz="4" w:space="0" w:color="auto"/>
              <w:right w:val="single" w:sz="4" w:space="0" w:color="auto"/>
            </w:tcBorders>
            <w:shd w:val="clear" w:color="auto" w:fill="auto"/>
            <w:noWrap/>
            <w:vAlign w:val="center"/>
            <w:hideMark/>
          </w:tcPr>
          <w:p w14:paraId="0FF01574"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1.130</w:t>
            </w:r>
          </w:p>
        </w:tc>
        <w:tc>
          <w:tcPr>
            <w:tcW w:w="773" w:type="dxa"/>
            <w:tcBorders>
              <w:top w:val="nil"/>
              <w:left w:val="nil"/>
              <w:bottom w:val="single" w:sz="4" w:space="0" w:color="auto"/>
              <w:right w:val="single" w:sz="4" w:space="0" w:color="auto"/>
            </w:tcBorders>
            <w:shd w:val="clear" w:color="auto" w:fill="auto"/>
            <w:noWrap/>
            <w:vAlign w:val="center"/>
            <w:hideMark/>
          </w:tcPr>
          <w:p w14:paraId="0873CD8D"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14.709</w:t>
            </w:r>
          </w:p>
        </w:tc>
        <w:tc>
          <w:tcPr>
            <w:tcW w:w="1203" w:type="dxa"/>
            <w:tcBorders>
              <w:top w:val="nil"/>
              <w:left w:val="nil"/>
              <w:bottom w:val="single" w:sz="4" w:space="0" w:color="auto"/>
              <w:right w:val="single" w:sz="4" w:space="0" w:color="auto"/>
            </w:tcBorders>
            <w:shd w:val="clear" w:color="auto" w:fill="auto"/>
            <w:noWrap/>
            <w:vAlign w:val="center"/>
            <w:hideMark/>
          </w:tcPr>
          <w:p w14:paraId="5DA140FF"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129.276.509,22</w:t>
            </w:r>
          </w:p>
        </w:tc>
        <w:tc>
          <w:tcPr>
            <w:tcW w:w="1124" w:type="dxa"/>
            <w:tcBorders>
              <w:top w:val="nil"/>
              <w:left w:val="nil"/>
              <w:bottom w:val="single" w:sz="4" w:space="0" w:color="auto"/>
              <w:right w:val="single" w:sz="4" w:space="0" w:color="auto"/>
            </w:tcBorders>
            <w:shd w:val="clear" w:color="auto" w:fill="auto"/>
            <w:noWrap/>
            <w:vAlign w:val="center"/>
            <w:hideMark/>
          </w:tcPr>
          <w:p w14:paraId="0E4763A0"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10.368.424,18</w:t>
            </w:r>
          </w:p>
        </w:tc>
        <w:tc>
          <w:tcPr>
            <w:tcW w:w="1203" w:type="dxa"/>
            <w:tcBorders>
              <w:top w:val="nil"/>
              <w:left w:val="nil"/>
              <w:bottom w:val="single" w:sz="4" w:space="0" w:color="auto"/>
              <w:right w:val="single" w:sz="4" w:space="0" w:color="auto"/>
            </w:tcBorders>
            <w:shd w:val="clear" w:color="auto" w:fill="auto"/>
            <w:noWrap/>
            <w:vAlign w:val="center"/>
            <w:hideMark/>
          </w:tcPr>
          <w:p w14:paraId="63C598FC"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139.644.933,40</w:t>
            </w:r>
          </w:p>
        </w:tc>
        <w:tc>
          <w:tcPr>
            <w:tcW w:w="752" w:type="dxa"/>
            <w:tcBorders>
              <w:top w:val="nil"/>
              <w:left w:val="nil"/>
              <w:bottom w:val="single" w:sz="4" w:space="0" w:color="auto"/>
              <w:right w:val="single" w:sz="4" w:space="0" w:color="auto"/>
            </w:tcBorders>
            <w:shd w:val="clear" w:color="auto" w:fill="auto"/>
            <w:noWrap/>
            <w:vAlign w:val="center"/>
            <w:hideMark/>
          </w:tcPr>
          <w:p w14:paraId="2E8AEDAA"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11.263</w:t>
            </w:r>
          </w:p>
        </w:tc>
        <w:tc>
          <w:tcPr>
            <w:tcW w:w="1272" w:type="dxa"/>
            <w:tcBorders>
              <w:top w:val="nil"/>
              <w:left w:val="nil"/>
              <w:bottom w:val="single" w:sz="4" w:space="0" w:color="auto"/>
              <w:right w:val="single" w:sz="4" w:space="0" w:color="auto"/>
            </w:tcBorders>
            <w:shd w:val="clear" w:color="auto" w:fill="auto"/>
            <w:vAlign w:val="center"/>
            <w:hideMark/>
          </w:tcPr>
          <w:p w14:paraId="22CC5EBD"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34.317.253,42</w:t>
            </w:r>
          </w:p>
        </w:tc>
      </w:tr>
      <w:tr w:rsidR="006C328A" w:rsidRPr="006C70F0" w14:paraId="7BFB8A67" w14:textId="77777777" w:rsidTr="00A353FE">
        <w:trPr>
          <w:trHeight w:val="50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66C7403A"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Α</w:t>
            </w:r>
          </w:p>
        </w:tc>
        <w:tc>
          <w:tcPr>
            <w:tcW w:w="540" w:type="dxa"/>
            <w:tcBorders>
              <w:top w:val="nil"/>
              <w:left w:val="nil"/>
              <w:bottom w:val="single" w:sz="4" w:space="0" w:color="auto"/>
              <w:right w:val="single" w:sz="4" w:space="0" w:color="auto"/>
            </w:tcBorders>
            <w:shd w:val="clear" w:color="auto" w:fill="auto"/>
            <w:noWrap/>
            <w:vAlign w:val="center"/>
            <w:hideMark/>
          </w:tcPr>
          <w:p w14:paraId="04F7ED15"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8η</w:t>
            </w:r>
          </w:p>
        </w:tc>
        <w:tc>
          <w:tcPr>
            <w:tcW w:w="957" w:type="dxa"/>
            <w:tcBorders>
              <w:top w:val="nil"/>
              <w:left w:val="nil"/>
              <w:bottom w:val="single" w:sz="4" w:space="0" w:color="auto"/>
              <w:right w:val="single" w:sz="4" w:space="0" w:color="auto"/>
            </w:tcBorders>
            <w:shd w:val="clear" w:color="auto" w:fill="auto"/>
            <w:noWrap/>
            <w:vAlign w:val="center"/>
            <w:hideMark/>
          </w:tcPr>
          <w:p w14:paraId="364EE358"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1/10/2018</w:t>
            </w:r>
          </w:p>
        </w:tc>
        <w:tc>
          <w:tcPr>
            <w:tcW w:w="734" w:type="dxa"/>
            <w:tcBorders>
              <w:top w:val="nil"/>
              <w:left w:val="nil"/>
              <w:bottom w:val="single" w:sz="4" w:space="0" w:color="auto"/>
              <w:right w:val="single" w:sz="4" w:space="0" w:color="auto"/>
            </w:tcBorders>
            <w:shd w:val="clear" w:color="auto" w:fill="auto"/>
            <w:noWrap/>
            <w:vAlign w:val="center"/>
            <w:hideMark/>
          </w:tcPr>
          <w:p w14:paraId="0B7480F6"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8.241</w:t>
            </w:r>
          </w:p>
        </w:tc>
        <w:tc>
          <w:tcPr>
            <w:tcW w:w="570" w:type="dxa"/>
            <w:tcBorders>
              <w:top w:val="nil"/>
              <w:left w:val="nil"/>
              <w:bottom w:val="single" w:sz="4" w:space="0" w:color="auto"/>
              <w:right w:val="single" w:sz="4" w:space="0" w:color="auto"/>
            </w:tcBorders>
            <w:shd w:val="clear" w:color="auto" w:fill="auto"/>
            <w:noWrap/>
            <w:vAlign w:val="center"/>
            <w:hideMark/>
          </w:tcPr>
          <w:p w14:paraId="0F84169E"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1.214</w:t>
            </w:r>
          </w:p>
        </w:tc>
        <w:tc>
          <w:tcPr>
            <w:tcW w:w="773" w:type="dxa"/>
            <w:tcBorders>
              <w:top w:val="nil"/>
              <w:left w:val="nil"/>
              <w:bottom w:val="single" w:sz="4" w:space="0" w:color="auto"/>
              <w:right w:val="single" w:sz="4" w:space="0" w:color="auto"/>
            </w:tcBorders>
            <w:shd w:val="clear" w:color="auto" w:fill="auto"/>
            <w:noWrap/>
            <w:vAlign w:val="center"/>
            <w:hideMark/>
          </w:tcPr>
          <w:p w14:paraId="5964562E"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9.455</w:t>
            </w:r>
          </w:p>
        </w:tc>
        <w:tc>
          <w:tcPr>
            <w:tcW w:w="1203" w:type="dxa"/>
            <w:tcBorders>
              <w:top w:val="nil"/>
              <w:left w:val="nil"/>
              <w:bottom w:val="single" w:sz="4" w:space="0" w:color="auto"/>
              <w:right w:val="single" w:sz="4" w:space="0" w:color="auto"/>
            </w:tcBorders>
            <w:shd w:val="clear" w:color="auto" w:fill="auto"/>
            <w:noWrap/>
            <w:vAlign w:val="center"/>
            <w:hideMark/>
          </w:tcPr>
          <w:p w14:paraId="794B180C"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79.623.624,86</w:t>
            </w:r>
          </w:p>
        </w:tc>
        <w:tc>
          <w:tcPr>
            <w:tcW w:w="1124" w:type="dxa"/>
            <w:tcBorders>
              <w:top w:val="nil"/>
              <w:left w:val="nil"/>
              <w:bottom w:val="single" w:sz="4" w:space="0" w:color="auto"/>
              <w:right w:val="single" w:sz="4" w:space="0" w:color="auto"/>
            </w:tcBorders>
            <w:shd w:val="clear" w:color="auto" w:fill="auto"/>
            <w:noWrap/>
            <w:vAlign w:val="center"/>
            <w:hideMark/>
          </w:tcPr>
          <w:p w14:paraId="50E66F6E"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11.766.476,36</w:t>
            </w:r>
          </w:p>
        </w:tc>
        <w:tc>
          <w:tcPr>
            <w:tcW w:w="1203" w:type="dxa"/>
            <w:tcBorders>
              <w:top w:val="nil"/>
              <w:left w:val="nil"/>
              <w:bottom w:val="single" w:sz="4" w:space="0" w:color="auto"/>
              <w:right w:val="single" w:sz="4" w:space="0" w:color="auto"/>
            </w:tcBorders>
            <w:shd w:val="clear" w:color="auto" w:fill="auto"/>
            <w:noWrap/>
            <w:vAlign w:val="center"/>
            <w:hideMark/>
          </w:tcPr>
          <w:p w14:paraId="334DBE88"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91.390.101,22</w:t>
            </w:r>
          </w:p>
        </w:tc>
        <w:tc>
          <w:tcPr>
            <w:tcW w:w="752" w:type="dxa"/>
            <w:tcBorders>
              <w:top w:val="nil"/>
              <w:left w:val="nil"/>
              <w:bottom w:val="single" w:sz="4" w:space="0" w:color="auto"/>
              <w:right w:val="single" w:sz="4" w:space="0" w:color="auto"/>
            </w:tcBorders>
            <w:shd w:val="clear" w:color="auto" w:fill="auto"/>
            <w:noWrap/>
            <w:vAlign w:val="center"/>
            <w:hideMark/>
          </w:tcPr>
          <w:p w14:paraId="48932CA4"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5.572</w:t>
            </w:r>
          </w:p>
        </w:tc>
        <w:tc>
          <w:tcPr>
            <w:tcW w:w="1272" w:type="dxa"/>
            <w:tcBorders>
              <w:top w:val="nil"/>
              <w:left w:val="nil"/>
              <w:bottom w:val="single" w:sz="4" w:space="0" w:color="auto"/>
              <w:right w:val="single" w:sz="4" w:space="0" w:color="auto"/>
            </w:tcBorders>
            <w:shd w:val="clear" w:color="auto" w:fill="auto"/>
            <w:vAlign w:val="center"/>
            <w:hideMark/>
          </w:tcPr>
          <w:p w14:paraId="5124631F"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16.647.004,08</w:t>
            </w:r>
          </w:p>
        </w:tc>
      </w:tr>
      <w:tr w:rsidR="006C328A" w:rsidRPr="006C70F0" w14:paraId="70B1213C" w14:textId="77777777" w:rsidTr="00A353FE">
        <w:trPr>
          <w:trHeight w:val="50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7BF99211"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Α</w:t>
            </w:r>
          </w:p>
        </w:tc>
        <w:tc>
          <w:tcPr>
            <w:tcW w:w="540" w:type="dxa"/>
            <w:tcBorders>
              <w:top w:val="nil"/>
              <w:left w:val="nil"/>
              <w:bottom w:val="single" w:sz="4" w:space="0" w:color="auto"/>
              <w:right w:val="single" w:sz="4" w:space="0" w:color="auto"/>
            </w:tcBorders>
            <w:shd w:val="clear" w:color="auto" w:fill="auto"/>
            <w:noWrap/>
            <w:vAlign w:val="center"/>
            <w:hideMark/>
          </w:tcPr>
          <w:p w14:paraId="306591BC"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9η</w:t>
            </w:r>
          </w:p>
        </w:tc>
        <w:tc>
          <w:tcPr>
            <w:tcW w:w="957" w:type="dxa"/>
            <w:tcBorders>
              <w:top w:val="nil"/>
              <w:left w:val="nil"/>
              <w:bottom w:val="single" w:sz="4" w:space="0" w:color="auto"/>
              <w:right w:val="single" w:sz="4" w:space="0" w:color="auto"/>
            </w:tcBorders>
            <w:shd w:val="clear" w:color="auto" w:fill="auto"/>
            <w:noWrap/>
            <w:vAlign w:val="center"/>
            <w:hideMark/>
          </w:tcPr>
          <w:p w14:paraId="4394A101"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21/11/2018</w:t>
            </w:r>
          </w:p>
        </w:tc>
        <w:tc>
          <w:tcPr>
            <w:tcW w:w="734" w:type="dxa"/>
            <w:tcBorders>
              <w:top w:val="nil"/>
              <w:left w:val="nil"/>
              <w:bottom w:val="single" w:sz="4" w:space="0" w:color="auto"/>
              <w:right w:val="single" w:sz="4" w:space="0" w:color="auto"/>
            </w:tcBorders>
            <w:shd w:val="clear" w:color="auto" w:fill="auto"/>
            <w:noWrap/>
            <w:vAlign w:val="center"/>
            <w:hideMark/>
          </w:tcPr>
          <w:p w14:paraId="37F176AF"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1.824</w:t>
            </w:r>
          </w:p>
        </w:tc>
        <w:tc>
          <w:tcPr>
            <w:tcW w:w="570" w:type="dxa"/>
            <w:tcBorders>
              <w:top w:val="nil"/>
              <w:left w:val="nil"/>
              <w:bottom w:val="single" w:sz="4" w:space="0" w:color="auto"/>
              <w:right w:val="single" w:sz="4" w:space="0" w:color="auto"/>
            </w:tcBorders>
            <w:shd w:val="clear" w:color="auto" w:fill="auto"/>
            <w:noWrap/>
            <w:vAlign w:val="center"/>
            <w:hideMark/>
          </w:tcPr>
          <w:p w14:paraId="4562F0D0"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303</w:t>
            </w:r>
          </w:p>
        </w:tc>
        <w:tc>
          <w:tcPr>
            <w:tcW w:w="773" w:type="dxa"/>
            <w:tcBorders>
              <w:top w:val="nil"/>
              <w:left w:val="nil"/>
              <w:bottom w:val="single" w:sz="4" w:space="0" w:color="auto"/>
              <w:right w:val="single" w:sz="4" w:space="0" w:color="auto"/>
            </w:tcBorders>
            <w:shd w:val="clear" w:color="auto" w:fill="auto"/>
            <w:noWrap/>
            <w:vAlign w:val="center"/>
            <w:hideMark/>
          </w:tcPr>
          <w:p w14:paraId="7FBD4236"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2.127</w:t>
            </w:r>
          </w:p>
        </w:tc>
        <w:tc>
          <w:tcPr>
            <w:tcW w:w="1203" w:type="dxa"/>
            <w:tcBorders>
              <w:top w:val="nil"/>
              <w:left w:val="nil"/>
              <w:bottom w:val="single" w:sz="4" w:space="0" w:color="auto"/>
              <w:right w:val="single" w:sz="4" w:space="0" w:color="auto"/>
            </w:tcBorders>
            <w:shd w:val="clear" w:color="auto" w:fill="auto"/>
            <w:noWrap/>
            <w:vAlign w:val="center"/>
            <w:hideMark/>
          </w:tcPr>
          <w:p w14:paraId="1AA20BFA"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18.297.368,46</w:t>
            </w:r>
          </w:p>
        </w:tc>
        <w:tc>
          <w:tcPr>
            <w:tcW w:w="1124" w:type="dxa"/>
            <w:tcBorders>
              <w:top w:val="nil"/>
              <w:left w:val="nil"/>
              <w:bottom w:val="single" w:sz="4" w:space="0" w:color="auto"/>
              <w:right w:val="single" w:sz="4" w:space="0" w:color="auto"/>
            </w:tcBorders>
            <w:shd w:val="clear" w:color="auto" w:fill="auto"/>
            <w:noWrap/>
            <w:vAlign w:val="center"/>
            <w:hideMark/>
          </w:tcPr>
          <w:p w14:paraId="55B2411F"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3.006.629,68</w:t>
            </w:r>
          </w:p>
        </w:tc>
        <w:tc>
          <w:tcPr>
            <w:tcW w:w="1203" w:type="dxa"/>
            <w:tcBorders>
              <w:top w:val="nil"/>
              <w:left w:val="nil"/>
              <w:bottom w:val="single" w:sz="4" w:space="0" w:color="auto"/>
              <w:right w:val="single" w:sz="4" w:space="0" w:color="auto"/>
            </w:tcBorders>
            <w:shd w:val="clear" w:color="auto" w:fill="auto"/>
            <w:noWrap/>
            <w:vAlign w:val="center"/>
            <w:hideMark/>
          </w:tcPr>
          <w:p w14:paraId="32793128"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21.303.998,14</w:t>
            </w:r>
          </w:p>
        </w:tc>
        <w:tc>
          <w:tcPr>
            <w:tcW w:w="752" w:type="dxa"/>
            <w:tcBorders>
              <w:top w:val="nil"/>
              <w:left w:val="nil"/>
              <w:bottom w:val="single" w:sz="4" w:space="0" w:color="auto"/>
              <w:right w:val="single" w:sz="4" w:space="0" w:color="auto"/>
            </w:tcBorders>
            <w:shd w:val="clear" w:color="auto" w:fill="auto"/>
            <w:noWrap/>
            <w:vAlign w:val="center"/>
            <w:hideMark/>
          </w:tcPr>
          <w:p w14:paraId="6E5F9EC6"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911</w:t>
            </w:r>
          </w:p>
        </w:tc>
        <w:tc>
          <w:tcPr>
            <w:tcW w:w="1272" w:type="dxa"/>
            <w:tcBorders>
              <w:top w:val="nil"/>
              <w:left w:val="nil"/>
              <w:bottom w:val="single" w:sz="4" w:space="0" w:color="auto"/>
              <w:right w:val="single" w:sz="4" w:space="0" w:color="auto"/>
            </w:tcBorders>
            <w:shd w:val="clear" w:color="auto" w:fill="auto"/>
            <w:vAlign w:val="center"/>
            <w:hideMark/>
          </w:tcPr>
          <w:p w14:paraId="655B0A90"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2.771.471,78</w:t>
            </w:r>
          </w:p>
        </w:tc>
      </w:tr>
      <w:tr w:rsidR="006C328A" w:rsidRPr="006C70F0" w14:paraId="3A2D4E87" w14:textId="77777777" w:rsidTr="00A353FE">
        <w:trPr>
          <w:trHeight w:val="50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5654DC5A"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Α</w:t>
            </w:r>
          </w:p>
        </w:tc>
        <w:tc>
          <w:tcPr>
            <w:tcW w:w="540" w:type="dxa"/>
            <w:tcBorders>
              <w:top w:val="nil"/>
              <w:left w:val="nil"/>
              <w:bottom w:val="single" w:sz="4" w:space="0" w:color="auto"/>
              <w:right w:val="single" w:sz="4" w:space="0" w:color="auto"/>
            </w:tcBorders>
            <w:shd w:val="clear" w:color="auto" w:fill="auto"/>
            <w:noWrap/>
            <w:vAlign w:val="center"/>
            <w:hideMark/>
          </w:tcPr>
          <w:p w14:paraId="109655B8"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10</w:t>
            </w:r>
            <w:r w:rsidRPr="006C70F0">
              <w:rPr>
                <w:rFonts w:ascii="Calibri" w:eastAsia="Times New Roman" w:hAnsi="Calibri" w:cs="Times New Roman"/>
                <w:color w:val="000000"/>
                <w:sz w:val="18"/>
                <w:szCs w:val="18"/>
                <w:vertAlign w:val="superscript"/>
                <w:lang w:eastAsia="el-GR"/>
              </w:rPr>
              <w:t>η</w:t>
            </w:r>
          </w:p>
        </w:tc>
        <w:tc>
          <w:tcPr>
            <w:tcW w:w="957" w:type="dxa"/>
            <w:tcBorders>
              <w:top w:val="nil"/>
              <w:left w:val="nil"/>
              <w:bottom w:val="single" w:sz="4" w:space="0" w:color="auto"/>
              <w:right w:val="single" w:sz="4" w:space="0" w:color="auto"/>
            </w:tcBorders>
            <w:shd w:val="clear" w:color="auto" w:fill="auto"/>
            <w:noWrap/>
            <w:vAlign w:val="center"/>
            <w:hideMark/>
          </w:tcPr>
          <w:p w14:paraId="72633255"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26/2/2019</w:t>
            </w:r>
          </w:p>
        </w:tc>
        <w:tc>
          <w:tcPr>
            <w:tcW w:w="734" w:type="dxa"/>
            <w:tcBorders>
              <w:top w:val="nil"/>
              <w:left w:val="nil"/>
              <w:bottom w:val="single" w:sz="4" w:space="0" w:color="auto"/>
              <w:right w:val="single" w:sz="4" w:space="0" w:color="auto"/>
            </w:tcBorders>
            <w:shd w:val="clear" w:color="auto" w:fill="auto"/>
            <w:noWrap/>
            <w:vAlign w:val="center"/>
            <w:hideMark/>
          </w:tcPr>
          <w:p w14:paraId="628ED373"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1.029</w:t>
            </w:r>
          </w:p>
        </w:tc>
        <w:tc>
          <w:tcPr>
            <w:tcW w:w="570" w:type="dxa"/>
            <w:tcBorders>
              <w:top w:val="nil"/>
              <w:left w:val="nil"/>
              <w:bottom w:val="single" w:sz="4" w:space="0" w:color="auto"/>
              <w:right w:val="single" w:sz="4" w:space="0" w:color="auto"/>
            </w:tcBorders>
            <w:shd w:val="clear" w:color="auto" w:fill="auto"/>
            <w:noWrap/>
            <w:vAlign w:val="center"/>
            <w:hideMark/>
          </w:tcPr>
          <w:p w14:paraId="1C52C443"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69</w:t>
            </w:r>
          </w:p>
        </w:tc>
        <w:tc>
          <w:tcPr>
            <w:tcW w:w="773" w:type="dxa"/>
            <w:tcBorders>
              <w:top w:val="nil"/>
              <w:left w:val="nil"/>
              <w:bottom w:val="single" w:sz="4" w:space="0" w:color="auto"/>
              <w:right w:val="single" w:sz="4" w:space="0" w:color="auto"/>
            </w:tcBorders>
            <w:shd w:val="clear" w:color="auto" w:fill="auto"/>
            <w:noWrap/>
            <w:vAlign w:val="center"/>
            <w:hideMark/>
          </w:tcPr>
          <w:p w14:paraId="2E3FFDE1"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1.098</w:t>
            </w:r>
          </w:p>
        </w:tc>
        <w:tc>
          <w:tcPr>
            <w:tcW w:w="1203" w:type="dxa"/>
            <w:tcBorders>
              <w:top w:val="nil"/>
              <w:left w:val="nil"/>
              <w:bottom w:val="single" w:sz="4" w:space="0" w:color="auto"/>
              <w:right w:val="single" w:sz="4" w:space="0" w:color="auto"/>
            </w:tcBorders>
            <w:shd w:val="clear" w:color="auto" w:fill="auto"/>
            <w:noWrap/>
            <w:vAlign w:val="center"/>
            <w:hideMark/>
          </w:tcPr>
          <w:p w14:paraId="67FB7BC6"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9.716.447,05</w:t>
            </w:r>
          </w:p>
        </w:tc>
        <w:tc>
          <w:tcPr>
            <w:tcW w:w="1124" w:type="dxa"/>
            <w:tcBorders>
              <w:top w:val="nil"/>
              <w:left w:val="nil"/>
              <w:bottom w:val="single" w:sz="4" w:space="0" w:color="auto"/>
              <w:right w:val="single" w:sz="4" w:space="0" w:color="auto"/>
            </w:tcBorders>
            <w:shd w:val="clear" w:color="auto" w:fill="auto"/>
            <w:noWrap/>
            <w:vAlign w:val="center"/>
            <w:hideMark/>
          </w:tcPr>
          <w:p w14:paraId="35C84F5F"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678.287,49</w:t>
            </w:r>
          </w:p>
        </w:tc>
        <w:tc>
          <w:tcPr>
            <w:tcW w:w="1203" w:type="dxa"/>
            <w:tcBorders>
              <w:top w:val="nil"/>
              <w:left w:val="nil"/>
              <w:bottom w:val="single" w:sz="4" w:space="0" w:color="auto"/>
              <w:right w:val="single" w:sz="4" w:space="0" w:color="auto"/>
            </w:tcBorders>
            <w:shd w:val="clear" w:color="auto" w:fill="auto"/>
            <w:noWrap/>
            <w:vAlign w:val="center"/>
            <w:hideMark/>
          </w:tcPr>
          <w:p w14:paraId="6099AD53"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10.394.734,54</w:t>
            </w:r>
          </w:p>
        </w:tc>
        <w:tc>
          <w:tcPr>
            <w:tcW w:w="752" w:type="dxa"/>
            <w:tcBorders>
              <w:top w:val="nil"/>
              <w:left w:val="nil"/>
              <w:bottom w:val="single" w:sz="4" w:space="0" w:color="auto"/>
              <w:right w:val="single" w:sz="4" w:space="0" w:color="auto"/>
            </w:tcBorders>
            <w:shd w:val="clear" w:color="auto" w:fill="auto"/>
            <w:noWrap/>
            <w:vAlign w:val="center"/>
            <w:hideMark/>
          </w:tcPr>
          <w:p w14:paraId="029B43BD"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434</w:t>
            </w:r>
          </w:p>
        </w:tc>
        <w:tc>
          <w:tcPr>
            <w:tcW w:w="1272" w:type="dxa"/>
            <w:tcBorders>
              <w:top w:val="nil"/>
              <w:left w:val="nil"/>
              <w:bottom w:val="single" w:sz="4" w:space="0" w:color="auto"/>
              <w:right w:val="single" w:sz="4" w:space="0" w:color="auto"/>
            </w:tcBorders>
            <w:shd w:val="clear" w:color="auto" w:fill="auto"/>
            <w:vAlign w:val="center"/>
            <w:hideMark/>
          </w:tcPr>
          <w:p w14:paraId="1982636F"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1.247.995,02</w:t>
            </w:r>
          </w:p>
        </w:tc>
      </w:tr>
      <w:tr w:rsidR="006C328A" w:rsidRPr="006C70F0" w14:paraId="53DB22BD" w14:textId="77777777" w:rsidTr="00A353FE">
        <w:trPr>
          <w:trHeight w:val="50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772A5A2C"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Α</w:t>
            </w:r>
          </w:p>
        </w:tc>
        <w:tc>
          <w:tcPr>
            <w:tcW w:w="540" w:type="dxa"/>
            <w:tcBorders>
              <w:top w:val="nil"/>
              <w:left w:val="nil"/>
              <w:bottom w:val="single" w:sz="4" w:space="0" w:color="auto"/>
              <w:right w:val="single" w:sz="4" w:space="0" w:color="auto"/>
            </w:tcBorders>
            <w:shd w:val="clear" w:color="auto" w:fill="auto"/>
            <w:noWrap/>
            <w:vAlign w:val="center"/>
            <w:hideMark/>
          </w:tcPr>
          <w:p w14:paraId="2ED22E9D"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11</w:t>
            </w:r>
            <w:r w:rsidRPr="006C70F0">
              <w:rPr>
                <w:rFonts w:ascii="Calibri" w:eastAsia="Times New Roman" w:hAnsi="Calibri" w:cs="Times New Roman"/>
                <w:color w:val="000000"/>
                <w:sz w:val="18"/>
                <w:szCs w:val="18"/>
                <w:vertAlign w:val="superscript"/>
                <w:lang w:eastAsia="el-GR"/>
              </w:rPr>
              <w:t>η</w:t>
            </w:r>
          </w:p>
        </w:tc>
        <w:tc>
          <w:tcPr>
            <w:tcW w:w="957" w:type="dxa"/>
            <w:tcBorders>
              <w:top w:val="nil"/>
              <w:left w:val="nil"/>
              <w:bottom w:val="single" w:sz="4" w:space="0" w:color="auto"/>
              <w:right w:val="single" w:sz="4" w:space="0" w:color="auto"/>
            </w:tcBorders>
            <w:shd w:val="clear" w:color="auto" w:fill="auto"/>
            <w:noWrap/>
            <w:vAlign w:val="center"/>
            <w:hideMark/>
          </w:tcPr>
          <w:p w14:paraId="505314C7"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20/5/2019</w:t>
            </w:r>
          </w:p>
        </w:tc>
        <w:tc>
          <w:tcPr>
            <w:tcW w:w="734" w:type="dxa"/>
            <w:tcBorders>
              <w:top w:val="nil"/>
              <w:left w:val="nil"/>
              <w:bottom w:val="single" w:sz="4" w:space="0" w:color="auto"/>
              <w:right w:val="single" w:sz="4" w:space="0" w:color="auto"/>
            </w:tcBorders>
            <w:shd w:val="clear" w:color="auto" w:fill="auto"/>
            <w:noWrap/>
            <w:vAlign w:val="center"/>
            <w:hideMark/>
          </w:tcPr>
          <w:p w14:paraId="1E50E4AC"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1.235</w:t>
            </w:r>
          </w:p>
        </w:tc>
        <w:tc>
          <w:tcPr>
            <w:tcW w:w="570" w:type="dxa"/>
            <w:tcBorders>
              <w:top w:val="nil"/>
              <w:left w:val="nil"/>
              <w:bottom w:val="single" w:sz="4" w:space="0" w:color="auto"/>
              <w:right w:val="single" w:sz="4" w:space="0" w:color="auto"/>
            </w:tcBorders>
            <w:shd w:val="clear" w:color="auto" w:fill="auto"/>
            <w:noWrap/>
            <w:vAlign w:val="center"/>
            <w:hideMark/>
          </w:tcPr>
          <w:p w14:paraId="20614DD0"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102</w:t>
            </w:r>
          </w:p>
        </w:tc>
        <w:tc>
          <w:tcPr>
            <w:tcW w:w="773" w:type="dxa"/>
            <w:tcBorders>
              <w:top w:val="nil"/>
              <w:left w:val="nil"/>
              <w:bottom w:val="single" w:sz="4" w:space="0" w:color="auto"/>
              <w:right w:val="single" w:sz="4" w:space="0" w:color="auto"/>
            </w:tcBorders>
            <w:shd w:val="clear" w:color="auto" w:fill="auto"/>
            <w:noWrap/>
            <w:vAlign w:val="center"/>
            <w:hideMark/>
          </w:tcPr>
          <w:p w14:paraId="4FF2E84C"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1.337</w:t>
            </w:r>
          </w:p>
        </w:tc>
        <w:tc>
          <w:tcPr>
            <w:tcW w:w="1203" w:type="dxa"/>
            <w:tcBorders>
              <w:top w:val="nil"/>
              <w:left w:val="nil"/>
              <w:bottom w:val="single" w:sz="4" w:space="0" w:color="auto"/>
              <w:right w:val="single" w:sz="4" w:space="0" w:color="auto"/>
            </w:tcBorders>
            <w:shd w:val="clear" w:color="auto" w:fill="auto"/>
            <w:noWrap/>
            <w:vAlign w:val="center"/>
            <w:hideMark/>
          </w:tcPr>
          <w:p w14:paraId="34C68D3E"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11.629.351,73</w:t>
            </w:r>
          </w:p>
        </w:tc>
        <w:tc>
          <w:tcPr>
            <w:tcW w:w="1124" w:type="dxa"/>
            <w:tcBorders>
              <w:top w:val="nil"/>
              <w:left w:val="nil"/>
              <w:bottom w:val="single" w:sz="4" w:space="0" w:color="auto"/>
              <w:right w:val="single" w:sz="4" w:space="0" w:color="auto"/>
            </w:tcBorders>
            <w:shd w:val="clear" w:color="auto" w:fill="auto"/>
            <w:noWrap/>
            <w:vAlign w:val="center"/>
            <w:hideMark/>
          </w:tcPr>
          <w:p w14:paraId="40255100"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1.050.836,53</w:t>
            </w:r>
          </w:p>
        </w:tc>
        <w:tc>
          <w:tcPr>
            <w:tcW w:w="1203" w:type="dxa"/>
            <w:tcBorders>
              <w:top w:val="nil"/>
              <w:left w:val="nil"/>
              <w:bottom w:val="single" w:sz="4" w:space="0" w:color="auto"/>
              <w:right w:val="single" w:sz="4" w:space="0" w:color="auto"/>
            </w:tcBorders>
            <w:shd w:val="clear" w:color="auto" w:fill="auto"/>
            <w:noWrap/>
            <w:vAlign w:val="center"/>
            <w:hideMark/>
          </w:tcPr>
          <w:p w14:paraId="72A13FCB"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12.680.188,26</w:t>
            </w:r>
          </w:p>
        </w:tc>
        <w:tc>
          <w:tcPr>
            <w:tcW w:w="752" w:type="dxa"/>
            <w:tcBorders>
              <w:top w:val="nil"/>
              <w:left w:val="nil"/>
              <w:bottom w:val="single" w:sz="4" w:space="0" w:color="auto"/>
              <w:right w:val="single" w:sz="4" w:space="0" w:color="auto"/>
            </w:tcBorders>
            <w:shd w:val="clear" w:color="auto" w:fill="auto"/>
            <w:noWrap/>
            <w:vAlign w:val="center"/>
            <w:hideMark/>
          </w:tcPr>
          <w:p w14:paraId="2F1943EF"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502</w:t>
            </w:r>
          </w:p>
        </w:tc>
        <w:tc>
          <w:tcPr>
            <w:tcW w:w="1272" w:type="dxa"/>
            <w:tcBorders>
              <w:top w:val="nil"/>
              <w:left w:val="nil"/>
              <w:bottom w:val="single" w:sz="4" w:space="0" w:color="auto"/>
              <w:right w:val="single" w:sz="4" w:space="0" w:color="auto"/>
            </w:tcBorders>
            <w:shd w:val="clear" w:color="auto" w:fill="auto"/>
            <w:vAlign w:val="center"/>
            <w:hideMark/>
          </w:tcPr>
          <w:p w14:paraId="775004F5"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1.502.894,69</w:t>
            </w:r>
          </w:p>
        </w:tc>
      </w:tr>
      <w:tr w:rsidR="006C328A" w:rsidRPr="006C70F0" w14:paraId="61E6F6FF" w14:textId="77777777" w:rsidTr="00A353FE">
        <w:trPr>
          <w:trHeight w:val="500"/>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14:paraId="18D090B1"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Α</w:t>
            </w:r>
          </w:p>
        </w:tc>
        <w:tc>
          <w:tcPr>
            <w:tcW w:w="540" w:type="dxa"/>
            <w:tcBorders>
              <w:top w:val="nil"/>
              <w:left w:val="nil"/>
              <w:bottom w:val="single" w:sz="4" w:space="0" w:color="auto"/>
              <w:right w:val="single" w:sz="4" w:space="0" w:color="auto"/>
            </w:tcBorders>
            <w:shd w:val="clear" w:color="auto" w:fill="auto"/>
            <w:noWrap/>
            <w:vAlign w:val="center"/>
            <w:hideMark/>
          </w:tcPr>
          <w:p w14:paraId="144B9C96"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12</w:t>
            </w:r>
            <w:r w:rsidRPr="006C70F0">
              <w:rPr>
                <w:rFonts w:ascii="Calibri" w:eastAsia="Times New Roman" w:hAnsi="Calibri" w:cs="Times New Roman"/>
                <w:color w:val="000000"/>
                <w:sz w:val="18"/>
                <w:szCs w:val="18"/>
                <w:vertAlign w:val="superscript"/>
                <w:lang w:eastAsia="el-GR"/>
              </w:rPr>
              <w:t>η</w:t>
            </w:r>
          </w:p>
        </w:tc>
        <w:tc>
          <w:tcPr>
            <w:tcW w:w="957" w:type="dxa"/>
            <w:tcBorders>
              <w:top w:val="nil"/>
              <w:left w:val="nil"/>
              <w:bottom w:val="single" w:sz="4" w:space="0" w:color="auto"/>
              <w:right w:val="single" w:sz="4" w:space="0" w:color="auto"/>
            </w:tcBorders>
            <w:shd w:val="clear" w:color="auto" w:fill="auto"/>
            <w:noWrap/>
            <w:vAlign w:val="center"/>
            <w:hideMark/>
          </w:tcPr>
          <w:p w14:paraId="33C2E881"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13/9/2019</w:t>
            </w:r>
          </w:p>
        </w:tc>
        <w:tc>
          <w:tcPr>
            <w:tcW w:w="734" w:type="dxa"/>
            <w:tcBorders>
              <w:top w:val="nil"/>
              <w:left w:val="nil"/>
              <w:bottom w:val="single" w:sz="4" w:space="0" w:color="auto"/>
              <w:right w:val="single" w:sz="4" w:space="0" w:color="auto"/>
            </w:tcBorders>
            <w:shd w:val="clear" w:color="auto" w:fill="auto"/>
            <w:noWrap/>
            <w:vAlign w:val="center"/>
            <w:hideMark/>
          </w:tcPr>
          <w:p w14:paraId="575E77AD"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387</w:t>
            </w:r>
          </w:p>
        </w:tc>
        <w:tc>
          <w:tcPr>
            <w:tcW w:w="570" w:type="dxa"/>
            <w:tcBorders>
              <w:top w:val="nil"/>
              <w:left w:val="nil"/>
              <w:bottom w:val="single" w:sz="4" w:space="0" w:color="auto"/>
              <w:right w:val="single" w:sz="4" w:space="0" w:color="auto"/>
            </w:tcBorders>
            <w:shd w:val="clear" w:color="auto" w:fill="auto"/>
            <w:noWrap/>
            <w:vAlign w:val="center"/>
            <w:hideMark/>
          </w:tcPr>
          <w:p w14:paraId="5E220761"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32</w:t>
            </w:r>
          </w:p>
        </w:tc>
        <w:tc>
          <w:tcPr>
            <w:tcW w:w="773" w:type="dxa"/>
            <w:tcBorders>
              <w:top w:val="nil"/>
              <w:left w:val="nil"/>
              <w:bottom w:val="single" w:sz="4" w:space="0" w:color="auto"/>
              <w:right w:val="single" w:sz="4" w:space="0" w:color="auto"/>
            </w:tcBorders>
            <w:shd w:val="clear" w:color="auto" w:fill="auto"/>
            <w:noWrap/>
            <w:vAlign w:val="center"/>
            <w:hideMark/>
          </w:tcPr>
          <w:p w14:paraId="5A8204C7"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419</w:t>
            </w:r>
          </w:p>
        </w:tc>
        <w:tc>
          <w:tcPr>
            <w:tcW w:w="1203" w:type="dxa"/>
            <w:tcBorders>
              <w:top w:val="nil"/>
              <w:left w:val="nil"/>
              <w:bottom w:val="single" w:sz="4" w:space="0" w:color="auto"/>
              <w:right w:val="single" w:sz="4" w:space="0" w:color="auto"/>
            </w:tcBorders>
            <w:shd w:val="clear" w:color="auto" w:fill="auto"/>
            <w:vAlign w:val="center"/>
            <w:hideMark/>
          </w:tcPr>
          <w:p w14:paraId="48FE3FC0"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3.796.003,58</w:t>
            </w:r>
          </w:p>
        </w:tc>
        <w:tc>
          <w:tcPr>
            <w:tcW w:w="1124" w:type="dxa"/>
            <w:tcBorders>
              <w:top w:val="nil"/>
              <w:left w:val="nil"/>
              <w:bottom w:val="single" w:sz="4" w:space="0" w:color="auto"/>
              <w:right w:val="single" w:sz="4" w:space="0" w:color="auto"/>
            </w:tcBorders>
            <w:shd w:val="clear" w:color="auto" w:fill="auto"/>
            <w:noWrap/>
            <w:vAlign w:val="center"/>
            <w:hideMark/>
          </w:tcPr>
          <w:p w14:paraId="5CE09372"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325.012,52</w:t>
            </w:r>
          </w:p>
        </w:tc>
        <w:tc>
          <w:tcPr>
            <w:tcW w:w="1203" w:type="dxa"/>
            <w:tcBorders>
              <w:top w:val="nil"/>
              <w:left w:val="nil"/>
              <w:bottom w:val="single" w:sz="4" w:space="0" w:color="auto"/>
              <w:right w:val="single" w:sz="4" w:space="0" w:color="auto"/>
            </w:tcBorders>
            <w:shd w:val="clear" w:color="auto" w:fill="auto"/>
            <w:noWrap/>
            <w:vAlign w:val="center"/>
            <w:hideMark/>
          </w:tcPr>
          <w:p w14:paraId="2E856F6E"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4.121.016,10</w:t>
            </w:r>
          </w:p>
        </w:tc>
        <w:tc>
          <w:tcPr>
            <w:tcW w:w="752" w:type="dxa"/>
            <w:tcBorders>
              <w:top w:val="nil"/>
              <w:left w:val="nil"/>
              <w:bottom w:val="single" w:sz="4" w:space="0" w:color="auto"/>
              <w:right w:val="single" w:sz="4" w:space="0" w:color="auto"/>
            </w:tcBorders>
            <w:shd w:val="clear" w:color="auto" w:fill="auto"/>
            <w:noWrap/>
            <w:vAlign w:val="center"/>
            <w:hideMark/>
          </w:tcPr>
          <w:p w14:paraId="5010A1D5"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169</w:t>
            </w:r>
          </w:p>
        </w:tc>
        <w:tc>
          <w:tcPr>
            <w:tcW w:w="1272" w:type="dxa"/>
            <w:tcBorders>
              <w:top w:val="nil"/>
              <w:left w:val="nil"/>
              <w:bottom w:val="single" w:sz="4" w:space="0" w:color="auto"/>
              <w:right w:val="single" w:sz="4" w:space="0" w:color="auto"/>
            </w:tcBorders>
            <w:shd w:val="clear" w:color="auto" w:fill="auto"/>
            <w:vAlign w:val="center"/>
            <w:hideMark/>
          </w:tcPr>
          <w:p w14:paraId="291D3E2C"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503.851,20</w:t>
            </w:r>
          </w:p>
        </w:tc>
      </w:tr>
      <w:tr w:rsidR="006C328A" w:rsidRPr="006C70F0" w14:paraId="0F7049FC" w14:textId="77777777" w:rsidTr="00A353FE">
        <w:trPr>
          <w:trHeight w:val="500"/>
        </w:trPr>
        <w:tc>
          <w:tcPr>
            <w:tcW w:w="20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9E8CBE"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 xml:space="preserve">ΑΘΡΟΙΣΜΑΤΑ </w:t>
            </w:r>
          </w:p>
        </w:tc>
        <w:tc>
          <w:tcPr>
            <w:tcW w:w="734" w:type="dxa"/>
            <w:tcBorders>
              <w:top w:val="nil"/>
              <w:left w:val="nil"/>
              <w:bottom w:val="single" w:sz="4" w:space="0" w:color="auto"/>
              <w:right w:val="single" w:sz="4" w:space="0" w:color="auto"/>
            </w:tcBorders>
            <w:shd w:val="clear" w:color="auto" w:fill="auto"/>
            <w:noWrap/>
            <w:vAlign w:val="bottom"/>
            <w:hideMark/>
          </w:tcPr>
          <w:p w14:paraId="018A5BC0" w14:textId="77777777" w:rsidR="006C328A" w:rsidRPr="006C70F0" w:rsidRDefault="006C328A" w:rsidP="006C328A">
            <w:pPr>
              <w:spacing w:after="0" w:line="360" w:lineRule="auto"/>
              <w:rPr>
                <w:rFonts w:ascii="Calibri" w:eastAsia="Times New Roman" w:hAnsi="Calibri" w:cs="Times New Roman"/>
                <w:color w:val="FF0000"/>
                <w:sz w:val="18"/>
                <w:szCs w:val="18"/>
                <w:lang w:eastAsia="el-GR"/>
              </w:rPr>
            </w:pPr>
            <w:r w:rsidRPr="006C70F0">
              <w:rPr>
                <w:rFonts w:ascii="Calibri" w:eastAsia="Times New Roman" w:hAnsi="Calibri" w:cs="Times New Roman"/>
                <w:color w:val="FF0000"/>
                <w:sz w:val="18"/>
                <w:szCs w:val="18"/>
                <w:lang w:eastAsia="el-GR"/>
              </w:rPr>
              <w:t>38.483</w:t>
            </w:r>
          </w:p>
        </w:tc>
        <w:tc>
          <w:tcPr>
            <w:tcW w:w="570" w:type="dxa"/>
            <w:tcBorders>
              <w:top w:val="nil"/>
              <w:left w:val="nil"/>
              <w:bottom w:val="single" w:sz="4" w:space="0" w:color="auto"/>
              <w:right w:val="single" w:sz="4" w:space="0" w:color="auto"/>
            </w:tcBorders>
            <w:shd w:val="clear" w:color="auto" w:fill="auto"/>
            <w:noWrap/>
            <w:vAlign w:val="bottom"/>
            <w:hideMark/>
          </w:tcPr>
          <w:p w14:paraId="33EE78A4"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4.164</w:t>
            </w:r>
          </w:p>
        </w:tc>
        <w:tc>
          <w:tcPr>
            <w:tcW w:w="773" w:type="dxa"/>
            <w:tcBorders>
              <w:top w:val="nil"/>
              <w:left w:val="nil"/>
              <w:bottom w:val="single" w:sz="4" w:space="0" w:color="auto"/>
              <w:right w:val="single" w:sz="4" w:space="0" w:color="auto"/>
            </w:tcBorders>
            <w:shd w:val="clear" w:color="auto" w:fill="auto"/>
            <w:noWrap/>
            <w:vAlign w:val="bottom"/>
            <w:hideMark/>
          </w:tcPr>
          <w:p w14:paraId="5E9705A4" w14:textId="77777777" w:rsidR="006C328A" w:rsidRPr="006C70F0" w:rsidRDefault="006C328A" w:rsidP="006C328A">
            <w:pPr>
              <w:spacing w:after="0" w:line="360" w:lineRule="auto"/>
              <w:rPr>
                <w:rFonts w:ascii="Calibri" w:eastAsia="Times New Roman" w:hAnsi="Calibri" w:cs="Times New Roman"/>
                <w:b/>
                <w:bCs/>
                <w:color w:val="000000"/>
                <w:sz w:val="18"/>
                <w:szCs w:val="18"/>
                <w:lang w:eastAsia="el-GR"/>
              </w:rPr>
            </w:pPr>
            <w:r w:rsidRPr="006C70F0">
              <w:rPr>
                <w:rFonts w:ascii="Calibri" w:eastAsia="Times New Roman" w:hAnsi="Calibri" w:cs="Times New Roman"/>
                <w:b/>
                <w:bCs/>
                <w:color w:val="000000"/>
                <w:sz w:val="18"/>
                <w:szCs w:val="18"/>
                <w:lang w:eastAsia="el-GR"/>
              </w:rPr>
              <w:t>42.647</w:t>
            </w:r>
          </w:p>
        </w:tc>
        <w:tc>
          <w:tcPr>
            <w:tcW w:w="1203" w:type="dxa"/>
            <w:tcBorders>
              <w:top w:val="nil"/>
              <w:left w:val="nil"/>
              <w:bottom w:val="single" w:sz="4" w:space="0" w:color="auto"/>
              <w:right w:val="single" w:sz="4" w:space="0" w:color="auto"/>
            </w:tcBorders>
            <w:shd w:val="clear" w:color="auto" w:fill="auto"/>
            <w:noWrap/>
            <w:vAlign w:val="bottom"/>
            <w:hideMark/>
          </w:tcPr>
          <w:p w14:paraId="62C056A8" w14:textId="77777777" w:rsidR="006C328A" w:rsidRPr="006C70F0" w:rsidRDefault="006C328A" w:rsidP="006C328A">
            <w:pPr>
              <w:spacing w:after="0" w:line="360" w:lineRule="auto"/>
              <w:rPr>
                <w:rFonts w:ascii="Calibri" w:eastAsia="Times New Roman" w:hAnsi="Calibri" w:cs="Times New Roman"/>
                <w:b/>
                <w:bCs/>
                <w:color w:val="FF0000"/>
                <w:sz w:val="18"/>
                <w:szCs w:val="18"/>
                <w:lang w:eastAsia="el-GR"/>
              </w:rPr>
            </w:pPr>
            <w:r w:rsidRPr="006C70F0">
              <w:rPr>
                <w:rFonts w:ascii="Calibri" w:eastAsia="Times New Roman" w:hAnsi="Calibri" w:cs="Times New Roman"/>
                <w:b/>
                <w:bCs/>
                <w:color w:val="FF0000"/>
                <w:sz w:val="18"/>
                <w:szCs w:val="18"/>
                <w:lang w:eastAsia="el-GR"/>
              </w:rPr>
              <w:t>363.633.547,29</w:t>
            </w:r>
          </w:p>
        </w:tc>
        <w:tc>
          <w:tcPr>
            <w:tcW w:w="1124" w:type="dxa"/>
            <w:tcBorders>
              <w:top w:val="nil"/>
              <w:left w:val="nil"/>
              <w:bottom w:val="single" w:sz="4" w:space="0" w:color="auto"/>
              <w:right w:val="single" w:sz="4" w:space="0" w:color="auto"/>
            </w:tcBorders>
            <w:shd w:val="clear" w:color="auto" w:fill="auto"/>
            <w:noWrap/>
            <w:vAlign w:val="bottom"/>
            <w:hideMark/>
          </w:tcPr>
          <w:p w14:paraId="07C946BF" w14:textId="77777777" w:rsidR="006C328A" w:rsidRPr="006C70F0" w:rsidRDefault="006C328A" w:rsidP="006C328A">
            <w:pPr>
              <w:spacing w:after="0" w:line="360" w:lineRule="auto"/>
              <w:rPr>
                <w:rFonts w:ascii="Calibri" w:eastAsia="Times New Roman" w:hAnsi="Calibri" w:cs="Times New Roman"/>
                <w:b/>
                <w:bCs/>
                <w:color w:val="000000"/>
                <w:sz w:val="18"/>
                <w:szCs w:val="18"/>
                <w:lang w:eastAsia="el-GR"/>
              </w:rPr>
            </w:pPr>
            <w:r w:rsidRPr="006C70F0">
              <w:rPr>
                <w:rFonts w:ascii="Calibri" w:eastAsia="Times New Roman" w:hAnsi="Calibri" w:cs="Times New Roman"/>
                <w:b/>
                <w:bCs/>
                <w:color w:val="000000"/>
                <w:sz w:val="18"/>
                <w:szCs w:val="18"/>
                <w:lang w:eastAsia="el-GR"/>
              </w:rPr>
              <w:t>38.871.750,27</w:t>
            </w:r>
          </w:p>
        </w:tc>
        <w:tc>
          <w:tcPr>
            <w:tcW w:w="1203" w:type="dxa"/>
            <w:tcBorders>
              <w:top w:val="nil"/>
              <w:left w:val="nil"/>
              <w:bottom w:val="single" w:sz="4" w:space="0" w:color="auto"/>
              <w:right w:val="single" w:sz="4" w:space="0" w:color="auto"/>
            </w:tcBorders>
            <w:shd w:val="clear" w:color="auto" w:fill="auto"/>
            <w:noWrap/>
            <w:vAlign w:val="bottom"/>
            <w:hideMark/>
          </w:tcPr>
          <w:p w14:paraId="4FABCD73" w14:textId="77777777" w:rsidR="006C328A" w:rsidRPr="006C70F0" w:rsidRDefault="006C328A" w:rsidP="006C328A">
            <w:pPr>
              <w:spacing w:after="0" w:line="360" w:lineRule="auto"/>
              <w:rPr>
                <w:rFonts w:ascii="Calibri" w:eastAsia="Times New Roman" w:hAnsi="Calibri" w:cs="Times New Roman"/>
                <w:b/>
                <w:bCs/>
                <w:color w:val="000000"/>
                <w:sz w:val="18"/>
                <w:szCs w:val="18"/>
                <w:lang w:eastAsia="el-GR"/>
              </w:rPr>
            </w:pPr>
            <w:r w:rsidRPr="006C70F0">
              <w:rPr>
                <w:rFonts w:ascii="Calibri" w:eastAsia="Times New Roman" w:hAnsi="Calibri" w:cs="Times New Roman"/>
                <w:b/>
                <w:bCs/>
                <w:color w:val="000000"/>
                <w:sz w:val="18"/>
                <w:szCs w:val="18"/>
                <w:lang w:eastAsia="el-GR"/>
              </w:rPr>
              <w:t>402.505.297,56</w:t>
            </w:r>
          </w:p>
        </w:tc>
        <w:tc>
          <w:tcPr>
            <w:tcW w:w="752" w:type="dxa"/>
            <w:tcBorders>
              <w:top w:val="nil"/>
              <w:left w:val="nil"/>
              <w:bottom w:val="single" w:sz="4" w:space="0" w:color="auto"/>
              <w:right w:val="single" w:sz="4" w:space="0" w:color="auto"/>
            </w:tcBorders>
            <w:shd w:val="clear" w:color="auto" w:fill="auto"/>
            <w:noWrap/>
            <w:vAlign w:val="bottom"/>
            <w:hideMark/>
          </w:tcPr>
          <w:p w14:paraId="0CF59A3C" w14:textId="77777777" w:rsidR="006C328A" w:rsidRPr="006C70F0" w:rsidRDefault="006C328A" w:rsidP="006C328A">
            <w:pPr>
              <w:spacing w:after="0" w:line="360" w:lineRule="auto"/>
              <w:rPr>
                <w:rFonts w:ascii="Calibri" w:eastAsia="Times New Roman" w:hAnsi="Calibri" w:cs="Times New Roman"/>
                <w:color w:val="000000"/>
                <w:sz w:val="18"/>
                <w:szCs w:val="18"/>
                <w:lang w:eastAsia="el-GR"/>
              </w:rPr>
            </w:pPr>
            <w:r w:rsidRPr="006C70F0">
              <w:rPr>
                <w:rFonts w:ascii="Calibri" w:eastAsia="Times New Roman" w:hAnsi="Calibri" w:cs="Times New Roman"/>
                <w:color w:val="000000"/>
                <w:sz w:val="18"/>
                <w:szCs w:val="18"/>
                <w:lang w:eastAsia="el-GR"/>
              </w:rPr>
              <w:t>18.851</w:t>
            </w:r>
          </w:p>
        </w:tc>
        <w:tc>
          <w:tcPr>
            <w:tcW w:w="1272" w:type="dxa"/>
            <w:tcBorders>
              <w:top w:val="nil"/>
              <w:left w:val="nil"/>
              <w:bottom w:val="single" w:sz="4" w:space="0" w:color="auto"/>
              <w:right w:val="single" w:sz="4" w:space="0" w:color="auto"/>
            </w:tcBorders>
            <w:shd w:val="clear" w:color="auto" w:fill="auto"/>
            <w:noWrap/>
            <w:vAlign w:val="bottom"/>
            <w:hideMark/>
          </w:tcPr>
          <w:p w14:paraId="452AA106" w14:textId="77777777" w:rsidR="006C328A" w:rsidRPr="006C70F0" w:rsidRDefault="006C328A" w:rsidP="006C328A">
            <w:pPr>
              <w:spacing w:after="0" w:line="360" w:lineRule="auto"/>
              <w:rPr>
                <w:rFonts w:ascii="Calibri" w:eastAsia="Times New Roman" w:hAnsi="Calibri" w:cs="Times New Roman"/>
                <w:b/>
                <w:bCs/>
                <w:color w:val="000000"/>
                <w:sz w:val="18"/>
                <w:szCs w:val="18"/>
                <w:lang w:eastAsia="el-GR"/>
              </w:rPr>
            </w:pPr>
            <w:r w:rsidRPr="006C70F0">
              <w:rPr>
                <w:rFonts w:ascii="Calibri" w:eastAsia="Times New Roman" w:hAnsi="Calibri" w:cs="Times New Roman"/>
                <w:b/>
                <w:bCs/>
                <w:color w:val="000000"/>
                <w:sz w:val="18"/>
                <w:szCs w:val="18"/>
                <w:lang w:eastAsia="el-GR"/>
              </w:rPr>
              <w:t>56.990.470,19</w:t>
            </w:r>
          </w:p>
        </w:tc>
      </w:tr>
    </w:tbl>
    <w:p w14:paraId="61D3041D" w14:textId="77777777" w:rsidR="0027581E" w:rsidRDefault="0027581E" w:rsidP="0027581E">
      <w:pPr>
        <w:spacing w:before="0" w:after="0" w:line="240" w:lineRule="auto"/>
      </w:pPr>
    </w:p>
    <w:p w14:paraId="7751B5E2" w14:textId="77777777" w:rsidR="006C328A" w:rsidRDefault="006C328A" w:rsidP="006C328A">
      <w:pPr>
        <w:spacing w:line="360" w:lineRule="auto"/>
      </w:pPr>
      <w:r>
        <w:t>Επιπλέον σε σχέση με την κατανομή σε κατηγορίες ωφελούμενων με βάση το οικογενειακό εισόδημα έχουμε στοιχεία έως και την *11</w:t>
      </w:r>
      <w:r w:rsidRPr="003E33EC">
        <w:rPr>
          <w:vertAlign w:val="superscript"/>
        </w:rPr>
        <w:t>η</w:t>
      </w:r>
      <w:r>
        <w:t xml:space="preserve"> συνεδρίαση.</w:t>
      </w:r>
    </w:p>
    <w:tbl>
      <w:tblPr>
        <w:tblW w:w="9886" w:type="dxa"/>
        <w:tblInd w:w="-280" w:type="dxa"/>
        <w:tblLayout w:type="fixed"/>
        <w:tblLook w:val="04A0" w:firstRow="1" w:lastRow="0" w:firstColumn="1" w:lastColumn="0" w:noHBand="0" w:noVBand="1"/>
      </w:tblPr>
      <w:tblGrid>
        <w:gridCol w:w="530"/>
        <w:gridCol w:w="1843"/>
        <w:gridCol w:w="1843"/>
        <w:gridCol w:w="1134"/>
        <w:gridCol w:w="1134"/>
        <w:gridCol w:w="1275"/>
        <w:gridCol w:w="993"/>
        <w:gridCol w:w="1134"/>
      </w:tblGrid>
      <w:tr w:rsidR="006C328A" w:rsidRPr="00855C80" w14:paraId="0257F71C" w14:textId="77777777" w:rsidTr="006C328A">
        <w:trPr>
          <w:trHeight w:val="702"/>
        </w:trPr>
        <w:tc>
          <w:tcPr>
            <w:tcW w:w="53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4BB87C8" w14:textId="77777777" w:rsidR="006C328A" w:rsidRPr="00855C80" w:rsidRDefault="006C328A" w:rsidP="006C328A">
            <w:pPr>
              <w:spacing w:after="0" w:line="24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Κατηγορία</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14:paraId="7954ADB0" w14:textId="77777777" w:rsidR="006C328A" w:rsidRPr="00855C80" w:rsidRDefault="006C328A" w:rsidP="006C328A">
            <w:pPr>
              <w:spacing w:after="0" w:line="24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«Εισόδημα επιβολής εισφοράς αλληλεγγύης»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83552" w14:textId="77777777" w:rsidR="006C328A" w:rsidRPr="00855C80" w:rsidRDefault="006C328A" w:rsidP="006C328A">
            <w:pPr>
              <w:spacing w:after="0" w:line="24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Βασικό Ποσοστό Επιχορήγησης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425259" w14:textId="77777777" w:rsidR="006C328A" w:rsidRPr="00855C80" w:rsidRDefault="006C328A" w:rsidP="006C328A">
            <w:pPr>
              <w:spacing w:after="0" w:line="24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Αύξηση Επιχορήγησης ανά εξαρτώμενο τέκνο</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DE5B7" w14:textId="77777777" w:rsidR="006C328A" w:rsidRPr="00855C80" w:rsidRDefault="006C328A" w:rsidP="006C328A">
            <w:pPr>
              <w:spacing w:after="0" w:line="24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Μέγιστο Ποσοστό Επιχορήγησης</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427EF7" w14:textId="77777777" w:rsidR="006C328A" w:rsidRPr="00855C80" w:rsidRDefault="006C328A" w:rsidP="006C328A">
            <w:pPr>
              <w:spacing w:after="0" w:line="24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Πλήθος*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0D8945" w14:textId="77777777" w:rsidR="006C328A" w:rsidRPr="00855C80" w:rsidRDefault="006C328A" w:rsidP="006C328A">
            <w:pPr>
              <w:spacing w:after="0" w:line="24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Ποσοστό επί του συνόλου</w:t>
            </w:r>
          </w:p>
        </w:tc>
      </w:tr>
      <w:tr w:rsidR="006C328A" w:rsidRPr="00855C80" w14:paraId="0FFE272B" w14:textId="77777777" w:rsidTr="006C328A">
        <w:trPr>
          <w:trHeight w:val="106"/>
        </w:trPr>
        <w:tc>
          <w:tcPr>
            <w:tcW w:w="530" w:type="dxa"/>
            <w:vMerge/>
            <w:tcBorders>
              <w:top w:val="single" w:sz="4" w:space="0" w:color="auto"/>
              <w:left w:val="single" w:sz="4" w:space="0" w:color="auto"/>
              <w:bottom w:val="single" w:sz="4" w:space="0" w:color="000000"/>
              <w:right w:val="single" w:sz="4" w:space="0" w:color="auto"/>
            </w:tcBorders>
            <w:vAlign w:val="center"/>
            <w:hideMark/>
          </w:tcPr>
          <w:p w14:paraId="03AF94E3"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vAlign w:val="center"/>
            <w:hideMark/>
          </w:tcPr>
          <w:p w14:paraId="01EF864A"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Ατομικό</w:t>
            </w:r>
          </w:p>
        </w:tc>
        <w:tc>
          <w:tcPr>
            <w:tcW w:w="1843" w:type="dxa"/>
            <w:tcBorders>
              <w:top w:val="nil"/>
              <w:left w:val="nil"/>
              <w:bottom w:val="single" w:sz="4" w:space="0" w:color="auto"/>
              <w:right w:val="single" w:sz="4" w:space="0" w:color="auto"/>
            </w:tcBorders>
            <w:shd w:val="clear" w:color="auto" w:fill="auto"/>
            <w:vAlign w:val="center"/>
            <w:hideMark/>
          </w:tcPr>
          <w:p w14:paraId="5CFF635E"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Οικογενειακό</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93FB53"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1D717F"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89806E0"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B4CB53C"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D1B449"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p>
        </w:tc>
      </w:tr>
      <w:tr w:rsidR="006C328A" w:rsidRPr="00855C80" w14:paraId="3548E9F6" w14:textId="77777777" w:rsidTr="00A353FE">
        <w:trPr>
          <w:trHeight w:val="4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4315D83"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1η</w:t>
            </w:r>
          </w:p>
        </w:tc>
        <w:tc>
          <w:tcPr>
            <w:tcW w:w="1843" w:type="dxa"/>
            <w:tcBorders>
              <w:top w:val="nil"/>
              <w:left w:val="nil"/>
              <w:bottom w:val="single" w:sz="4" w:space="0" w:color="auto"/>
              <w:right w:val="single" w:sz="4" w:space="0" w:color="auto"/>
            </w:tcBorders>
            <w:shd w:val="clear" w:color="auto" w:fill="auto"/>
            <w:noWrap/>
            <w:vAlign w:val="bottom"/>
            <w:hideMark/>
          </w:tcPr>
          <w:p w14:paraId="14DD299C"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Έως 10.000</w:t>
            </w:r>
          </w:p>
        </w:tc>
        <w:tc>
          <w:tcPr>
            <w:tcW w:w="1843" w:type="dxa"/>
            <w:tcBorders>
              <w:top w:val="nil"/>
              <w:left w:val="nil"/>
              <w:bottom w:val="single" w:sz="4" w:space="0" w:color="auto"/>
              <w:right w:val="single" w:sz="4" w:space="0" w:color="auto"/>
            </w:tcBorders>
            <w:shd w:val="clear" w:color="auto" w:fill="auto"/>
            <w:noWrap/>
            <w:vAlign w:val="bottom"/>
            <w:hideMark/>
          </w:tcPr>
          <w:p w14:paraId="0391EFEF"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Έως 20.000</w:t>
            </w:r>
          </w:p>
        </w:tc>
        <w:tc>
          <w:tcPr>
            <w:tcW w:w="1134" w:type="dxa"/>
            <w:tcBorders>
              <w:top w:val="nil"/>
              <w:left w:val="nil"/>
              <w:bottom w:val="single" w:sz="4" w:space="0" w:color="auto"/>
              <w:right w:val="single" w:sz="4" w:space="0" w:color="auto"/>
            </w:tcBorders>
            <w:shd w:val="clear" w:color="auto" w:fill="auto"/>
            <w:noWrap/>
            <w:vAlign w:val="bottom"/>
            <w:hideMark/>
          </w:tcPr>
          <w:p w14:paraId="10AE6863"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60%</w:t>
            </w:r>
          </w:p>
        </w:tc>
        <w:tc>
          <w:tcPr>
            <w:tcW w:w="1134" w:type="dxa"/>
            <w:tcBorders>
              <w:top w:val="nil"/>
              <w:left w:val="nil"/>
              <w:bottom w:val="single" w:sz="4" w:space="0" w:color="auto"/>
              <w:right w:val="single" w:sz="4" w:space="0" w:color="auto"/>
            </w:tcBorders>
            <w:shd w:val="clear" w:color="auto" w:fill="auto"/>
            <w:noWrap/>
            <w:vAlign w:val="bottom"/>
            <w:hideMark/>
          </w:tcPr>
          <w:p w14:paraId="0DE75929"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w:t>
            </w:r>
          </w:p>
        </w:tc>
        <w:tc>
          <w:tcPr>
            <w:tcW w:w="1275" w:type="dxa"/>
            <w:tcBorders>
              <w:top w:val="nil"/>
              <w:left w:val="nil"/>
              <w:bottom w:val="single" w:sz="4" w:space="0" w:color="auto"/>
              <w:right w:val="single" w:sz="4" w:space="0" w:color="auto"/>
            </w:tcBorders>
            <w:shd w:val="clear" w:color="auto" w:fill="auto"/>
            <w:noWrap/>
            <w:vAlign w:val="bottom"/>
            <w:hideMark/>
          </w:tcPr>
          <w:p w14:paraId="7F544066"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70%</w:t>
            </w:r>
          </w:p>
        </w:tc>
        <w:tc>
          <w:tcPr>
            <w:tcW w:w="993" w:type="dxa"/>
            <w:tcBorders>
              <w:top w:val="nil"/>
              <w:left w:val="nil"/>
              <w:bottom w:val="single" w:sz="4" w:space="0" w:color="auto"/>
              <w:right w:val="single" w:sz="4" w:space="0" w:color="auto"/>
            </w:tcBorders>
            <w:shd w:val="clear" w:color="auto" w:fill="auto"/>
            <w:noWrap/>
            <w:vAlign w:val="center"/>
            <w:hideMark/>
          </w:tcPr>
          <w:p w14:paraId="5E378655"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28.070</w:t>
            </w:r>
          </w:p>
        </w:tc>
        <w:tc>
          <w:tcPr>
            <w:tcW w:w="1134" w:type="dxa"/>
            <w:tcBorders>
              <w:top w:val="nil"/>
              <w:left w:val="nil"/>
              <w:bottom w:val="single" w:sz="4" w:space="0" w:color="auto"/>
              <w:right w:val="single" w:sz="4" w:space="0" w:color="auto"/>
            </w:tcBorders>
            <w:shd w:val="clear" w:color="auto" w:fill="auto"/>
            <w:noWrap/>
            <w:vAlign w:val="bottom"/>
            <w:hideMark/>
          </w:tcPr>
          <w:p w14:paraId="13295FB2"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66,47%</w:t>
            </w:r>
          </w:p>
        </w:tc>
      </w:tr>
      <w:tr w:rsidR="006C328A" w:rsidRPr="00855C80" w14:paraId="5A404C84" w14:textId="77777777" w:rsidTr="00A353FE">
        <w:trPr>
          <w:trHeight w:val="4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94441FB"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2η</w:t>
            </w:r>
          </w:p>
        </w:tc>
        <w:tc>
          <w:tcPr>
            <w:tcW w:w="1843" w:type="dxa"/>
            <w:tcBorders>
              <w:top w:val="nil"/>
              <w:left w:val="nil"/>
              <w:bottom w:val="single" w:sz="4" w:space="0" w:color="auto"/>
              <w:right w:val="single" w:sz="4" w:space="0" w:color="auto"/>
            </w:tcBorders>
            <w:shd w:val="clear" w:color="auto" w:fill="auto"/>
            <w:noWrap/>
            <w:vAlign w:val="bottom"/>
            <w:hideMark/>
          </w:tcPr>
          <w:p w14:paraId="5AA41C30"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10.000 έως 15.000</w:t>
            </w:r>
          </w:p>
        </w:tc>
        <w:tc>
          <w:tcPr>
            <w:tcW w:w="1843" w:type="dxa"/>
            <w:tcBorders>
              <w:top w:val="nil"/>
              <w:left w:val="nil"/>
              <w:bottom w:val="single" w:sz="4" w:space="0" w:color="auto"/>
              <w:right w:val="single" w:sz="4" w:space="0" w:color="auto"/>
            </w:tcBorders>
            <w:shd w:val="clear" w:color="auto" w:fill="auto"/>
            <w:noWrap/>
            <w:vAlign w:val="bottom"/>
            <w:hideMark/>
          </w:tcPr>
          <w:p w14:paraId="64DA4DC1"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20.000 έως 25.000</w:t>
            </w:r>
          </w:p>
        </w:tc>
        <w:tc>
          <w:tcPr>
            <w:tcW w:w="1134" w:type="dxa"/>
            <w:tcBorders>
              <w:top w:val="nil"/>
              <w:left w:val="nil"/>
              <w:bottom w:val="single" w:sz="4" w:space="0" w:color="auto"/>
              <w:right w:val="single" w:sz="4" w:space="0" w:color="auto"/>
            </w:tcBorders>
            <w:shd w:val="clear" w:color="auto" w:fill="auto"/>
            <w:noWrap/>
            <w:vAlign w:val="bottom"/>
            <w:hideMark/>
          </w:tcPr>
          <w:p w14:paraId="25E5C9AB"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50%</w:t>
            </w:r>
          </w:p>
        </w:tc>
        <w:tc>
          <w:tcPr>
            <w:tcW w:w="1134" w:type="dxa"/>
            <w:tcBorders>
              <w:top w:val="nil"/>
              <w:left w:val="nil"/>
              <w:bottom w:val="single" w:sz="4" w:space="0" w:color="auto"/>
              <w:right w:val="single" w:sz="4" w:space="0" w:color="auto"/>
            </w:tcBorders>
            <w:shd w:val="clear" w:color="auto" w:fill="auto"/>
            <w:noWrap/>
            <w:vAlign w:val="bottom"/>
            <w:hideMark/>
          </w:tcPr>
          <w:p w14:paraId="7B7675D1"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w:t>
            </w:r>
          </w:p>
        </w:tc>
        <w:tc>
          <w:tcPr>
            <w:tcW w:w="1275" w:type="dxa"/>
            <w:tcBorders>
              <w:top w:val="nil"/>
              <w:left w:val="nil"/>
              <w:bottom w:val="single" w:sz="4" w:space="0" w:color="auto"/>
              <w:right w:val="single" w:sz="4" w:space="0" w:color="auto"/>
            </w:tcBorders>
            <w:shd w:val="clear" w:color="auto" w:fill="auto"/>
            <w:noWrap/>
            <w:vAlign w:val="bottom"/>
            <w:hideMark/>
          </w:tcPr>
          <w:p w14:paraId="0A92C4D2"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70%</w:t>
            </w:r>
          </w:p>
        </w:tc>
        <w:tc>
          <w:tcPr>
            <w:tcW w:w="993" w:type="dxa"/>
            <w:tcBorders>
              <w:top w:val="nil"/>
              <w:left w:val="nil"/>
              <w:bottom w:val="single" w:sz="4" w:space="0" w:color="auto"/>
              <w:right w:val="single" w:sz="4" w:space="0" w:color="auto"/>
            </w:tcBorders>
            <w:shd w:val="clear" w:color="auto" w:fill="auto"/>
            <w:noWrap/>
            <w:vAlign w:val="center"/>
            <w:hideMark/>
          </w:tcPr>
          <w:p w14:paraId="3B95635D"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8.098</w:t>
            </w:r>
          </w:p>
        </w:tc>
        <w:tc>
          <w:tcPr>
            <w:tcW w:w="1134" w:type="dxa"/>
            <w:tcBorders>
              <w:top w:val="nil"/>
              <w:left w:val="nil"/>
              <w:bottom w:val="single" w:sz="4" w:space="0" w:color="auto"/>
              <w:right w:val="single" w:sz="4" w:space="0" w:color="auto"/>
            </w:tcBorders>
            <w:shd w:val="clear" w:color="auto" w:fill="auto"/>
            <w:noWrap/>
            <w:vAlign w:val="bottom"/>
            <w:hideMark/>
          </w:tcPr>
          <w:p w14:paraId="6D11ADAA"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19,18%</w:t>
            </w:r>
          </w:p>
        </w:tc>
      </w:tr>
      <w:tr w:rsidR="006C328A" w:rsidRPr="00855C80" w14:paraId="0C611BB6" w14:textId="77777777" w:rsidTr="00A353FE">
        <w:trPr>
          <w:trHeight w:val="4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FC4443C"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3η</w:t>
            </w:r>
          </w:p>
        </w:tc>
        <w:tc>
          <w:tcPr>
            <w:tcW w:w="1843" w:type="dxa"/>
            <w:tcBorders>
              <w:top w:val="nil"/>
              <w:left w:val="nil"/>
              <w:bottom w:val="single" w:sz="4" w:space="0" w:color="auto"/>
              <w:right w:val="single" w:sz="4" w:space="0" w:color="auto"/>
            </w:tcBorders>
            <w:shd w:val="clear" w:color="auto" w:fill="auto"/>
            <w:noWrap/>
            <w:vAlign w:val="bottom"/>
            <w:hideMark/>
          </w:tcPr>
          <w:p w14:paraId="577A9B4B"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15.000 έως 20.000</w:t>
            </w:r>
          </w:p>
        </w:tc>
        <w:tc>
          <w:tcPr>
            <w:tcW w:w="1843" w:type="dxa"/>
            <w:tcBorders>
              <w:top w:val="nil"/>
              <w:left w:val="nil"/>
              <w:bottom w:val="single" w:sz="4" w:space="0" w:color="auto"/>
              <w:right w:val="single" w:sz="4" w:space="0" w:color="auto"/>
            </w:tcBorders>
            <w:shd w:val="clear" w:color="auto" w:fill="auto"/>
            <w:noWrap/>
            <w:vAlign w:val="bottom"/>
            <w:hideMark/>
          </w:tcPr>
          <w:p w14:paraId="15A482DC"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25.000 έως 30.000</w:t>
            </w:r>
          </w:p>
        </w:tc>
        <w:tc>
          <w:tcPr>
            <w:tcW w:w="1134" w:type="dxa"/>
            <w:tcBorders>
              <w:top w:val="nil"/>
              <w:left w:val="nil"/>
              <w:bottom w:val="single" w:sz="4" w:space="0" w:color="auto"/>
              <w:right w:val="single" w:sz="4" w:space="0" w:color="auto"/>
            </w:tcBorders>
            <w:shd w:val="clear" w:color="auto" w:fill="auto"/>
            <w:noWrap/>
            <w:vAlign w:val="bottom"/>
            <w:hideMark/>
          </w:tcPr>
          <w:p w14:paraId="633CFA00"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40%</w:t>
            </w:r>
          </w:p>
        </w:tc>
        <w:tc>
          <w:tcPr>
            <w:tcW w:w="1134" w:type="dxa"/>
            <w:tcBorders>
              <w:top w:val="nil"/>
              <w:left w:val="nil"/>
              <w:bottom w:val="single" w:sz="4" w:space="0" w:color="auto"/>
              <w:right w:val="single" w:sz="4" w:space="0" w:color="auto"/>
            </w:tcBorders>
            <w:shd w:val="clear" w:color="auto" w:fill="auto"/>
            <w:noWrap/>
            <w:vAlign w:val="bottom"/>
            <w:hideMark/>
          </w:tcPr>
          <w:p w14:paraId="354FC82A"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w:t>
            </w:r>
          </w:p>
        </w:tc>
        <w:tc>
          <w:tcPr>
            <w:tcW w:w="1275" w:type="dxa"/>
            <w:tcBorders>
              <w:top w:val="nil"/>
              <w:left w:val="nil"/>
              <w:bottom w:val="single" w:sz="4" w:space="0" w:color="auto"/>
              <w:right w:val="single" w:sz="4" w:space="0" w:color="auto"/>
            </w:tcBorders>
            <w:shd w:val="clear" w:color="auto" w:fill="auto"/>
            <w:noWrap/>
            <w:vAlign w:val="bottom"/>
            <w:hideMark/>
          </w:tcPr>
          <w:p w14:paraId="50BEB7E4"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70%</w:t>
            </w:r>
          </w:p>
        </w:tc>
        <w:tc>
          <w:tcPr>
            <w:tcW w:w="993" w:type="dxa"/>
            <w:tcBorders>
              <w:top w:val="nil"/>
              <w:left w:val="nil"/>
              <w:bottom w:val="single" w:sz="4" w:space="0" w:color="auto"/>
              <w:right w:val="single" w:sz="4" w:space="0" w:color="auto"/>
            </w:tcBorders>
            <w:shd w:val="clear" w:color="auto" w:fill="auto"/>
            <w:noWrap/>
            <w:vAlign w:val="center"/>
            <w:hideMark/>
          </w:tcPr>
          <w:p w14:paraId="3FA18E5A"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3.484</w:t>
            </w:r>
          </w:p>
        </w:tc>
        <w:tc>
          <w:tcPr>
            <w:tcW w:w="1134" w:type="dxa"/>
            <w:tcBorders>
              <w:top w:val="nil"/>
              <w:left w:val="nil"/>
              <w:bottom w:val="single" w:sz="4" w:space="0" w:color="auto"/>
              <w:right w:val="single" w:sz="4" w:space="0" w:color="auto"/>
            </w:tcBorders>
            <w:shd w:val="clear" w:color="auto" w:fill="auto"/>
            <w:noWrap/>
            <w:vAlign w:val="bottom"/>
            <w:hideMark/>
          </w:tcPr>
          <w:p w14:paraId="33DEFB72"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8,25%</w:t>
            </w:r>
          </w:p>
        </w:tc>
      </w:tr>
      <w:tr w:rsidR="006C328A" w:rsidRPr="00855C80" w14:paraId="319437A3" w14:textId="77777777" w:rsidTr="00A353FE">
        <w:trPr>
          <w:trHeight w:val="4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470B9B0"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4η</w:t>
            </w:r>
          </w:p>
        </w:tc>
        <w:tc>
          <w:tcPr>
            <w:tcW w:w="1843" w:type="dxa"/>
            <w:tcBorders>
              <w:top w:val="nil"/>
              <w:left w:val="nil"/>
              <w:bottom w:val="single" w:sz="4" w:space="0" w:color="auto"/>
              <w:right w:val="single" w:sz="4" w:space="0" w:color="auto"/>
            </w:tcBorders>
            <w:shd w:val="clear" w:color="auto" w:fill="auto"/>
            <w:noWrap/>
            <w:vAlign w:val="bottom"/>
            <w:hideMark/>
          </w:tcPr>
          <w:p w14:paraId="73903AA0"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20.000 έως 25.000</w:t>
            </w:r>
          </w:p>
        </w:tc>
        <w:tc>
          <w:tcPr>
            <w:tcW w:w="1843" w:type="dxa"/>
            <w:tcBorders>
              <w:top w:val="nil"/>
              <w:left w:val="nil"/>
              <w:bottom w:val="single" w:sz="4" w:space="0" w:color="auto"/>
              <w:right w:val="single" w:sz="4" w:space="0" w:color="auto"/>
            </w:tcBorders>
            <w:shd w:val="clear" w:color="auto" w:fill="auto"/>
            <w:noWrap/>
            <w:vAlign w:val="bottom"/>
            <w:hideMark/>
          </w:tcPr>
          <w:p w14:paraId="7F25F3F9"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30.000 έως 35.000</w:t>
            </w:r>
          </w:p>
        </w:tc>
        <w:tc>
          <w:tcPr>
            <w:tcW w:w="1134" w:type="dxa"/>
            <w:tcBorders>
              <w:top w:val="nil"/>
              <w:left w:val="nil"/>
              <w:bottom w:val="single" w:sz="4" w:space="0" w:color="auto"/>
              <w:right w:val="single" w:sz="4" w:space="0" w:color="auto"/>
            </w:tcBorders>
            <w:shd w:val="clear" w:color="auto" w:fill="auto"/>
            <w:noWrap/>
            <w:vAlign w:val="bottom"/>
            <w:hideMark/>
          </w:tcPr>
          <w:p w14:paraId="6E0D8E5E"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35%</w:t>
            </w:r>
          </w:p>
        </w:tc>
        <w:tc>
          <w:tcPr>
            <w:tcW w:w="1134" w:type="dxa"/>
            <w:tcBorders>
              <w:top w:val="nil"/>
              <w:left w:val="nil"/>
              <w:bottom w:val="single" w:sz="4" w:space="0" w:color="auto"/>
              <w:right w:val="single" w:sz="4" w:space="0" w:color="auto"/>
            </w:tcBorders>
            <w:shd w:val="clear" w:color="auto" w:fill="auto"/>
            <w:noWrap/>
            <w:vAlign w:val="bottom"/>
            <w:hideMark/>
          </w:tcPr>
          <w:p w14:paraId="191B902E"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w:t>
            </w:r>
          </w:p>
        </w:tc>
        <w:tc>
          <w:tcPr>
            <w:tcW w:w="1275" w:type="dxa"/>
            <w:tcBorders>
              <w:top w:val="nil"/>
              <w:left w:val="nil"/>
              <w:bottom w:val="single" w:sz="4" w:space="0" w:color="auto"/>
              <w:right w:val="single" w:sz="4" w:space="0" w:color="auto"/>
            </w:tcBorders>
            <w:shd w:val="clear" w:color="auto" w:fill="auto"/>
            <w:noWrap/>
            <w:vAlign w:val="bottom"/>
            <w:hideMark/>
          </w:tcPr>
          <w:p w14:paraId="5176FB11"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70%</w:t>
            </w:r>
          </w:p>
        </w:tc>
        <w:tc>
          <w:tcPr>
            <w:tcW w:w="993" w:type="dxa"/>
            <w:tcBorders>
              <w:top w:val="nil"/>
              <w:left w:val="nil"/>
              <w:bottom w:val="single" w:sz="4" w:space="0" w:color="auto"/>
              <w:right w:val="single" w:sz="4" w:space="0" w:color="auto"/>
            </w:tcBorders>
            <w:shd w:val="clear" w:color="auto" w:fill="auto"/>
            <w:noWrap/>
            <w:vAlign w:val="center"/>
            <w:hideMark/>
          </w:tcPr>
          <w:p w14:paraId="5C8AAA85"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1.526</w:t>
            </w:r>
          </w:p>
        </w:tc>
        <w:tc>
          <w:tcPr>
            <w:tcW w:w="1134" w:type="dxa"/>
            <w:tcBorders>
              <w:top w:val="nil"/>
              <w:left w:val="nil"/>
              <w:bottom w:val="single" w:sz="4" w:space="0" w:color="auto"/>
              <w:right w:val="single" w:sz="4" w:space="0" w:color="auto"/>
            </w:tcBorders>
            <w:shd w:val="clear" w:color="auto" w:fill="auto"/>
            <w:noWrap/>
            <w:vAlign w:val="bottom"/>
            <w:hideMark/>
          </w:tcPr>
          <w:p w14:paraId="4EBC8702"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3,61%</w:t>
            </w:r>
          </w:p>
        </w:tc>
      </w:tr>
      <w:tr w:rsidR="006C328A" w:rsidRPr="00855C80" w14:paraId="53E1CB48" w14:textId="77777777" w:rsidTr="00A353FE">
        <w:trPr>
          <w:trHeight w:val="4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E272EE0"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5η</w:t>
            </w:r>
          </w:p>
        </w:tc>
        <w:tc>
          <w:tcPr>
            <w:tcW w:w="1843" w:type="dxa"/>
            <w:tcBorders>
              <w:top w:val="nil"/>
              <w:left w:val="nil"/>
              <w:bottom w:val="single" w:sz="4" w:space="0" w:color="auto"/>
              <w:right w:val="single" w:sz="4" w:space="0" w:color="auto"/>
            </w:tcBorders>
            <w:shd w:val="clear" w:color="auto" w:fill="auto"/>
            <w:noWrap/>
            <w:vAlign w:val="bottom"/>
            <w:hideMark/>
          </w:tcPr>
          <w:p w14:paraId="603E05DD"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25.000 έως 30.000</w:t>
            </w:r>
          </w:p>
        </w:tc>
        <w:tc>
          <w:tcPr>
            <w:tcW w:w="1843" w:type="dxa"/>
            <w:tcBorders>
              <w:top w:val="nil"/>
              <w:left w:val="nil"/>
              <w:bottom w:val="single" w:sz="4" w:space="0" w:color="auto"/>
              <w:right w:val="single" w:sz="4" w:space="0" w:color="auto"/>
            </w:tcBorders>
            <w:shd w:val="clear" w:color="auto" w:fill="auto"/>
            <w:noWrap/>
            <w:vAlign w:val="bottom"/>
            <w:hideMark/>
          </w:tcPr>
          <w:p w14:paraId="4673DBDB"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35.000 έως 40.000</w:t>
            </w:r>
          </w:p>
        </w:tc>
        <w:tc>
          <w:tcPr>
            <w:tcW w:w="1134" w:type="dxa"/>
            <w:tcBorders>
              <w:top w:val="nil"/>
              <w:left w:val="nil"/>
              <w:bottom w:val="single" w:sz="4" w:space="0" w:color="auto"/>
              <w:right w:val="single" w:sz="4" w:space="0" w:color="auto"/>
            </w:tcBorders>
            <w:shd w:val="clear" w:color="auto" w:fill="auto"/>
            <w:noWrap/>
            <w:vAlign w:val="bottom"/>
            <w:hideMark/>
          </w:tcPr>
          <w:p w14:paraId="65C641F7"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30%</w:t>
            </w:r>
          </w:p>
        </w:tc>
        <w:tc>
          <w:tcPr>
            <w:tcW w:w="1134" w:type="dxa"/>
            <w:tcBorders>
              <w:top w:val="nil"/>
              <w:left w:val="nil"/>
              <w:bottom w:val="single" w:sz="4" w:space="0" w:color="auto"/>
              <w:right w:val="single" w:sz="4" w:space="0" w:color="auto"/>
            </w:tcBorders>
            <w:shd w:val="clear" w:color="auto" w:fill="auto"/>
            <w:noWrap/>
            <w:vAlign w:val="bottom"/>
            <w:hideMark/>
          </w:tcPr>
          <w:p w14:paraId="01DD7FAB"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w:t>
            </w:r>
          </w:p>
        </w:tc>
        <w:tc>
          <w:tcPr>
            <w:tcW w:w="1275" w:type="dxa"/>
            <w:tcBorders>
              <w:top w:val="nil"/>
              <w:left w:val="nil"/>
              <w:bottom w:val="single" w:sz="4" w:space="0" w:color="auto"/>
              <w:right w:val="single" w:sz="4" w:space="0" w:color="auto"/>
            </w:tcBorders>
            <w:shd w:val="clear" w:color="auto" w:fill="auto"/>
            <w:noWrap/>
            <w:vAlign w:val="bottom"/>
            <w:hideMark/>
          </w:tcPr>
          <w:p w14:paraId="29777BEB"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50%</w:t>
            </w:r>
          </w:p>
        </w:tc>
        <w:tc>
          <w:tcPr>
            <w:tcW w:w="993" w:type="dxa"/>
            <w:tcBorders>
              <w:top w:val="nil"/>
              <w:left w:val="nil"/>
              <w:bottom w:val="single" w:sz="4" w:space="0" w:color="auto"/>
              <w:right w:val="single" w:sz="4" w:space="0" w:color="auto"/>
            </w:tcBorders>
            <w:shd w:val="clear" w:color="auto" w:fill="auto"/>
            <w:noWrap/>
            <w:vAlign w:val="center"/>
            <w:hideMark/>
          </w:tcPr>
          <w:p w14:paraId="67D9B412"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737</w:t>
            </w:r>
          </w:p>
        </w:tc>
        <w:tc>
          <w:tcPr>
            <w:tcW w:w="1134" w:type="dxa"/>
            <w:tcBorders>
              <w:top w:val="nil"/>
              <w:left w:val="nil"/>
              <w:bottom w:val="single" w:sz="4" w:space="0" w:color="auto"/>
              <w:right w:val="single" w:sz="4" w:space="0" w:color="auto"/>
            </w:tcBorders>
            <w:shd w:val="clear" w:color="auto" w:fill="auto"/>
            <w:noWrap/>
            <w:vAlign w:val="bottom"/>
            <w:hideMark/>
          </w:tcPr>
          <w:p w14:paraId="25DE153F"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1,75%</w:t>
            </w:r>
          </w:p>
        </w:tc>
      </w:tr>
      <w:tr w:rsidR="006C328A" w:rsidRPr="00855C80" w14:paraId="2DCAB171" w14:textId="77777777" w:rsidTr="00A353FE">
        <w:trPr>
          <w:trHeight w:val="4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840683E"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6η</w:t>
            </w:r>
          </w:p>
        </w:tc>
        <w:tc>
          <w:tcPr>
            <w:tcW w:w="1843" w:type="dxa"/>
            <w:tcBorders>
              <w:top w:val="nil"/>
              <w:left w:val="nil"/>
              <w:bottom w:val="single" w:sz="4" w:space="0" w:color="auto"/>
              <w:right w:val="single" w:sz="4" w:space="0" w:color="auto"/>
            </w:tcBorders>
            <w:shd w:val="clear" w:color="auto" w:fill="auto"/>
            <w:noWrap/>
            <w:vAlign w:val="bottom"/>
            <w:hideMark/>
          </w:tcPr>
          <w:p w14:paraId="79EBD941"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30.000 έως 35.000</w:t>
            </w:r>
          </w:p>
        </w:tc>
        <w:tc>
          <w:tcPr>
            <w:tcW w:w="1843" w:type="dxa"/>
            <w:tcBorders>
              <w:top w:val="nil"/>
              <w:left w:val="nil"/>
              <w:bottom w:val="single" w:sz="4" w:space="0" w:color="auto"/>
              <w:right w:val="single" w:sz="4" w:space="0" w:color="auto"/>
            </w:tcBorders>
            <w:shd w:val="clear" w:color="auto" w:fill="auto"/>
            <w:noWrap/>
            <w:vAlign w:val="bottom"/>
            <w:hideMark/>
          </w:tcPr>
          <w:p w14:paraId="67FA7E6F"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40.000 έως 45.000</w:t>
            </w:r>
          </w:p>
        </w:tc>
        <w:tc>
          <w:tcPr>
            <w:tcW w:w="1134" w:type="dxa"/>
            <w:tcBorders>
              <w:top w:val="nil"/>
              <w:left w:val="nil"/>
              <w:bottom w:val="single" w:sz="4" w:space="0" w:color="auto"/>
              <w:right w:val="single" w:sz="4" w:space="0" w:color="auto"/>
            </w:tcBorders>
            <w:shd w:val="clear" w:color="auto" w:fill="auto"/>
            <w:noWrap/>
            <w:vAlign w:val="bottom"/>
            <w:hideMark/>
          </w:tcPr>
          <w:p w14:paraId="0FD150DA"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25%</w:t>
            </w:r>
          </w:p>
        </w:tc>
        <w:tc>
          <w:tcPr>
            <w:tcW w:w="1134" w:type="dxa"/>
            <w:tcBorders>
              <w:top w:val="nil"/>
              <w:left w:val="nil"/>
              <w:bottom w:val="single" w:sz="4" w:space="0" w:color="auto"/>
              <w:right w:val="single" w:sz="4" w:space="0" w:color="auto"/>
            </w:tcBorders>
            <w:shd w:val="clear" w:color="auto" w:fill="auto"/>
            <w:noWrap/>
            <w:vAlign w:val="bottom"/>
            <w:hideMark/>
          </w:tcPr>
          <w:p w14:paraId="6C177D94"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w:t>
            </w:r>
          </w:p>
        </w:tc>
        <w:tc>
          <w:tcPr>
            <w:tcW w:w="1275" w:type="dxa"/>
            <w:tcBorders>
              <w:top w:val="nil"/>
              <w:left w:val="nil"/>
              <w:bottom w:val="single" w:sz="4" w:space="0" w:color="auto"/>
              <w:right w:val="single" w:sz="4" w:space="0" w:color="auto"/>
            </w:tcBorders>
            <w:shd w:val="clear" w:color="auto" w:fill="auto"/>
            <w:noWrap/>
            <w:vAlign w:val="bottom"/>
            <w:hideMark/>
          </w:tcPr>
          <w:p w14:paraId="5C39946B"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50%</w:t>
            </w:r>
          </w:p>
        </w:tc>
        <w:tc>
          <w:tcPr>
            <w:tcW w:w="993" w:type="dxa"/>
            <w:tcBorders>
              <w:top w:val="nil"/>
              <w:left w:val="nil"/>
              <w:bottom w:val="single" w:sz="4" w:space="0" w:color="auto"/>
              <w:right w:val="single" w:sz="4" w:space="0" w:color="auto"/>
            </w:tcBorders>
            <w:shd w:val="clear" w:color="auto" w:fill="auto"/>
            <w:noWrap/>
            <w:vAlign w:val="center"/>
            <w:hideMark/>
          </w:tcPr>
          <w:p w14:paraId="27FFBE3D"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287</w:t>
            </w:r>
          </w:p>
        </w:tc>
        <w:tc>
          <w:tcPr>
            <w:tcW w:w="1134" w:type="dxa"/>
            <w:tcBorders>
              <w:top w:val="nil"/>
              <w:left w:val="nil"/>
              <w:bottom w:val="single" w:sz="4" w:space="0" w:color="auto"/>
              <w:right w:val="single" w:sz="4" w:space="0" w:color="auto"/>
            </w:tcBorders>
            <w:shd w:val="clear" w:color="auto" w:fill="auto"/>
            <w:noWrap/>
            <w:vAlign w:val="bottom"/>
            <w:hideMark/>
          </w:tcPr>
          <w:p w14:paraId="1931FD2F"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0,68%</w:t>
            </w:r>
          </w:p>
        </w:tc>
      </w:tr>
      <w:tr w:rsidR="006C328A" w:rsidRPr="00855C80" w14:paraId="235322A6" w14:textId="77777777" w:rsidTr="00A353FE">
        <w:trPr>
          <w:trHeight w:val="4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4060CD3"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7η</w:t>
            </w:r>
          </w:p>
        </w:tc>
        <w:tc>
          <w:tcPr>
            <w:tcW w:w="1843" w:type="dxa"/>
            <w:tcBorders>
              <w:top w:val="nil"/>
              <w:left w:val="nil"/>
              <w:bottom w:val="single" w:sz="4" w:space="0" w:color="auto"/>
              <w:right w:val="single" w:sz="4" w:space="0" w:color="auto"/>
            </w:tcBorders>
            <w:shd w:val="clear" w:color="auto" w:fill="auto"/>
            <w:noWrap/>
            <w:vAlign w:val="bottom"/>
            <w:hideMark/>
          </w:tcPr>
          <w:p w14:paraId="0726CD27"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35.000</w:t>
            </w:r>
          </w:p>
        </w:tc>
        <w:tc>
          <w:tcPr>
            <w:tcW w:w="1843" w:type="dxa"/>
            <w:tcBorders>
              <w:top w:val="nil"/>
              <w:left w:val="nil"/>
              <w:bottom w:val="single" w:sz="4" w:space="0" w:color="auto"/>
              <w:right w:val="single" w:sz="4" w:space="0" w:color="auto"/>
            </w:tcBorders>
            <w:shd w:val="clear" w:color="auto" w:fill="auto"/>
            <w:noWrap/>
            <w:vAlign w:val="bottom"/>
            <w:hideMark/>
          </w:tcPr>
          <w:p w14:paraId="7699041E"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&gt; 45.000</w:t>
            </w:r>
          </w:p>
        </w:tc>
        <w:tc>
          <w:tcPr>
            <w:tcW w:w="1134" w:type="dxa"/>
            <w:tcBorders>
              <w:top w:val="nil"/>
              <w:left w:val="nil"/>
              <w:bottom w:val="single" w:sz="4" w:space="0" w:color="auto"/>
              <w:right w:val="single" w:sz="4" w:space="0" w:color="auto"/>
            </w:tcBorders>
            <w:shd w:val="clear" w:color="auto" w:fill="auto"/>
            <w:noWrap/>
            <w:vAlign w:val="bottom"/>
            <w:hideMark/>
          </w:tcPr>
          <w:p w14:paraId="673FE084"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18951E45"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2BB6E947"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0%</w:t>
            </w:r>
          </w:p>
        </w:tc>
        <w:tc>
          <w:tcPr>
            <w:tcW w:w="993" w:type="dxa"/>
            <w:tcBorders>
              <w:top w:val="nil"/>
              <w:left w:val="nil"/>
              <w:bottom w:val="single" w:sz="4" w:space="0" w:color="auto"/>
              <w:right w:val="single" w:sz="4" w:space="0" w:color="auto"/>
            </w:tcBorders>
            <w:shd w:val="clear" w:color="auto" w:fill="auto"/>
            <w:noWrap/>
            <w:vAlign w:val="center"/>
            <w:hideMark/>
          </w:tcPr>
          <w:p w14:paraId="232002B7"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26</w:t>
            </w:r>
          </w:p>
        </w:tc>
        <w:tc>
          <w:tcPr>
            <w:tcW w:w="1134" w:type="dxa"/>
            <w:tcBorders>
              <w:top w:val="nil"/>
              <w:left w:val="nil"/>
              <w:bottom w:val="single" w:sz="4" w:space="0" w:color="auto"/>
              <w:right w:val="single" w:sz="4" w:space="0" w:color="auto"/>
            </w:tcBorders>
            <w:shd w:val="clear" w:color="auto" w:fill="auto"/>
            <w:noWrap/>
            <w:vAlign w:val="bottom"/>
            <w:hideMark/>
          </w:tcPr>
          <w:p w14:paraId="1E14E99E"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0,06%</w:t>
            </w:r>
          </w:p>
        </w:tc>
      </w:tr>
      <w:tr w:rsidR="006C328A" w:rsidRPr="00855C80" w14:paraId="7BBC4844" w14:textId="77777777" w:rsidTr="00A353FE">
        <w:trPr>
          <w:trHeight w:val="454"/>
        </w:trPr>
        <w:tc>
          <w:tcPr>
            <w:tcW w:w="77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50263" w14:textId="77777777" w:rsidR="006C328A" w:rsidRPr="00855C80" w:rsidRDefault="006C328A" w:rsidP="006C328A">
            <w:pPr>
              <w:spacing w:after="0" w:line="360" w:lineRule="auto"/>
              <w:rPr>
                <w:rFonts w:ascii="Calibri" w:eastAsia="Times New Roman" w:hAnsi="Calibri" w:cs="Times New Roman"/>
                <w:color w:val="000000"/>
                <w:sz w:val="18"/>
                <w:szCs w:val="18"/>
                <w:lang w:eastAsia="el-GR"/>
              </w:rPr>
            </w:pPr>
            <w:r w:rsidRPr="00855C80">
              <w:rPr>
                <w:rFonts w:ascii="Calibri" w:eastAsia="Times New Roman" w:hAnsi="Calibri" w:cs="Times New Roman"/>
                <w:color w:val="000000"/>
                <w:sz w:val="18"/>
                <w:szCs w:val="18"/>
                <w:lang w:eastAsia="el-GR"/>
              </w:rPr>
              <w:t>Γενικό Άθροισμα</w:t>
            </w:r>
          </w:p>
        </w:tc>
        <w:tc>
          <w:tcPr>
            <w:tcW w:w="993" w:type="dxa"/>
            <w:tcBorders>
              <w:top w:val="nil"/>
              <w:left w:val="nil"/>
              <w:bottom w:val="single" w:sz="4" w:space="0" w:color="auto"/>
              <w:right w:val="single" w:sz="4" w:space="0" w:color="auto"/>
            </w:tcBorders>
            <w:shd w:val="clear" w:color="auto" w:fill="auto"/>
            <w:noWrap/>
            <w:vAlign w:val="center"/>
            <w:hideMark/>
          </w:tcPr>
          <w:p w14:paraId="09195FC4"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42.228</w:t>
            </w:r>
          </w:p>
        </w:tc>
        <w:tc>
          <w:tcPr>
            <w:tcW w:w="1134" w:type="dxa"/>
            <w:tcBorders>
              <w:top w:val="nil"/>
              <w:left w:val="nil"/>
              <w:bottom w:val="single" w:sz="4" w:space="0" w:color="auto"/>
              <w:right w:val="single" w:sz="4" w:space="0" w:color="auto"/>
            </w:tcBorders>
            <w:shd w:val="clear" w:color="auto" w:fill="auto"/>
            <w:noWrap/>
            <w:vAlign w:val="bottom"/>
            <w:hideMark/>
          </w:tcPr>
          <w:p w14:paraId="2D7BA6D7" w14:textId="77777777" w:rsidR="006C328A" w:rsidRPr="00855C80" w:rsidRDefault="006C328A" w:rsidP="006C328A">
            <w:pPr>
              <w:spacing w:after="0" w:line="360" w:lineRule="auto"/>
              <w:rPr>
                <w:rFonts w:ascii="Calibri" w:eastAsia="Times New Roman" w:hAnsi="Calibri" w:cs="Times New Roman"/>
                <w:b/>
                <w:bCs/>
                <w:color w:val="000000"/>
                <w:sz w:val="18"/>
                <w:szCs w:val="18"/>
                <w:lang w:eastAsia="el-GR"/>
              </w:rPr>
            </w:pPr>
            <w:r w:rsidRPr="00855C80">
              <w:rPr>
                <w:rFonts w:ascii="Calibri" w:eastAsia="Times New Roman" w:hAnsi="Calibri" w:cs="Times New Roman"/>
                <w:b/>
                <w:bCs/>
                <w:color w:val="000000"/>
                <w:sz w:val="18"/>
                <w:szCs w:val="18"/>
                <w:lang w:eastAsia="el-GR"/>
              </w:rPr>
              <w:t>100%</w:t>
            </w:r>
          </w:p>
        </w:tc>
      </w:tr>
    </w:tbl>
    <w:p w14:paraId="012D4175" w14:textId="77777777" w:rsidR="00A353FE" w:rsidRDefault="00A353FE" w:rsidP="006C328A">
      <w:pPr>
        <w:spacing w:line="360" w:lineRule="auto"/>
      </w:pPr>
    </w:p>
    <w:p w14:paraId="4034D695" w14:textId="77777777" w:rsidR="006C328A" w:rsidRDefault="006C328A" w:rsidP="006C328A">
      <w:pPr>
        <w:spacing w:line="360" w:lineRule="auto"/>
      </w:pPr>
      <w:r>
        <w:t xml:space="preserve">Όσον αφορά στις ενεργειακές κατηγορίες που αναβαθμίζονται </w:t>
      </w:r>
      <w:r w:rsidRPr="00E732F0">
        <w:t>(</w:t>
      </w:r>
      <w:r>
        <w:rPr>
          <w:lang w:val="en-US"/>
        </w:rPr>
        <w:t>A</w:t>
      </w:r>
      <w:r w:rsidRPr="00E732F0">
        <w:t xml:space="preserve">’ </w:t>
      </w:r>
      <w:r>
        <w:t xml:space="preserve">ΠΕΑ) έχουμε: </w:t>
      </w:r>
    </w:p>
    <w:tbl>
      <w:tblPr>
        <w:tblW w:w="4864" w:type="dxa"/>
        <w:tblInd w:w="93" w:type="dxa"/>
        <w:tblLook w:val="04A0" w:firstRow="1" w:lastRow="0" w:firstColumn="1" w:lastColumn="0" w:noHBand="0" w:noVBand="1"/>
      </w:tblPr>
      <w:tblGrid>
        <w:gridCol w:w="1216"/>
        <w:gridCol w:w="1216"/>
        <w:gridCol w:w="1216"/>
        <w:gridCol w:w="1216"/>
      </w:tblGrid>
      <w:tr w:rsidR="006C328A" w:rsidRPr="00290EF6" w14:paraId="44FC07E9" w14:textId="77777777" w:rsidTr="00226930">
        <w:trPr>
          <w:trHeight w:val="319"/>
        </w:trPr>
        <w:tc>
          <w:tcPr>
            <w:tcW w:w="4864" w:type="dxa"/>
            <w:gridSpan w:val="4"/>
            <w:tcBorders>
              <w:top w:val="single" w:sz="4" w:space="0" w:color="auto"/>
              <w:left w:val="single" w:sz="4" w:space="0" w:color="auto"/>
              <w:bottom w:val="single" w:sz="4" w:space="0" w:color="auto"/>
              <w:right w:val="single" w:sz="4" w:space="0" w:color="auto"/>
            </w:tcBorders>
            <w:shd w:val="clear" w:color="000000" w:fill="C5D9F1"/>
            <w:vAlign w:val="center"/>
            <w:hideMark/>
          </w:tcPr>
          <w:p w14:paraId="4618EAFF" w14:textId="77777777" w:rsidR="006C328A" w:rsidRPr="0027581E" w:rsidRDefault="006C328A" w:rsidP="0027581E">
            <w:pPr>
              <w:spacing w:after="0" w:line="360" w:lineRule="auto"/>
              <w:jc w:val="center"/>
              <w:rPr>
                <w:rFonts w:ascii="Calibri" w:eastAsia="Times New Roman" w:hAnsi="Calibri" w:cs="Times New Roman"/>
                <w:b/>
                <w:color w:val="000000"/>
                <w:sz w:val="18"/>
                <w:szCs w:val="18"/>
                <w:lang w:eastAsia="el-GR"/>
              </w:rPr>
            </w:pPr>
            <w:r w:rsidRPr="0027581E">
              <w:rPr>
                <w:rFonts w:ascii="Calibri" w:eastAsia="Times New Roman" w:hAnsi="Calibri" w:cs="Times New Roman"/>
                <w:b/>
                <w:color w:val="000000"/>
                <w:sz w:val="18"/>
                <w:szCs w:val="18"/>
                <w:lang w:eastAsia="el-GR"/>
              </w:rPr>
              <w:lastRenderedPageBreak/>
              <w:t>Ενεργειακή Κατηγορία (Μ.Ο.)</w:t>
            </w:r>
          </w:p>
        </w:tc>
      </w:tr>
      <w:tr w:rsidR="00226930" w:rsidRPr="00290EF6" w14:paraId="00E3CE25" w14:textId="77777777" w:rsidTr="00226930">
        <w:trPr>
          <w:trHeight w:val="265"/>
        </w:trPr>
        <w:tc>
          <w:tcPr>
            <w:tcW w:w="1216" w:type="dxa"/>
            <w:tcBorders>
              <w:top w:val="nil"/>
              <w:left w:val="single" w:sz="4" w:space="0" w:color="auto"/>
              <w:bottom w:val="single" w:sz="4" w:space="0" w:color="auto"/>
              <w:right w:val="single" w:sz="4" w:space="0" w:color="auto"/>
            </w:tcBorders>
            <w:shd w:val="clear" w:color="auto" w:fill="FFCA08" w:themeFill="accent1"/>
            <w:noWrap/>
            <w:vAlign w:val="center"/>
            <w:hideMark/>
          </w:tcPr>
          <w:p w14:paraId="13C8563B" w14:textId="77777777" w:rsidR="00226930" w:rsidRPr="00290EF6" w:rsidRDefault="00226930" w:rsidP="00226930">
            <w:pPr>
              <w:spacing w:after="0" w:line="360" w:lineRule="auto"/>
              <w:jc w:val="center"/>
              <w:rPr>
                <w:rFonts w:ascii="Calibri" w:eastAsia="Times New Roman" w:hAnsi="Calibri" w:cs="Times New Roman"/>
                <w:color w:val="000000"/>
                <w:sz w:val="18"/>
                <w:szCs w:val="18"/>
                <w:lang w:eastAsia="el-GR"/>
              </w:rPr>
            </w:pPr>
            <w:r w:rsidRPr="00290EF6">
              <w:rPr>
                <w:rFonts w:ascii="Calibri" w:eastAsia="Times New Roman" w:hAnsi="Calibri" w:cs="Times New Roman"/>
                <w:color w:val="000000"/>
                <w:sz w:val="18"/>
                <w:szCs w:val="18"/>
                <w:lang w:eastAsia="el-GR"/>
              </w:rPr>
              <w:t>Δ</w:t>
            </w:r>
          </w:p>
        </w:tc>
        <w:tc>
          <w:tcPr>
            <w:tcW w:w="1216" w:type="dxa"/>
            <w:tcBorders>
              <w:top w:val="single" w:sz="4" w:space="0" w:color="auto"/>
              <w:bottom w:val="single" w:sz="4" w:space="0" w:color="auto"/>
              <w:right w:val="single" w:sz="4" w:space="0" w:color="auto"/>
            </w:tcBorders>
            <w:shd w:val="clear" w:color="auto" w:fill="F8931D" w:themeFill="accent2"/>
            <w:vAlign w:val="bottom"/>
          </w:tcPr>
          <w:p w14:paraId="07A0CE15" w14:textId="77777777" w:rsidR="00226930" w:rsidRPr="00290EF6" w:rsidRDefault="00226930" w:rsidP="00226930">
            <w:pPr>
              <w:spacing w:after="0" w:line="360" w:lineRule="auto"/>
              <w:jc w:val="center"/>
              <w:rPr>
                <w:rFonts w:ascii="Times New Roman" w:eastAsia="Times New Roman" w:hAnsi="Times New Roman" w:cs="Times New Roman"/>
                <w:sz w:val="18"/>
                <w:szCs w:val="18"/>
                <w:lang w:eastAsia="el-GR"/>
              </w:rPr>
            </w:pPr>
            <w:r w:rsidRPr="00290EF6">
              <w:rPr>
                <w:rFonts w:ascii="Calibri" w:eastAsia="Times New Roman" w:hAnsi="Calibri" w:cs="Times New Roman"/>
                <w:color w:val="000000"/>
                <w:sz w:val="18"/>
                <w:szCs w:val="18"/>
                <w:lang w:eastAsia="el-GR"/>
              </w:rPr>
              <w:t>Ε</w:t>
            </w:r>
          </w:p>
        </w:tc>
        <w:tc>
          <w:tcPr>
            <w:tcW w:w="1216" w:type="dxa"/>
            <w:tcBorders>
              <w:top w:val="single" w:sz="4" w:space="0" w:color="auto"/>
              <w:bottom w:val="single" w:sz="4" w:space="0" w:color="auto"/>
              <w:right w:val="single" w:sz="4" w:space="0" w:color="auto"/>
            </w:tcBorders>
            <w:shd w:val="clear" w:color="auto" w:fill="EC7016" w:themeFill="accent4"/>
            <w:vAlign w:val="bottom"/>
          </w:tcPr>
          <w:p w14:paraId="3F0EBB65" w14:textId="77777777" w:rsidR="00226930" w:rsidRPr="00290EF6" w:rsidRDefault="00226930" w:rsidP="00226930">
            <w:pPr>
              <w:spacing w:after="0" w:line="360" w:lineRule="auto"/>
              <w:jc w:val="center"/>
              <w:rPr>
                <w:rFonts w:ascii="Times New Roman" w:eastAsia="Times New Roman" w:hAnsi="Times New Roman" w:cs="Times New Roman"/>
                <w:sz w:val="18"/>
                <w:szCs w:val="18"/>
                <w:lang w:eastAsia="el-GR"/>
              </w:rPr>
            </w:pPr>
            <w:r w:rsidRPr="00290EF6">
              <w:rPr>
                <w:rFonts w:ascii="Calibri" w:eastAsia="Times New Roman" w:hAnsi="Calibri" w:cs="Times New Roman"/>
                <w:color w:val="000000"/>
                <w:sz w:val="18"/>
                <w:szCs w:val="18"/>
                <w:lang w:eastAsia="el-GR"/>
              </w:rPr>
              <w:t>Ζ</w:t>
            </w:r>
          </w:p>
        </w:tc>
        <w:tc>
          <w:tcPr>
            <w:tcW w:w="1216" w:type="dxa"/>
            <w:tcBorders>
              <w:top w:val="single" w:sz="4" w:space="0" w:color="auto"/>
              <w:bottom w:val="single" w:sz="4" w:space="0" w:color="auto"/>
              <w:right w:val="single" w:sz="4" w:space="0" w:color="auto"/>
            </w:tcBorders>
            <w:shd w:val="clear" w:color="auto" w:fill="E64823" w:themeFill="accent5"/>
            <w:vAlign w:val="bottom"/>
          </w:tcPr>
          <w:p w14:paraId="3337DB46" w14:textId="77777777" w:rsidR="00226930" w:rsidRPr="00290EF6" w:rsidRDefault="00226930" w:rsidP="00226930">
            <w:pPr>
              <w:spacing w:after="0" w:line="360" w:lineRule="auto"/>
              <w:jc w:val="center"/>
              <w:rPr>
                <w:rFonts w:ascii="Times New Roman" w:eastAsia="Times New Roman" w:hAnsi="Times New Roman" w:cs="Times New Roman"/>
                <w:sz w:val="18"/>
                <w:szCs w:val="18"/>
                <w:lang w:eastAsia="el-GR"/>
              </w:rPr>
            </w:pPr>
            <w:r w:rsidRPr="00290EF6">
              <w:rPr>
                <w:rFonts w:ascii="Calibri" w:eastAsia="Times New Roman" w:hAnsi="Calibri" w:cs="Times New Roman"/>
                <w:color w:val="000000"/>
                <w:sz w:val="18"/>
                <w:szCs w:val="18"/>
                <w:lang w:eastAsia="el-GR"/>
              </w:rPr>
              <w:t>Η</w:t>
            </w:r>
          </w:p>
        </w:tc>
      </w:tr>
      <w:tr w:rsidR="00226930" w:rsidRPr="00290EF6" w14:paraId="6CCDF047" w14:textId="77777777" w:rsidTr="00226930">
        <w:trPr>
          <w:trHeight w:val="195"/>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3E682062" w14:textId="77777777" w:rsidR="00226930" w:rsidRPr="00290EF6" w:rsidRDefault="00226930" w:rsidP="00226930">
            <w:pPr>
              <w:spacing w:after="0" w:line="360" w:lineRule="auto"/>
              <w:jc w:val="center"/>
              <w:rPr>
                <w:rFonts w:ascii="Calibri" w:eastAsia="Times New Roman" w:hAnsi="Calibri" w:cs="Times New Roman"/>
                <w:color w:val="000000"/>
                <w:sz w:val="18"/>
                <w:szCs w:val="18"/>
                <w:lang w:eastAsia="el-GR"/>
              </w:rPr>
            </w:pPr>
            <w:r w:rsidRPr="00290EF6">
              <w:rPr>
                <w:rFonts w:ascii="Calibri" w:hAnsi="Calibri"/>
                <w:color w:val="000000"/>
                <w:sz w:val="18"/>
                <w:szCs w:val="18"/>
              </w:rPr>
              <w:t>13,0%</w:t>
            </w:r>
          </w:p>
        </w:tc>
        <w:tc>
          <w:tcPr>
            <w:tcW w:w="1216" w:type="dxa"/>
            <w:tcBorders>
              <w:top w:val="single" w:sz="4" w:space="0" w:color="auto"/>
              <w:bottom w:val="single" w:sz="4" w:space="0" w:color="auto"/>
              <w:right w:val="single" w:sz="4" w:space="0" w:color="auto"/>
            </w:tcBorders>
            <w:vAlign w:val="bottom"/>
          </w:tcPr>
          <w:p w14:paraId="3BAF1942" w14:textId="77777777" w:rsidR="00226930" w:rsidRPr="00290EF6" w:rsidRDefault="00226930" w:rsidP="00226930">
            <w:pPr>
              <w:spacing w:after="0" w:line="360" w:lineRule="auto"/>
              <w:jc w:val="center"/>
              <w:rPr>
                <w:rFonts w:ascii="Times New Roman" w:eastAsia="Times New Roman" w:hAnsi="Times New Roman" w:cs="Times New Roman"/>
                <w:sz w:val="18"/>
                <w:szCs w:val="18"/>
                <w:lang w:eastAsia="el-GR"/>
              </w:rPr>
            </w:pPr>
            <w:r w:rsidRPr="00290EF6">
              <w:rPr>
                <w:rFonts w:ascii="Calibri" w:hAnsi="Calibri"/>
                <w:color w:val="000000"/>
                <w:sz w:val="18"/>
                <w:szCs w:val="18"/>
              </w:rPr>
              <w:t>16,9%</w:t>
            </w:r>
          </w:p>
        </w:tc>
        <w:tc>
          <w:tcPr>
            <w:tcW w:w="1216" w:type="dxa"/>
            <w:tcBorders>
              <w:top w:val="single" w:sz="4" w:space="0" w:color="auto"/>
              <w:bottom w:val="single" w:sz="4" w:space="0" w:color="auto"/>
              <w:right w:val="single" w:sz="4" w:space="0" w:color="auto"/>
            </w:tcBorders>
            <w:vAlign w:val="bottom"/>
          </w:tcPr>
          <w:p w14:paraId="4768CD1F" w14:textId="77777777" w:rsidR="00226930" w:rsidRPr="00290EF6" w:rsidRDefault="00226930" w:rsidP="00226930">
            <w:pPr>
              <w:spacing w:after="0" w:line="360" w:lineRule="auto"/>
              <w:jc w:val="center"/>
              <w:rPr>
                <w:rFonts w:ascii="Times New Roman" w:eastAsia="Times New Roman" w:hAnsi="Times New Roman" w:cs="Times New Roman"/>
                <w:sz w:val="18"/>
                <w:szCs w:val="18"/>
                <w:lang w:eastAsia="el-GR"/>
              </w:rPr>
            </w:pPr>
            <w:r w:rsidRPr="00290EF6">
              <w:rPr>
                <w:rFonts w:ascii="Calibri" w:hAnsi="Calibri"/>
                <w:color w:val="000000"/>
                <w:sz w:val="18"/>
                <w:szCs w:val="18"/>
              </w:rPr>
              <w:t>16,7%</w:t>
            </w:r>
          </w:p>
        </w:tc>
        <w:tc>
          <w:tcPr>
            <w:tcW w:w="1216" w:type="dxa"/>
            <w:tcBorders>
              <w:top w:val="single" w:sz="4" w:space="0" w:color="auto"/>
              <w:bottom w:val="single" w:sz="4" w:space="0" w:color="auto"/>
              <w:right w:val="single" w:sz="4" w:space="0" w:color="auto"/>
            </w:tcBorders>
            <w:vAlign w:val="bottom"/>
          </w:tcPr>
          <w:p w14:paraId="1A91F76E" w14:textId="77777777" w:rsidR="00226930" w:rsidRPr="00290EF6" w:rsidRDefault="00226930" w:rsidP="00226930">
            <w:pPr>
              <w:spacing w:after="0" w:line="360" w:lineRule="auto"/>
              <w:jc w:val="center"/>
              <w:rPr>
                <w:rFonts w:ascii="Times New Roman" w:eastAsia="Times New Roman" w:hAnsi="Times New Roman" w:cs="Times New Roman"/>
                <w:sz w:val="18"/>
                <w:szCs w:val="18"/>
                <w:lang w:eastAsia="el-GR"/>
              </w:rPr>
            </w:pPr>
            <w:r w:rsidRPr="00290EF6">
              <w:rPr>
                <w:rFonts w:ascii="Calibri" w:hAnsi="Calibri"/>
                <w:color w:val="000000"/>
                <w:sz w:val="18"/>
                <w:szCs w:val="18"/>
              </w:rPr>
              <w:t>53,5%</w:t>
            </w:r>
          </w:p>
        </w:tc>
      </w:tr>
    </w:tbl>
    <w:p w14:paraId="3387D246" w14:textId="77777777" w:rsidR="00B87363" w:rsidRDefault="0027581E" w:rsidP="00DB7FA0">
      <w:pPr>
        <w:spacing w:line="360" w:lineRule="auto"/>
      </w:pPr>
      <w:r>
        <w:t>Από τα</w:t>
      </w:r>
      <w:r w:rsidR="00B73259">
        <w:t xml:space="preserve"> πρώτα στοιχεία από την υλοποίηση του </w:t>
      </w:r>
      <w:proofErr w:type="spellStart"/>
      <w:r w:rsidR="00B73259">
        <w:t>Α’Κύκλου</w:t>
      </w:r>
      <w:proofErr w:type="spellEnd"/>
      <w:r w:rsidR="00B73259">
        <w:t xml:space="preserve"> του </w:t>
      </w:r>
      <w:r>
        <w:t>Ε</w:t>
      </w:r>
      <w:r w:rsidR="00B73259">
        <w:t>ξοικονομώ</w:t>
      </w:r>
      <w:r>
        <w:t xml:space="preserve"> </w:t>
      </w:r>
      <w:proofErr w:type="spellStart"/>
      <w:r>
        <w:t>κατ’Οίκον</w:t>
      </w:r>
      <w:proofErr w:type="spellEnd"/>
      <w:r w:rsidR="00B87363">
        <w:t xml:space="preserve"> </w:t>
      </w:r>
      <w:proofErr w:type="spellStart"/>
      <w:r>
        <w:t>ΙΙ</w:t>
      </w:r>
      <w:r w:rsidR="00B87363">
        <w:t>σε</w:t>
      </w:r>
      <w:proofErr w:type="spellEnd"/>
      <w:r w:rsidR="00B87363">
        <w:t xml:space="preserve"> 31.960 κατοικίες που είχαν ολοκληρώσει έως τον </w:t>
      </w:r>
      <w:r>
        <w:t>Φεβρουάριο</w:t>
      </w:r>
      <w:r w:rsidR="00B87363">
        <w:t xml:space="preserve"> 2020 που συντάσσεται η παρούσα εργασία</w:t>
      </w:r>
      <w:r>
        <w:t xml:space="preserve"> έχουμε:</w:t>
      </w:r>
    </w:p>
    <w:tbl>
      <w:tblPr>
        <w:tblW w:w="8762" w:type="dxa"/>
        <w:tblInd w:w="-15" w:type="dxa"/>
        <w:tblCellMar>
          <w:left w:w="0" w:type="dxa"/>
          <w:right w:w="0" w:type="dxa"/>
        </w:tblCellMar>
        <w:tblLook w:val="04A0" w:firstRow="1" w:lastRow="0" w:firstColumn="1" w:lastColumn="0" w:noHBand="0" w:noVBand="1"/>
      </w:tblPr>
      <w:tblGrid>
        <w:gridCol w:w="2344"/>
        <w:gridCol w:w="6418"/>
      </w:tblGrid>
      <w:tr w:rsidR="00B87363" w14:paraId="58C56311" w14:textId="77777777" w:rsidTr="00B87363">
        <w:trPr>
          <w:trHeight w:val="306"/>
        </w:trPr>
        <w:tc>
          <w:tcPr>
            <w:tcW w:w="23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9A9248" w14:textId="77777777" w:rsidR="00B87363" w:rsidRDefault="00B87363" w:rsidP="00B87363">
            <w:pPr>
              <w:spacing w:before="120"/>
              <w:jc w:val="right"/>
              <w:rPr>
                <w:rFonts w:ascii="Arial" w:hAnsi="Arial"/>
                <w:sz w:val="20"/>
                <w:szCs w:val="20"/>
                <w:lang w:eastAsia="el-GR"/>
              </w:rPr>
            </w:pPr>
            <w:r>
              <w:rPr>
                <w:rFonts w:ascii="Arial" w:hAnsi="Arial"/>
                <w:sz w:val="20"/>
                <w:szCs w:val="20"/>
                <w:lang w:eastAsia="el-GR"/>
              </w:rPr>
              <w:t>31.960</w:t>
            </w:r>
          </w:p>
        </w:tc>
        <w:tc>
          <w:tcPr>
            <w:tcW w:w="6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0EABF9A" w14:textId="77777777" w:rsidR="00B87363" w:rsidRDefault="00B87363" w:rsidP="00B87363">
            <w:pPr>
              <w:spacing w:before="120"/>
              <w:rPr>
                <w:rFonts w:ascii="Arial" w:hAnsi="Arial"/>
                <w:sz w:val="20"/>
                <w:szCs w:val="20"/>
                <w:lang w:eastAsia="el-GR"/>
              </w:rPr>
            </w:pPr>
            <w:r>
              <w:rPr>
                <w:rFonts w:ascii="Arial" w:hAnsi="Arial"/>
                <w:sz w:val="20"/>
                <w:szCs w:val="20"/>
                <w:lang w:eastAsia="el-GR"/>
              </w:rPr>
              <w:t xml:space="preserve">Ολοκληρωμένες Κατοικίες (από </w:t>
            </w:r>
            <w:r w:rsidR="00B925F9">
              <w:rPr>
                <w:rFonts w:ascii="Arial" w:hAnsi="Arial"/>
                <w:sz w:val="20"/>
                <w:szCs w:val="20"/>
                <w:lang w:eastAsia="el-GR"/>
              </w:rPr>
              <w:t>Α’ Κύκλο</w:t>
            </w:r>
            <w:r>
              <w:rPr>
                <w:rFonts w:ascii="Arial" w:hAnsi="Arial"/>
                <w:sz w:val="20"/>
                <w:szCs w:val="20"/>
                <w:lang w:eastAsia="el-GR"/>
              </w:rPr>
              <w:t>, στοιχείο 2/2020)</w:t>
            </w:r>
          </w:p>
        </w:tc>
      </w:tr>
      <w:tr w:rsidR="00B87363" w14:paraId="5F8C4900" w14:textId="77777777" w:rsidTr="00B87363">
        <w:trPr>
          <w:trHeight w:val="306"/>
        </w:trPr>
        <w:tc>
          <w:tcPr>
            <w:tcW w:w="23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766123" w14:textId="77777777" w:rsidR="00B87363" w:rsidRDefault="00B87363" w:rsidP="00B87363">
            <w:pPr>
              <w:spacing w:before="120"/>
              <w:jc w:val="right"/>
              <w:rPr>
                <w:rFonts w:ascii="Arial" w:hAnsi="Arial"/>
                <w:sz w:val="20"/>
                <w:szCs w:val="20"/>
                <w:lang w:eastAsia="el-GR"/>
              </w:rPr>
            </w:pPr>
            <w:r>
              <w:rPr>
                <w:rFonts w:ascii="Arial" w:hAnsi="Arial"/>
                <w:sz w:val="20"/>
                <w:szCs w:val="20"/>
                <w:lang w:eastAsia="el-GR"/>
              </w:rPr>
              <w:t xml:space="preserve">798 </w:t>
            </w:r>
            <w:proofErr w:type="spellStart"/>
            <w:r>
              <w:rPr>
                <w:rFonts w:ascii="Arial" w:hAnsi="Arial"/>
                <w:sz w:val="20"/>
                <w:szCs w:val="20"/>
                <w:lang w:eastAsia="el-GR"/>
              </w:rPr>
              <w:t>GWh</w:t>
            </w:r>
            <w:proofErr w:type="spellEnd"/>
          </w:p>
        </w:tc>
        <w:tc>
          <w:tcPr>
            <w:tcW w:w="6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794D04" w14:textId="77777777" w:rsidR="00B87363" w:rsidRDefault="00B87363" w:rsidP="00B87363">
            <w:pPr>
              <w:spacing w:before="120"/>
              <w:rPr>
                <w:rFonts w:ascii="Arial" w:hAnsi="Arial"/>
                <w:sz w:val="20"/>
                <w:szCs w:val="20"/>
                <w:lang w:eastAsia="el-GR"/>
              </w:rPr>
            </w:pPr>
            <w:r>
              <w:rPr>
                <w:rFonts w:ascii="Arial" w:hAnsi="Arial"/>
                <w:sz w:val="20"/>
                <w:szCs w:val="20"/>
                <w:lang w:eastAsia="el-GR"/>
              </w:rPr>
              <w:t>Συνολική εξοικονόμηση πρωτογενούς ενέργειας</w:t>
            </w:r>
          </w:p>
        </w:tc>
      </w:tr>
      <w:tr w:rsidR="00B87363" w14:paraId="1CEF6191" w14:textId="77777777" w:rsidTr="00B87363">
        <w:trPr>
          <w:trHeight w:val="260"/>
        </w:trPr>
        <w:tc>
          <w:tcPr>
            <w:tcW w:w="23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D967D5" w14:textId="77777777" w:rsidR="00B87363" w:rsidRDefault="00B87363" w:rsidP="00B87363">
            <w:pPr>
              <w:spacing w:before="120"/>
              <w:jc w:val="right"/>
              <w:rPr>
                <w:rFonts w:ascii="Arial" w:hAnsi="Arial"/>
                <w:sz w:val="20"/>
                <w:szCs w:val="20"/>
                <w:lang w:eastAsia="el-GR"/>
              </w:rPr>
            </w:pPr>
            <w:r>
              <w:rPr>
                <w:rFonts w:ascii="Arial" w:hAnsi="Arial"/>
                <w:sz w:val="20"/>
                <w:szCs w:val="20"/>
                <w:lang w:eastAsia="el-GR"/>
              </w:rPr>
              <w:t>64%</w:t>
            </w:r>
          </w:p>
        </w:tc>
        <w:tc>
          <w:tcPr>
            <w:tcW w:w="6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712042" w14:textId="77777777" w:rsidR="00B87363" w:rsidRDefault="00B87363" w:rsidP="00B87363">
            <w:pPr>
              <w:spacing w:before="120"/>
              <w:rPr>
                <w:rFonts w:ascii="Arial" w:hAnsi="Arial"/>
                <w:sz w:val="20"/>
                <w:szCs w:val="20"/>
                <w:lang w:eastAsia="el-GR"/>
              </w:rPr>
            </w:pPr>
            <w:r>
              <w:rPr>
                <w:rFonts w:ascii="Arial" w:hAnsi="Arial"/>
                <w:sz w:val="20"/>
                <w:szCs w:val="20"/>
                <w:lang w:eastAsia="el-GR"/>
              </w:rPr>
              <w:t>Μέση μείωση κατανάλωσης ενέργειας (του Α' σε σχέση με Β' ΠΕΑ)</w:t>
            </w:r>
          </w:p>
        </w:tc>
      </w:tr>
      <w:tr w:rsidR="00B87363" w14:paraId="2C5002D2" w14:textId="77777777" w:rsidTr="00B87363">
        <w:trPr>
          <w:trHeight w:val="260"/>
        </w:trPr>
        <w:tc>
          <w:tcPr>
            <w:tcW w:w="23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7EA622" w14:textId="77777777" w:rsidR="00B87363" w:rsidRDefault="00B87363" w:rsidP="00B87363">
            <w:pPr>
              <w:spacing w:before="120"/>
              <w:jc w:val="right"/>
              <w:rPr>
                <w:rFonts w:ascii="Arial" w:hAnsi="Arial"/>
                <w:sz w:val="20"/>
                <w:szCs w:val="20"/>
                <w:lang w:eastAsia="el-GR"/>
              </w:rPr>
            </w:pPr>
            <w:r>
              <w:rPr>
                <w:rFonts w:ascii="Arial" w:hAnsi="Arial"/>
                <w:sz w:val="20"/>
                <w:szCs w:val="20"/>
                <w:lang w:eastAsia="el-GR"/>
              </w:rPr>
              <w:t>              636,72 εκ. €  </w:t>
            </w:r>
          </w:p>
        </w:tc>
        <w:tc>
          <w:tcPr>
            <w:tcW w:w="6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B83181" w14:textId="77777777" w:rsidR="00B87363" w:rsidRDefault="00B87363" w:rsidP="00B87363">
            <w:pPr>
              <w:spacing w:before="120"/>
              <w:rPr>
                <w:rFonts w:ascii="Arial" w:hAnsi="Arial"/>
                <w:sz w:val="20"/>
                <w:szCs w:val="20"/>
                <w:lang w:eastAsia="el-GR"/>
              </w:rPr>
            </w:pPr>
            <w:r>
              <w:rPr>
                <w:rFonts w:ascii="Arial" w:hAnsi="Arial"/>
                <w:sz w:val="20"/>
                <w:szCs w:val="20"/>
                <w:lang w:eastAsia="el-GR"/>
              </w:rPr>
              <w:t>Επιλέξιμος Π/Υ Παρεμβάσεων</w:t>
            </w:r>
          </w:p>
        </w:tc>
      </w:tr>
      <w:tr w:rsidR="00B87363" w14:paraId="4F0F8961" w14:textId="77777777" w:rsidTr="00B87363">
        <w:trPr>
          <w:trHeight w:val="260"/>
        </w:trPr>
        <w:tc>
          <w:tcPr>
            <w:tcW w:w="23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890DC8" w14:textId="77777777" w:rsidR="00B87363" w:rsidRDefault="00B87363" w:rsidP="00B87363">
            <w:pPr>
              <w:spacing w:before="120"/>
              <w:jc w:val="right"/>
              <w:rPr>
                <w:rFonts w:ascii="Arial" w:hAnsi="Arial"/>
                <w:sz w:val="20"/>
                <w:szCs w:val="20"/>
                <w:lang w:eastAsia="el-GR"/>
              </w:rPr>
            </w:pPr>
            <w:r>
              <w:rPr>
                <w:rFonts w:ascii="Arial" w:hAnsi="Arial"/>
                <w:sz w:val="20"/>
                <w:szCs w:val="20"/>
                <w:lang w:eastAsia="el-GR"/>
              </w:rPr>
              <w:t>              402,51 εκ. €  </w:t>
            </w:r>
          </w:p>
        </w:tc>
        <w:tc>
          <w:tcPr>
            <w:tcW w:w="6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E25CD0" w14:textId="77777777" w:rsidR="00B87363" w:rsidRDefault="00B87363" w:rsidP="00B87363">
            <w:pPr>
              <w:spacing w:before="120"/>
              <w:rPr>
                <w:rFonts w:ascii="Arial" w:hAnsi="Arial"/>
                <w:sz w:val="20"/>
                <w:szCs w:val="20"/>
                <w:lang w:eastAsia="el-GR"/>
              </w:rPr>
            </w:pPr>
            <w:r>
              <w:rPr>
                <w:rFonts w:ascii="Arial" w:hAnsi="Arial"/>
                <w:sz w:val="20"/>
                <w:szCs w:val="20"/>
                <w:lang w:eastAsia="el-GR"/>
              </w:rPr>
              <w:t>Δημόσια Δαπάνη (</w:t>
            </w:r>
            <w:r>
              <w:rPr>
                <w:rFonts w:ascii="Arial" w:hAnsi="Arial"/>
                <w:sz w:val="20"/>
                <w:szCs w:val="20"/>
                <w:lang w:val="en-US" w:eastAsia="el-GR"/>
              </w:rPr>
              <w:t>Grants</w:t>
            </w:r>
            <w:r>
              <w:rPr>
                <w:rFonts w:ascii="Arial" w:hAnsi="Arial"/>
                <w:sz w:val="20"/>
                <w:szCs w:val="20"/>
                <w:lang w:eastAsia="el-GR"/>
              </w:rPr>
              <w:t xml:space="preserve">, Επιδότηση Επιτοκίου, Μελέτες &amp; Σύμβουλοι) </w:t>
            </w:r>
          </w:p>
        </w:tc>
      </w:tr>
      <w:tr w:rsidR="00B87363" w14:paraId="5D5C2B7F" w14:textId="77777777" w:rsidTr="00B87363">
        <w:trPr>
          <w:trHeight w:val="248"/>
        </w:trPr>
        <w:tc>
          <w:tcPr>
            <w:tcW w:w="23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1624B5" w14:textId="77777777" w:rsidR="00B87363" w:rsidRDefault="00B87363" w:rsidP="00B87363">
            <w:pPr>
              <w:spacing w:before="120"/>
              <w:jc w:val="right"/>
              <w:rPr>
                <w:rFonts w:ascii="Arial" w:hAnsi="Arial"/>
                <w:sz w:val="20"/>
                <w:szCs w:val="20"/>
                <w:lang w:eastAsia="el-GR"/>
              </w:rPr>
            </w:pPr>
            <w:r>
              <w:rPr>
                <w:rFonts w:ascii="Arial" w:hAnsi="Arial"/>
                <w:sz w:val="20"/>
                <w:szCs w:val="20"/>
                <w:lang w:eastAsia="el-GR"/>
              </w:rPr>
              <w:t>0,84 E/</w:t>
            </w:r>
            <w:proofErr w:type="spellStart"/>
            <w:r>
              <w:rPr>
                <w:rFonts w:ascii="Arial" w:hAnsi="Arial"/>
                <w:sz w:val="20"/>
                <w:szCs w:val="20"/>
                <w:lang w:eastAsia="el-GR"/>
              </w:rPr>
              <w:t>kwh</w:t>
            </w:r>
            <w:proofErr w:type="spellEnd"/>
          </w:p>
        </w:tc>
        <w:tc>
          <w:tcPr>
            <w:tcW w:w="6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8AFEC2" w14:textId="77777777" w:rsidR="00B87363" w:rsidRDefault="00B87363" w:rsidP="00B87363">
            <w:pPr>
              <w:spacing w:before="120"/>
              <w:rPr>
                <w:rFonts w:ascii="Arial" w:hAnsi="Arial"/>
                <w:sz w:val="20"/>
                <w:szCs w:val="20"/>
                <w:lang w:eastAsia="el-GR"/>
              </w:rPr>
            </w:pPr>
            <w:r>
              <w:rPr>
                <w:rFonts w:ascii="Arial" w:hAnsi="Arial"/>
                <w:sz w:val="20"/>
                <w:szCs w:val="20"/>
                <w:lang w:eastAsia="el-GR"/>
              </w:rPr>
              <w:t xml:space="preserve">μέσο κόστος εξοικονόμησης ενέργειας </w:t>
            </w:r>
            <w:r>
              <w:rPr>
                <w:rFonts w:ascii="Arial" w:hAnsi="Arial"/>
                <w:b/>
                <w:bCs/>
                <w:sz w:val="20"/>
                <w:szCs w:val="20"/>
                <w:lang w:eastAsia="el-GR"/>
              </w:rPr>
              <w:t>*</w:t>
            </w:r>
          </w:p>
        </w:tc>
      </w:tr>
    </w:tbl>
    <w:p w14:paraId="33FD8ADE" w14:textId="77777777" w:rsidR="00B87363" w:rsidRDefault="00B87363" w:rsidP="00DB7FA0">
      <w:pPr>
        <w:spacing w:line="360" w:lineRule="auto"/>
      </w:pPr>
    </w:p>
    <w:p w14:paraId="20C5376C" w14:textId="77777777" w:rsidR="00B73259" w:rsidRDefault="00B73259" w:rsidP="00DB7FA0">
      <w:pPr>
        <w:spacing w:line="360" w:lineRule="auto"/>
      </w:pPr>
      <w:r>
        <w:t xml:space="preserve"> </w:t>
      </w:r>
      <w:r w:rsidR="0027581E">
        <w:t xml:space="preserve">Και </w:t>
      </w:r>
      <w:r>
        <w:t>παρατηρούμε</w:t>
      </w:r>
      <w:r w:rsidR="0027581E">
        <w:t xml:space="preserve"> ότι</w:t>
      </w:r>
      <w:r>
        <w:t>:</w:t>
      </w:r>
    </w:p>
    <w:p w14:paraId="48EBFCBB" w14:textId="77777777" w:rsidR="008E5D0A" w:rsidRDefault="00B73259" w:rsidP="00B73259">
      <w:pPr>
        <w:pStyle w:val="a3"/>
        <w:numPr>
          <w:ilvl w:val="0"/>
          <w:numId w:val="28"/>
        </w:numPr>
        <w:spacing w:line="360" w:lineRule="auto"/>
      </w:pPr>
      <w:r>
        <w:t xml:space="preserve">Τα μεγάλα εισοδήματα δεν ενδιαφέρονται ουσιαστικά για το </w:t>
      </w:r>
      <w:r w:rsidR="00971D9A">
        <w:t>Πρόγραμμα</w:t>
      </w:r>
      <w:r w:rsidR="00913A7A">
        <w:t>. Ειδικά</w:t>
      </w:r>
      <w:r>
        <w:t xml:space="preserve"> για την χρήση του Χ</w:t>
      </w:r>
      <w:r w:rsidR="00913A7A">
        <w:t>Ε μόνο που παρέχει άτοκο δάνειο, η συμμετοχή είναι εξαιρετικά χαμηλή. Το ίδιο χαμηλή παραμένει όταν η επιχορήγηση κινείται κάτω του 30% (0,7%)</w:t>
      </w:r>
      <w:r w:rsidR="0027581E">
        <w:t xml:space="preserve">. Πιθανή εξήγηση είναι πως είτε τα μεγαλύτερα εισοδήματα κατοικούν ήδη σε ενεργειακά αποδοτικότερες κατοικίες λόγω ανακαίνισης ή </w:t>
      </w:r>
      <w:proofErr w:type="spellStart"/>
      <w:r w:rsidR="0027581E">
        <w:t>νεώτερης</w:t>
      </w:r>
      <w:proofErr w:type="spellEnd"/>
      <w:r w:rsidR="0027581E">
        <w:t xml:space="preserve"> και ποιοτικότερης κατασκευής. </w:t>
      </w:r>
    </w:p>
    <w:p w14:paraId="204B6B40" w14:textId="77777777" w:rsidR="00DE055B" w:rsidRDefault="008E5D0A" w:rsidP="00B73259">
      <w:pPr>
        <w:pStyle w:val="a3"/>
        <w:numPr>
          <w:ilvl w:val="0"/>
          <w:numId w:val="28"/>
        </w:numPr>
        <w:spacing w:line="360" w:lineRule="auto"/>
      </w:pPr>
      <w:r>
        <w:t xml:space="preserve">Το </w:t>
      </w:r>
      <w:r w:rsidR="00971D9A">
        <w:t>Πρόγραμμα</w:t>
      </w:r>
      <w:r>
        <w:t xml:space="preserve"> ενεργοποιείται στην πράξη από την 3</w:t>
      </w:r>
      <w:r w:rsidRPr="008E5D0A">
        <w:rPr>
          <w:vertAlign w:val="superscript"/>
        </w:rPr>
        <w:t>η</w:t>
      </w:r>
      <w:r>
        <w:t xml:space="preserve"> ενεργειακή κατηγορία και προς τα φτωχότερα νοικοκυριά</w:t>
      </w:r>
      <w:r w:rsidR="00DE055B">
        <w:t>.</w:t>
      </w:r>
    </w:p>
    <w:p w14:paraId="085E3D83" w14:textId="77777777" w:rsidR="00DE055B" w:rsidRDefault="00DE055B" w:rsidP="00B73259">
      <w:pPr>
        <w:pStyle w:val="a3"/>
        <w:numPr>
          <w:ilvl w:val="0"/>
          <w:numId w:val="28"/>
        </w:numPr>
        <w:spacing w:line="360" w:lineRule="auto"/>
      </w:pPr>
      <w:r>
        <w:t>Το μέσο ποσοστό επιχορήγησης ανέρχεται σε 56%</w:t>
      </w:r>
    </w:p>
    <w:p w14:paraId="226A741A" w14:textId="77777777" w:rsidR="00DE055B" w:rsidRDefault="00DE055B" w:rsidP="00B73259">
      <w:pPr>
        <w:pStyle w:val="a3"/>
        <w:numPr>
          <w:ilvl w:val="0"/>
          <w:numId w:val="28"/>
        </w:numPr>
        <w:spacing w:line="360" w:lineRule="auto"/>
      </w:pPr>
      <w:r>
        <w:t>Το κόστος των Ενεργειακών Επιθεωρήσεων και Συμβούλων κατά Μ.Ο. ανέρχεται σε 840€</w:t>
      </w:r>
    </w:p>
    <w:p w14:paraId="68F4D50C" w14:textId="77777777" w:rsidR="003C6F79" w:rsidRDefault="00DE055B" w:rsidP="00DE055B">
      <w:pPr>
        <w:spacing w:line="360" w:lineRule="auto"/>
      </w:pPr>
      <w:r>
        <w:t xml:space="preserve">Από τα παραπάνω προκύπτει ότι πολύ δύσκολα θα μπορέσει να χρησιμοποιηθεί ΧΕ μόνο για δάνεια και επιδότηση επιτοκίου. </w:t>
      </w:r>
      <w:r w:rsidR="009C2602">
        <w:t>Πλέον αποδοτικό</w:t>
      </w:r>
      <w:r>
        <w:t xml:space="preserve"> </w:t>
      </w:r>
      <w:r w:rsidR="0027581E">
        <w:t>χαρακτηρίζεται</w:t>
      </w:r>
      <w:r>
        <w:t xml:space="preserve"> το </w:t>
      </w:r>
      <w:r w:rsidR="00971D9A">
        <w:t>Πρόγραμμα</w:t>
      </w:r>
      <w:r>
        <w:t xml:space="preserve"> από ποσοστό επιχορ</w:t>
      </w:r>
      <w:r w:rsidR="009C2602">
        <w:t>ήγησης τουλάχιστον 40~45%.</w:t>
      </w:r>
      <w:r w:rsidR="003C6F79">
        <w:t xml:space="preserve"> Επομένως αν εκκινούμε από το 40% θα πρέπει μέσω κλιμάκωσης να κάνουμε ελκυστικό το ΧΕ και προς τα φτωχότερα νοικοκυριά και επομένως θα πρέπει να ανεχθούμε ποσοστά επιχορηγήσεων με Μ.Ο. 55%, όπως στον </w:t>
      </w:r>
      <w:proofErr w:type="spellStart"/>
      <w:r w:rsidR="003C6F79">
        <w:t>Α’Κύκλο</w:t>
      </w:r>
      <w:proofErr w:type="spellEnd"/>
      <w:r w:rsidR="003C6F79">
        <w:t>.</w:t>
      </w:r>
      <w:r w:rsidR="00B268C9">
        <w:t xml:space="preserve"> Με τις παραδοχές αυτές εξαγγέλθηκε και ο </w:t>
      </w:r>
      <w:proofErr w:type="spellStart"/>
      <w:r w:rsidR="00B268C9">
        <w:t>Β’Κ</w:t>
      </w:r>
      <w:r w:rsidR="00226930">
        <w:t>ύκλος</w:t>
      </w:r>
      <w:proofErr w:type="spellEnd"/>
      <w:r w:rsidR="00226930">
        <w:t>, ο οποίος είχε τον παρακάτω πίνακα ως βασικό σχεδιασμό.</w:t>
      </w:r>
    </w:p>
    <w:p w14:paraId="139E11C4" w14:textId="77777777" w:rsidR="00B87363" w:rsidRDefault="00B87363" w:rsidP="00DE055B">
      <w:pPr>
        <w:spacing w:line="360" w:lineRule="auto"/>
      </w:pPr>
    </w:p>
    <w:p w14:paraId="321C4EF7" w14:textId="77777777" w:rsidR="00226930" w:rsidRDefault="00226930" w:rsidP="00DE055B">
      <w:pPr>
        <w:spacing w:line="360" w:lineRule="auto"/>
      </w:pPr>
      <w:r>
        <w:rPr>
          <w:noProof/>
          <w:lang w:eastAsia="el-GR"/>
        </w:rPr>
        <w:drawing>
          <wp:inline distT="0" distB="0" distL="0" distR="0" wp14:anchorId="4B1E2F7F" wp14:editId="6010F92C">
            <wp:extent cx="1360805" cy="2790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805" cy="2790825"/>
                    </a:xfrm>
                    <a:prstGeom prst="rect">
                      <a:avLst/>
                    </a:prstGeom>
                  </pic:spPr>
                </pic:pic>
              </a:graphicData>
            </a:graphic>
          </wp:inline>
        </w:drawing>
      </w:r>
      <w:r>
        <w:rPr>
          <w:noProof/>
          <w:lang w:eastAsia="el-GR"/>
        </w:rPr>
        <w:drawing>
          <wp:inline distT="0" distB="0" distL="0" distR="0" wp14:anchorId="0633E541" wp14:editId="0FEEA10B">
            <wp:extent cx="4199255" cy="28087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55400" cy="2846296"/>
                    </a:xfrm>
                    <a:prstGeom prst="rect">
                      <a:avLst/>
                    </a:prstGeom>
                  </pic:spPr>
                </pic:pic>
              </a:graphicData>
            </a:graphic>
          </wp:inline>
        </w:drawing>
      </w:r>
    </w:p>
    <w:p w14:paraId="030E2D81" w14:textId="77777777" w:rsidR="006C328A" w:rsidRDefault="003C6F79" w:rsidP="00FA5CD9">
      <w:pPr>
        <w:pStyle w:val="3"/>
      </w:pPr>
      <w:bookmarkStart w:id="45" w:name="_Toc36639223"/>
      <w:r>
        <w:t>Στοιχεία προς αξιολόγηση για τ</w:t>
      </w:r>
      <w:r w:rsidR="00B268C9">
        <w:t xml:space="preserve">ον </w:t>
      </w:r>
      <w:proofErr w:type="spellStart"/>
      <w:r w:rsidR="00B268C9">
        <w:t>Β’Κύκλο</w:t>
      </w:r>
      <w:proofErr w:type="spellEnd"/>
      <w:r w:rsidR="00B268C9">
        <w:t xml:space="preserve"> πρόσκλησης του </w:t>
      </w:r>
      <w:r w:rsidR="00971D9A">
        <w:t>Προγράμματος</w:t>
      </w:r>
      <w:r w:rsidR="00B268C9">
        <w:t xml:space="preserve"> ΕΞΟΙΚΟΝΟΜΩ ΙΙ – </w:t>
      </w:r>
      <w:proofErr w:type="spellStart"/>
      <w:r w:rsidR="00B268C9">
        <w:t>Β’Κύκλος</w:t>
      </w:r>
      <w:bookmarkEnd w:id="45"/>
      <w:proofErr w:type="spellEnd"/>
      <w:r w:rsidR="00B73259">
        <w:t xml:space="preserve"> </w:t>
      </w:r>
    </w:p>
    <w:p w14:paraId="51F4642F" w14:textId="77777777" w:rsidR="00AC29EA" w:rsidRDefault="00AC29EA" w:rsidP="00AC29EA">
      <w:pPr>
        <w:spacing w:line="360" w:lineRule="auto"/>
      </w:pPr>
      <w:r>
        <w:t xml:space="preserve">Ο </w:t>
      </w:r>
      <w:r w:rsidR="00B925F9">
        <w:t>Β’ Κύκλο</w:t>
      </w:r>
      <w:r>
        <w:t xml:space="preserve">ς του </w:t>
      </w:r>
      <w:r w:rsidR="00971D9A">
        <w:t>Προγράμματος</w:t>
      </w:r>
      <w:r>
        <w:t xml:space="preserve"> «Εξοικονόμηση </w:t>
      </w:r>
      <w:r w:rsidR="00971D9A">
        <w:t xml:space="preserve">κατ’ </w:t>
      </w:r>
      <w:proofErr w:type="spellStart"/>
      <w:r w:rsidR="00971D9A">
        <w:t>Οίκον</w:t>
      </w:r>
      <w:proofErr w:type="spellEnd"/>
      <w:r>
        <w:t xml:space="preserve"> ΙΙ» ξεκίνησε στις 16.09.2019 παρουσιάζοντας μεγάλη ανταπόκριση από τους πολίτες και ο διαθέσιμος προϋπολογισμός έχει εξαντληθεί σε όλες τις </w:t>
      </w:r>
      <w:r w:rsidR="00E5630E">
        <w:t>Περιφέρ</w:t>
      </w:r>
      <w:r>
        <w:t xml:space="preserve">ειες με εξαίρεση την </w:t>
      </w:r>
      <w:r w:rsidR="00E5630E">
        <w:t>Περιφέρ</w:t>
      </w:r>
      <w:r>
        <w:t>εια των Ιόνιων Νήσων όπου ο ρυθμός υποβολών εμφάνισε συγκριτικά μειωμένους ρυθμούς.</w:t>
      </w:r>
    </w:p>
    <w:p w14:paraId="27B4535E" w14:textId="77777777" w:rsidR="00AC29EA" w:rsidRDefault="00AC29EA" w:rsidP="00AC29EA">
      <w:pPr>
        <w:spacing w:line="360" w:lineRule="auto"/>
      </w:pPr>
      <w:r>
        <w:t xml:space="preserve">Την πρώτη ημέρα έναρξης υποβολής αιτήσεων, λόγω της πολύ μεγάλης συμμετοχής στο </w:t>
      </w:r>
      <w:r w:rsidR="00971D9A">
        <w:t>Πρόγραμμα</w:t>
      </w:r>
      <w:r>
        <w:t xml:space="preserve"> παρατηρήθηκαν καθυστερήσεις στην απόκριση του πληροφοριακού συστήματος και καταβλήθηκε άμεσα κάθε προσπάθεια, από τεχνικής και επιχειρησιακής πλευράς, προχωρώντας στις αναγκαίες βελτιωτικές παρεμβάσεις για να αυξηθεί η ταχύτητα απόκρισης και να βελτιωθεί η εξυπηρέτηση των ενδιαφερόμενων.</w:t>
      </w:r>
    </w:p>
    <w:p w14:paraId="4BEF0408" w14:textId="77777777" w:rsidR="00AC29EA" w:rsidRDefault="00AC29EA" w:rsidP="00AC29EA">
      <w:pPr>
        <w:spacing w:line="360" w:lineRule="auto"/>
      </w:pPr>
      <w:r>
        <w:t xml:space="preserve">Η ταχύτητα απόκρισης του πληροφοριακού συστήματος του </w:t>
      </w:r>
      <w:r w:rsidR="00971D9A">
        <w:t>Προγράμματος</w:t>
      </w:r>
      <w:r>
        <w:t xml:space="preserve"> βελτιστοποιήθηκε σε ελάχιστο χρονικό διάστημα και στη συνέχεια η υποβολή αιτήσεων πραγματοποιήθηκε ομαλά και χωρίς καθυστερήσεις. Παράλληλα, έγιναν τροποποιήσεις, προβλέποντας έναρξη υποβολής αιτήσεων σε λιγότερες </w:t>
      </w:r>
      <w:r w:rsidR="00E5630E">
        <w:t>Περιφέρ</w:t>
      </w:r>
      <w:r>
        <w:t xml:space="preserve">ειες ανά ημέρα, για να διασφαλιστεί πλήρως ότι δεν θα υπάρχει στις υπόλοιπες </w:t>
      </w:r>
      <w:r w:rsidR="00E5630E">
        <w:t>Περιφέρ</w:t>
      </w:r>
      <w:r>
        <w:t>ειες καμία καθυστέρηση κατά την καταχώρηση αιτήσεων στο πληροφοριακό σύστημα.</w:t>
      </w:r>
    </w:p>
    <w:p w14:paraId="2B7A7A4E" w14:textId="77777777" w:rsidR="00AC29EA" w:rsidRDefault="00AC29EA" w:rsidP="00AC29EA">
      <w:pPr>
        <w:spacing w:line="360" w:lineRule="auto"/>
      </w:pPr>
      <w:r>
        <w:t xml:space="preserve">Λαμβάνοντας υπόψη τα στοιχεία των οριστικών υποβολών της ημέρας αναφοράς 17.10.2019 και με εκτίμηση για την κάλυψη του διαθέσιμου υπολοίπου στα Ιόνια, η εικόνα για τις υποβληθείσες </w:t>
      </w:r>
      <w:r>
        <w:lastRenderedPageBreak/>
        <w:t xml:space="preserve">αιτήσεις ανά </w:t>
      </w:r>
      <w:r w:rsidR="00E5630E">
        <w:t>Περιφέρ</w:t>
      </w:r>
      <w:r>
        <w:t>εια, με τις αντίστοιχες δεσμεύσεις προϋπολογισμού, παρουσιάζεται στον παρακάτω πίνακα:</w:t>
      </w:r>
    </w:p>
    <w:tbl>
      <w:tblPr>
        <w:tblW w:w="5174" w:type="pct"/>
        <w:tblInd w:w="-152" w:type="dxa"/>
        <w:tblLayout w:type="fixed"/>
        <w:tblLook w:val="04A0" w:firstRow="1" w:lastRow="0" w:firstColumn="1" w:lastColumn="0" w:noHBand="0" w:noVBand="1"/>
      </w:tblPr>
      <w:tblGrid>
        <w:gridCol w:w="1986"/>
        <w:gridCol w:w="1170"/>
        <w:gridCol w:w="1118"/>
        <w:gridCol w:w="1210"/>
        <w:gridCol w:w="1134"/>
        <w:gridCol w:w="1321"/>
        <w:gridCol w:w="1134"/>
      </w:tblGrid>
      <w:tr w:rsidR="002161EC" w:rsidRPr="002161EC" w14:paraId="27EA133E" w14:textId="77777777" w:rsidTr="000E2DBF">
        <w:trPr>
          <w:trHeight w:val="270"/>
        </w:trPr>
        <w:tc>
          <w:tcPr>
            <w:tcW w:w="5000" w:type="pct"/>
            <w:gridSpan w:val="7"/>
            <w:tcBorders>
              <w:top w:val="single" w:sz="8" w:space="0" w:color="auto"/>
              <w:left w:val="single" w:sz="8" w:space="0" w:color="auto"/>
              <w:bottom w:val="single" w:sz="8" w:space="0" w:color="auto"/>
              <w:right w:val="single" w:sz="8" w:space="0" w:color="000000"/>
            </w:tcBorders>
            <w:shd w:val="clear" w:color="000000" w:fill="A5A5A5"/>
            <w:noWrap/>
            <w:vAlign w:val="center"/>
            <w:hideMark/>
          </w:tcPr>
          <w:p w14:paraId="14B2BC2F" w14:textId="77777777" w:rsidR="002161EC" w:rsidRPr="00913A7A" w:rsidRDefault="002161EC" w:rsidP="00913A7A">
            <w:pPr>
              <w:autoSpaceDE/>
              <w:autoSpaceDN/>
              <w:adjustRightInd/>
              <w:spacing w:before="120" w:line="240" w:lineRule="auto"/>
              <w:jc w:val="left"/>
              <w:rPr>
                <w:rFonts w:eastAsia="Times New Roman"/>
                <w:b/>
                <w:bCs/>
                <w:sz w:val="18"/>
                <w:szCs w:val="18"/>
                <w:lang w:eastAsia="el-GR"/>
              </w:rPr>
            </w:pPr>
            <w:r w:rsidRPr="00913A7A">
              <w:rPr>
                <w:rFonts w:eastAsia="Times New Roman"/>
                <w:b/>
                <w:bCs/>
                <w:sz w:val="18"/>
                <w:szCs w:val="18"/>
                <w:lang w:eastAsia="el-GR"/>
              </w:rPr>
              <w:t xml:space="preserve">ΔΕΣΜΕΥΣΕΙΣ </w:t>
            </w:r>
            <w:r w:rsidR="00E5630E">
              <w:rPr>
                <w:rFonts w:eastAsia="Times New Roman"/>
                <w:b/>
                <w:bCs/>
                <w:sz w:val="18"/>
                <w:szCs w:val="18"/>
                <w:lang w:eastAsia="el-GR"/>
              </w:rPr>
              <w:t>ΠΡΟΓΡΑΜΜΑΤ</w:t>
            </w:r>
            <w:r w:rsidRPr="00913A7A">
              <w:rPr>
                <w:rFonts w:eastAsia="Times New Roman"/>
                <w:b/>
                <w:bCs/>
                <w:sz w:val="18"/>
                <w:szCs w:val="18"/>
                <w:lang w:eastAsia="el-GR"/>
              </w:rPr>
              <w:t>ΟΣ B' ΚΥΚΛΟΣ ΕΞΟΙΚΟΝΟΜΗΣΗ ΚΑΤ 'ΟΙΚΟΝ</w:t>
            </w:r>
          </w:p>
        </w:tc>
      </w:tr>
      <w:tr w:rsidR="002161EC" w:rsidRPr="002161EC" w14:paraId="77F396AF" w14:textId="77777777" w:rsidTr="000E2DBF">
        <w:trPr>
          <w:trHeight w:val="435"/>
        </w:trPr>
        <w:tc>
          <w:tcPr>
            <w:tcW w:w="1094" w:type="pct"/>
            <w:vMerge w:val="restart"/>
            <w:tcBorders>
              <w:top w:val="nil"/>
              <w:left w:val="single" w:sz="8" w:space="0" w:color="auto"/>
              <w:bottom w:val="single" w:sz="8" w:space="0" w:color="000000"/>
              <w:right w:val="single" w:sz="8" w:space="0" w:color="auto"/>
            </w:tcBorders>
            <w:shd w:val="clear" w:color="000000" w:fill="C0C0C0"/>
            <w:vAlign w:val="center"/>
            <w:hideMark/>
          </w:tcPr>
          <w:p w14:paraId="59F105E4" w14:textId="77777777" w:rsidR="002161EC" w:rsidRPr="002161EC" w:rsidRDefault="00E5630E" w:rsidP="00B87363">
            <w:pPr>
              <w:autoSpaceDE/>
              <w:autoSpaceDN/>
              <w:adjustRightInd/>
              <w:spacing w:before="0" w:after="0" w:line="240" w:lineRule="auto"/>
              <w:jc w:val="left"/>
              <w:rPr>
                <w:rFonts w:eastAsia="Times New Roman"/>
                <w:b/>
                <w:bCs/>
                <w:color w:val="000000"/>
                <w:sz w:val="18"/>
                <w:szCs w:val="18"/>
                <w:lang w:eastAsia="el-GR"/>
              </w:rPr>
            </w:pPr>
            <w:r>
              <w:rPr>
                <w:rFonts w:eastAsia="Times New Roman"/>
                <w:b/>
                <w:bCs/>
                <w:color w:val="000000"/>
                <w:sz w:val="18"/>
                <w:szCs w:val="18"/>
                <w:lang w:eastAsia="el-GR"/>
              </w:rPr>
              <w:t>Περιφέρ</w:t>
            </w:r>
            <w:r w:rsidR="002161EC" w:rsidRPr="002161EC">
              <w:rPr>
                <w:rFonts w:eastAsia="Times New Roman"/>
                <w:b/>
                <w:bCs/>
                <w:color w:val="000000"/>
                <w:sz w:val="18"/>
                <w:szCs w:val="18"/>
                <w:lang w:eastAsia="el-GR"/>
              </w:rPr>
              <w:t>εια</w:t>
            </w:r>
          </w:p>
        </w:tc>
        <w:tc>
          <w:tcPr>
            <w:tcW w:w="645" w:type="pct"/>
            <w:vMerge w:val="restart"/>
            <w:tcBorders>
              <w:top w:val="nil"/>
              <w:left w:val="single" w:sz="8" w:space="0" w:color="auto"/>
              <w:bottom w:val="single" w:sz="8" w:space="0" w:color="000000"/>
              <w:right w:val="single" w:sz="8" w:space="0" w:color="auto"/>
            </w:tcBorders>
            <w:shd w:val="clear" w:color="000000" w:fill="C5D9F1"/>
            <w:vAlign w:val="center"/>
            <w:hideMark/>
          </w:tcPr>
          <w:p w14:paraId="0E7BE9E7" w14:textId="77777777" w:rsidR="002161EC" w:rsidRPr="002161EC" w:rsidRDefault="002161EC" w:rsidP="00B87363">
            <w:pPr>
              <w:autoSpaceDE/>
              <w:autoSpaceDN/>
              <w:adjustRightInd/>
              <w:spacing w:before="0" w:after="0" w:line="240" w:lineRule="auto"/>
              <w:jc w:val="left"/>
              <w:rPr>
                <w:rFonts w:eastAsia="Times New Roman"/>
                <w:b/>
                <w:bCs/>
                <w:color w:val="000000"/>
                <w:sz w:val="18"/>
                <w:szCs w:val="18"/>
                <w:lang w:eastAsia="el-GR"/>
              </w:rPr>
            </w:pPr>
            <w:r w:rsidRPr="002161EC">
              <w:rPr>
                <w:rFonts w:eastAsia="Times New Roman"/>
                <w:b/>
                <w:bCs/>
                <w:color w:val="000000"/>
                <w:sz w:val="18"/>
                <w:szCs w:val="18"/>
                <w:lang w:eastAsia="el-GR"/>
              </w:rPr>
              <w:t>Υποβληθείσες Αιτήσεις</w:t>
            </w:r>
          </w:p>
        </w:tc>
        <w:tc>
          <w:tcPr>
            <w:tcW w:w="616" w:type="pct"/>
            <w:vMerge w:val="restart"/>
            <w:tcBorders>
              <w:top w:val="nil"/>
              <w:left w:val="single" w:sz="8" w:space="0" w:color="auto"/>
              <w:bottom w:val="single" w:sz="8" w:space="0" w:color="000000"/>
              <w:right w:val="single" w:sz="8" w:space="0" w:color="auto"/>
            </w:tcBorders>
            <w:shd w:val="clear" w:color="000000" w:fill="DDD9C4"/>
            <w:vAlign w:val="center"/>
            <w:hideMark/>
          </w:tcPr>
          <w:p w14:paraId="42C8EFE0" w14:textId="77777777" w:rsidR="002161EC" w:rsidRPr="002161EC" w:rsidRDefault="002161EC" w:rsidP="00B87363">
            <w:pPr>
              <w:autoSpaceDE/>
              <w:autoSpaceDN/>
              <w:adjustRightInd/>
              <w:spacing w:before="0" w:after="0" w:line="240" w:lineRule="auto"/>
              <w:jc w:val="center"/>
              <w:rPr>
                <w:rFonts w:eastAsia="Times New Roman"/>
                <w:b/>
                <w:bCs/>
                <w:color w:val="000000"/>
                <w:sz w:val="18"/>
                <w:szCs w:val="18"/>
                <w:lang w:eastAsia="el-GR"/>
              </w:rPr>
            </w:pPr>
            <w:r w:rsidRPr="002161EC">
              <w:rPr>
                <w:rFonts w:eastAsia="Times New Roman"/>
                <w:b/>
                <w:bCs/>
                <w:color w:val="000000"/>
                <w:sz w:val="18"/>
                <w:szCs w:val="18"/>
                <w:lang w:eastAsia="el-GR"/>
              </w:rPr>
              <w:t>Απαίτηση Ταμείου Εξοικονομώ ΙΙ - B Κύκλος</w:t>
            </w:r>
          </w:p>
        </w:tc>
        <w:tc>
          <w:tcPr>
            <w:tcW w:w="2645" w:type="pct"/>
            <w:gridSpan w:val="4"/>
            <w:tcBorders>
              <w:top w:val="single" w:sz="8" w:space="0" w:color="auto"/>
              <w:left w:val="nil"/>
              <w:bottom w:val="single" w:sz="8" w:space="0" w:color="auto"/>
              <w:right w:val="single" w:sz="8" w:space="0" w:color="000000"/>
            </w:tcBorders>
            <w:shd w:val="clear" w:color="000000" w:fill="C0C0C0"/>
            <w:noWrap/>
            <w:vAlign w:val="center"/>
            <w:hideMark/>
          </w:tcPr>
          <w:p w14:paraId="31A73D9E" w14:textId="77777777" w:rsidR="002161EC" w:rsidRPr="002161EC" w:rsidRDefault="002161EC" w:rsidP="00B87363">
            <w:pPr>
              <w:autoSpaceDE/>
              <w:autoSpaceDN/>
              <w:adjustRightInd/>
              <w:spacing w:before="0" w:after="0" w:line="240" w:lineRule="auto"/>
              <w:jc w:val="center"/>
              <w:rPr>
                <w:rFonts w:eastAsia="Times New Roman"/>
                <w:b/>
                <w:bCs/>
                <w:color w:val="000000"/>
                <w:sz w:val="18"/>
                <w:szCs w:val="18"/>
                <w:lang w:eastAsia="el-GR"/>
              </w:rPr>
            </w:pPr>
            <w:r w:rsidRPr="002161EC">
              <w:rPr>
                <w:rFonts w:eastAsia="Times New Roman"/>
                <w:b/>
                <w:bCs/>
                <w:color w:val="000000"/>
                <w:sz w:val="18"/>
                <w:szCs w:val="18"/>
                <w:lang w:eastAsia="el-GR"/>
              </w:rPr>
              <w:t>ΔΕΣΜΕΥΣΕΙΣ GRANTS</w:t>
            </w:r>
          </w:p>
        </w:tc>
      </w:tr>
      <w:tr w:rsidR="002161EC" w:rsidRPr="002161EC" w14:paraId="2A8BB9E2" w14:textId="77777777" w:rsidTr="000E2DBF">
        <w:trPr>
          <w:trHeight w:val="690"/>
        </w:trPr>
        <w:tc>
          <w:tcPr>
            <w:tcW w:w="1094" w:type="pct"/>
            <w:vMerge/>
            <w:tcBorders>
              <w:top w:val="nil"/>
              <w:left w:val="single" w:sz="8" w:space="0" w:color="auto"/>
              <w:bottom w:val="single" w:sz="8" w:space="0" w:color="000000"/>
              <w:right w:val="single" w:sz="8" w:space="0" w:color="auto"/>
            </w:tcBorders>
            <w:vAlign w:val="center"/>
            <w:hideMark/>
          </w:tcPr>
          <w:p w14:paraId="56E8B1EE" w14:textId="77777777" w:rsidR="002161EC" w:rsidRPr="002161EC" w:rsidRDefault="002161EC" w:rsidP="00B87363">
            <w:pPr>
              <w:autoSpaceDE/>
              <w:autoSpaceDN/>
              <w:adjustRightInd/>
              <w:spacing w:before="0" w:after="0" w:line="240" w:lineRule="auto"/>
              <w:jc w:val="left"/>
              <w:rPr>
                <w:rFonts w:eastAsia="Times New Roman"/>
                <w:b/>
                <w:bCs/>
                <w:color w:val="000000"/>
                <w:sz w:val="18"/>
                <w:szCs w:val="18"/>
                <w:lang w:eastAsia="el-GR"/>
              </w:rPr>
            </w:pPr>
          </w:p>
        </w:tc>
        <w:tc>
          <w:tcPr>
            <w:tcW w:w="645" w:type="pct"/>
            <w:vMerge/>
            <w:tcBorders>
              <w:top w:val="nil"/>
              <w:left w:val="single" w:sz="8" w:space="0" w:color="auto"/>
              <w:bottom w:val="single" w:sz="8" w:space="0" w:color="000000"/>
              <w:right w:val="single" w:sz="8" w:space="0" w:color="auto"/>
            </w:tcBorders>
            <w:vAlign w:val="center"/>
            <w:hideMark/>
          </w:tcPr>
          <w:p w14:paraId="37FEE921" w14:textId="77777777" w:rsidR="002161EC" w:rsidRPr="002161EC" w:rsidRDefault="002161EC" w:rsidP="00B87363">
            <w:pPr>
              <w:autoSpaceDE/>
              <w:autoSpaceDN/>
              <w:adjustRightInd/>
              <w:spacing w:before="0" w:after="0" w:line="240" w:lineRule="auto"/>
              <w:jc w:val="left"/>
              <w:rPr>
                <w:rFonts w:eastAsia="Times New Roman"/>
                <w:b/>
                <w:bCs/>
                <w:color w:val="000000"/>
                <w:sz w:val="18"/>
                <w:szCs w:val="18"/>
                <w:lang w:eastAsia="el-GR"/>
              </w:rPr>
            </w:pPr>
          </w:p>
        </w:tc>
        <w:tc>
          <w:tcPr>
            <w:tcW w:w="616" w:type="pct"/>
            <w:vMerge/>
            <w:tcBorders>
              <w:top w:val="nil"/>
              <w:left w:val="single" w:sz="8" w:space="0" w:color="auto"/>
              <w:bottom w:val="single" w:sz="8" w:space="0" w:color="000000"/>
              <w:right w:val="single" w:sz="8" w:space="0" w:color="auto"/>
            </w:tcBorders>
            <w:vAlign w:val="center"/>
            <w:hideMark/>
          </w:tcPr>
          <w:p w14:paraId="49425F85" w14:textId="77777777" w:rsidR="002161EC" w:rsidRPr="002161EC" w:rsidRDefault="002161EC" w:rsidP="00B87363">
            <w:pPr>
              <w:autoSpaceDE/>
              <w:autoSpaceDN/>
              <w:adjustRightInd/>
              <w:spacing w:before="0" w:after="0" w:line="240" w:lineRule="auto"/>
              <w:jc w:val="left"/>
              <w:rPr>
                <w:rFonts w:eastAsia="Times New Roman"/>
                <w:b/>
                <w:bCs/>
                <w:color w:val="000000"/>
                <w:sz w:val="18"/>
                <w:szCs w:val="18"/>
                <w:lang w:eastAsia="el-GR"/>
              </w:rPr>
            </w:pPr>
          </w:p>
        </w:tc>
        <w:tc>
          <w:tcPr>
            <w:tcW w:w="667" w:type="pct"/>
            <w:tcBorders>
              <w:top w:val="nil"/>
              <w:left w:val="nil"/>
              <w:bottom w:val="single" w:sz="8" w:space="0" w:color="auto"/>
              <w:right w:val="single" w:sz="8" w:space="0" w:color="auto"/>
            </w:tcBorders>
            <w:shd w:val="clear" w:color="000000" w:fill="C0C0C0"/>
            <w:vAlign w:val="center"/>
            <w:hideMark/>
          </w:tcPr>
          <w:p w14:paraId="12574491" w14:textId="77777777" w:rsidR="002161EC" w:rsidRPr="002161EC" w:rsidRDefault="002161EC" w:rsidP="00B87363">
            <w:pPr>
              <w:autoSpaceDE/>
              <w:autoSpaceDN/>
              <w:adjustRightInd/>
              <w:spacing w:before="0" w:after="0" w:line="240" w:lineRule="auto"/>
              <w:jc w:val="center"/>
              <w:rPr>
                <w:rFonts w:eastAsia="Times New Roman"/>
                <w:b/>
                <w:bCs/>
                <w:color w:val="000000"/>
                <w:sz w:val="18"/>
                <w:szCs w:val="18"/>
                <w:lang w:eastAsia="el-GR"/>
              </w:rPr>
            </w:pPr>
            <w:r w:rsidRPr="002161EC">
              <w:rPr>
                <w:rFonts w:eastAsia="Times New Roman"/>
                <w:b/>
                <w:bCs/>
                <w:color w:val="000000"/>
                <w:sz w:val="18"/>
                <w:szCs w:val="18"/>
                <w:lang w:eastAsia="el-GR"/>
              </w:rPr>
              <w:t>Πόροι Περιφερειών</w:t>
            </w:r>
          </w:p>
        </w:tc>
        <w:tc>
          <w:tcPr>
            <w:tcW w:w="625" w:type="pct"/>
            <w:tcBorders>
              <w:top w:val="nil"/>
              <w:left w:val="nil"/>
              <w:bottom w:val="single" w:sz="8" w:space="0" w:color="auto"/>
              <w:right w:val="single" w:sz="8" w:space="0" w:color="auto"/>
            </w:tcBorders>
            <w:shd w:val="clear" w:color="000000" w:fill="C0C0C0"/>
            <w:vAlign w:val="center"/>
            <w:hideMark/>
          </w:tcPr>
          <w:p w14:paraId="38EE1A96" w14:textId="77777777" w:rsidR="002161EC" w:rsidRPr="002161EC" w:rsidRDefault="002161EC" w:rsidP="00B87363">
            <w:pPr>
              <w:autoSpaceDE/>
              <w:autoSpaceDN/>
              <w:adjustRightInd/>
              <w:spacing w:before="0" w:after="0" w:line="240" w:lineRule="auto"/>
              <w:jc w:val="center"/>
              <w:rPr>
                <w:rFonts w:eastAsia="Times New Roman"/>
                <w:b/>
                <w:bCs/>
                <w:color w:val="000000"/>
                <w:sz w:val="18"/>
                <w:szCs w:val="18"/>
                <w:lang w:eastAsia="el-GR"/>
              </w:rPr>
            </w:pPr>
            <w:r w:rsidRPr="002161EC">
              <w:rPr>
                <w:rFonts w:eastAsia="Times New Roman"/>
                <w:b/>
                <w:bCs/>
                <w:color w:val="000000"/>
                <w:sz w:val="18"/>
                <w:szCs w:val="18"/>
                <w:lang w:eastAsia="el-GR"/>
              </w:rPr>
              <w:t xml:space="preserve">Πόροι </w:t>
            </w:r>
            <w:r w:rsidR="00B925F9">
              <w:rPr>
                <w:rFonts w:eastAsia="Times New Roman"/>
                <w:b/>
                <w:bCs/>
                <w:color w:val="000000"/>
                <w:sz w:val="18"/>
                <w:szCs w:val="18"/>
                <w:lang w:eastAsia="el-GR"/>
              </w:rPr>
              <w:t>ΕΠΑΝΕΚ</w:t>
            </w:r>
          </w:p>
        </w:tc>
        <w:tc>
          <w:tcPr>
            <w:tcW w:w="728" w:type="pct"/>
            <w:tcBorders>
              <w:top w:val="nil"/>
              <w:left w:val="nil"/>
              <w:bottom w:val="single" w:sz="8" w:space="0" w:color="auto"/>
              <w:right w:val="single" w:sz="8" w:space="0" w:color="auto"/>
            </w:tcBorders>
            <w:shd w:val="clear" w:color="000000" w:fill="C0C0C0"/>
            <w:vAlign w:val="center"/>
            <w:hideMark/>
          </w:tcPr>
          <w:p w14:paraId="217EB0E7" w14:textId="77777777" w:rsidR="002161EC" w:rsidRPr="002161EC" w:rsidRDefault="002161EC" w:rsidP="00B87363">
            <w:pPr>
              <w:autoSpaceDE/>
              <w:autoSpaceDN/>
              <w:adjustRightInd/>
              <w:spacing w:before="0" w:after="0" w:line="240" w:lineRule="auto"/>
              <w:jc w:val="center"/>
              <w:rPr>
                <w:rFonts w:eastAsia="Times New Roman"/>
                <w:b/>
                <w:bCs/>
                <w:color w:val="000000"/>
                <w:sz w:val="18"/>
                <w:szCs w:val="18"/>
                <w:lang w:eastAsia="el-GR"/>
              </w:rPr>
            </w:pPr>
            <w:r w:rsidRPr="002161EC">
              <w:rPr>
                <w:rFonts w:eastAsia="Times New Roman"/>
                <w:b/>
                <w:bCs/>
                <w:color w:val="000000"/>
                <w:sz w:val="18"/>
                <w:szCs w:val="18"/>
                <w:lang w:eastAsia="el-GR"/>
              </w:rPr>
              <w:t>Εθνικοί Πόροι</w:t>
            </w:r>
          </w:p>
        </w:tc>
        <w:tc>
          <w:tcPr>
            <w:tcW w:w="625" w:type="pct"/>
            <w:tcBorders>
              <w:top w:val="nil"/>
              <w:left w:val="nil"/>
              <w:bottom w:val="single" w:sz="8" w:space="0" w:color="auto"/>
              <w:right w:val="single" w:sz="8" w:space="0" w:color="auto"/>
            </w:tcBorders>
            <w:shd w:val="clear" w:color="000000" w:fill="C0C0C0"/>
            <w:vAlign w:val="center"/>
            <w:hideMark/>
          </w:tcPr>
          <w:p w14:paraId="1455618A" w14:textId="77777777" w:rsidR="002161EC" w:rsidRPr="002161EC" w:rsidRDefault="002161EC" w:rsidP="00B87363">
            <w:pPr>
              <w:autoSpaceDE/>
              <w:autoSpaceDN/>
              <w:adjustRightInd/>
              <w:spacing w:before="0" w:after="0" w:line="240" w:lineRule="auto"/>
              <w:jc w:val="center"/>
              <w:rPr>
                <w:rFonts w:eastAsia="Times New Roman"/>
                <w:b/>
                <w:bCs/>
                <w:color w:val="000000"/>
                <w:sz w:val="18"/>
                <w:szCs w:val="18"/>
                <w:lang w:eastAsia="el-GR"/>
              </w:rPr>
            </w:pPr>
            <w:r w:rsidRPr="002161EC">
              <w:rPr>
                <w:rFonts w:eastAsia="Times New Roman"/>
                <w:b/>
                <w:bCs/>
                <w:color w:val="000000"/>
                <w:sz w:val="18"/>
                <w:szCs w:val="18"/>
                <w:lang w:eastAsia="el-GR"/>
              </w:rPr>
              <w:t>Δεσμεύσεις Άμεσης Ενίσχυσης</w:t>
            </w:r>
          </w:p>
        </w:tc>
      </w:tr>
      <w:tr w:rsidR="002161EC" w:rsidRPr="002161EC" w14:paraId="058D3821"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vAlign w:val="center"/>
            <w:hideMark/>
          </w:tcPr>
          <w:p w14:paraId="4D66E945"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ΑΝΑΤΟΛΙΚΗΣ ΜΑΚΕΔΟΝΙΑΣ -ΘΡΑΚΗΣ</w:t>
            </w:r>
          </w:p>
        </w:tc>
        <w:tc>
          <w:tcPr>
            <w:tcW w:w="645" w:type="pct"/>
            <w:tcBorders>
              <w:top w:val="nil"/>
              <w:left w:val="nil"/>
              <w:bottom w:val="single" w:sz="8" w:space="0" w:color="auto"/>
              <w:right w:val="single" w:sz="8" w:space="0" w:color="auto"/>
            </w:tcBorders>
            <w:shd w:val="clear" w:color="auto" w:fill="auto"/>
            <w:noWrap/>
            <w:vAlign w:val="center"/>
            <w:hideMark/>
          </w:tcPr>
          <w:p w14:paraId="000FD190"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1.733</w:t>
            </w:r>
          </w:p>
        </w:tc>
        <w:tc>
          <w:tcPr>
            <w:tcW w:w="61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9E73E73"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26.598.701</w:t>
            </w:r>
          </w:p>
        </w:tc>
        <w:tc>
          <w:tcPr>
            <w:tcW w:w="667" w:type="pct"/>
            <w:tcBorders>
              <w:top w:val="nil"/>
              <w:left w:val="nil"/>
              <w:bottom w:val="single" w:sz="8" w:space="0" w:color="auto"/>
              <w:right w:val="single" w:sz="8" w:space="0" w:color="auto"/>
            </w:tcBorders>
            <w:shd w:val="clear" w:color="000000" w:fill="FFFFFF"/>
            <w:noWrap/>
            <w:vAlign w:val="center"/>
            <w:hideMark/>
          </w:tcPr>
          <w:p w14:paraId="3753CA60"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5.084.401</w:t>
            </w:r>
          </w:p>
        </w:tc>
        <w:tc>
          <w:tcPr>
            <w:tcW w:w="625" w:type="pct"/>
            <w:tcBorders>
              <w:top w:val="nil"/>
              <w:left w:val="nil"/>
              <w:bottom w:val="single" w:sz="8" w:space="0" w:color="auto"/>
              <w:right w:val="single" w:sz="8" w:space="0" w:color="auto"/>
            </w:tcBorders>
            <w:shd w:val="clear" w:color="000000" w:fill="FFFFFF"/>
            <w:noWrap/>
            <w:vAlign w:val="center"/>
            <w:hideMark/>
          </w:tcPr>
          <w:p w14:paraId="24878B16"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8.803.934</w:t>
            </w:r>
          </w:p>
        </w:tc>
        <w:tc>
          <w:tcPr>
            <w:tcW w:w="728" w:type="pct"/>
            <w:tcBorders>
              <w:top w:val="nil"/>
              <w:left w:val="nil"/>
              <w:bottom w:val="single" w:sz="8" w:space="0" w:color="auto"/>
              <w:right w:val="single" w:sz="8" w:space="0" w:color="auto"/>
            </w:tcBorders>
            <w:shd w:val="clear" w:color="000000" w:fill="FFFFFF"/>
            <w:noWrap/>
            <w:vAlign w:val="center"/>
            <w:hideMark/>
          </w:tcPr>
          <w:p w14:paraId="7EEF8608"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6.040.232</w:t>
            </w:r>
          </w:p>
        </w:tc>
        <w:tc>
          <w:tcPr>
            <w:tcW w:w="625" w:type="pct"/>
            <w:tcBorders>
              <w:top w:val="nil"/>
              <w:left w:val="nil"/>
              <w:bottom w:val="single" w:sz="8" w:space="0" w:color="auto"/>
              <w:right w:val="single" w:sz="8" w:space="0" w:color="auto"/>
            </w:tcBorders>
            <w:shd w:val="clear" w:color="000000" w:fill="FFFFFF"/>
            <w:noWrap/>
            <w:vAlign w:val="center"/>
            <w:hideMark/>
          </w:tcPr>
          <w:p w14:paraId="45F5E634"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19.928.566</w:t>
            </w:r>
          </w:p>
        </w:tc>
      </w:tr>
      <w:tr w:rsidR="002161EC" w:rsidRPr="002161EC" w14:paraId="30C9157A"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vAlign w:val="center"/>
            <w:hideMark/>
          </w:tcPr>
          <w:p w14:paraId="15AEF84C"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ΚΕΝΤΡΙΚΗΣ ΜΑΚΕΔΟΝΙΑΣ</w:t>
            </w:r>
          </w:p>
        </w:tc>
        <w:tc>
          <w:tcPr>
            <w:tcW w:w="645" w:type="pct"/>
            <w:tcBorders>
              <w:top w:val="nil"/>
              <w:left w:val="nil"/>
              <w:bottom w:val="single" w:sz="8" w:space="0" w:color="auto"/>
              <w:right w:val="single" w:sz="8" w:space="0" w:color="auto"/>
            </w:tcBorders>
            <w:shd w:val="clear" w:color="auto" w:fill="auto"/>
            <w:noWrap/>
            <w:vAlign w:val="center"/>
            <w:hideMark/>
          </w:tcPr>
          <w:p w14:paraId="747838D3"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4.552</w:t>
            </w:r>
          </w:p>
        </w:tc>
        <w:tc>
          <w:tcPr>
            <w:tcW w:w="616" w:type="pct"/>
            <w:vMerge/>
            <w:tcBorders>
              <w:top w:val="nil"/>
              <w:left w:val="single" w:sz="8" w:space="0" w:color="auto"/>
              <w:bottom w:val="single" w:sz="8" w:space="0" w:color="000000"/>
              <w:right w:val="single" w:sz="8" w:space="0" w:color="auto"/>
            </w:tcBorders>
            <w:vAlign w:val="center"/>
            <w:hideMark/>
          </w:tcPr>
          <w:p w14:paraId="4328DFDA" w14:textId="77777777" w:rsidR="002161EC" w:rsidRPr="002161EC" w:rsidRDefault="002161EC" w:rsidP="00B87363">
            <w:pPr>
              <w:autoSpaceDE/>
              <w:autoSpaceDN/>
              <w:adjustRightInd/>
              <w:spacing w:before="0" w:after="0" w:line="240" w:lineRule="auto"/>
              <w:jc w:val="left"/>
              <w:rPr>
                <w:rFonts w:eastAsia="Times New Roman"/>
                <w:color w:val="000000"/>
                <w:sz w:val="18"/>
                <w:szCs w:val="18"/>
                <w:lang w:eastAsia="el-GR"/>
              </w:rPr>
            </w:pPr>
          </w:p>
        </w:tc>
        <w:tc>
          <w:tcPr>
            <w:tcW w:w="667" w:type="pct"/>
            <w:tcBorders>
              <w:top w:val="nil"/>
              <w:left w:val="nil"/>
              <w:bottom w:val="single" w:sz="8" w:space="0" w:color="auto"/>
              <w:right w:val="single" w:sz="8" w:space="0" w:color="auto"/>
            </w:tcBorders>
            <w:shd w:val="clear" w:color="000000" w:fill="FFFFFF"/>
            <w:noWrap/>
            <w:vAlign w:val="center"/>
            <w:hideMark/>
          </w:tcPr>
          <w:p w14:paraId="122088F0"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0</w:t>
            </w:r>
          </w:p>
        </w:tc>
        <w:tc>
          <w:tcPr>
            <w:tcW w:w="625" w:type="pct"/>
            <w:tcBorders>
              <w:top w:val="nil"/>
              <w:left w:val="nil"/>
              <w:bottom w:val="single" w:sz="8" w:space="0" w:color="auto"/>
              <w:right w:val="single" w:sz="8" w:space="0" w:color="auto"/>
            </w:tcBorders>
            <w:shd w:val="clear" w:color="000000" w:fill="FFFFFF"/>
            <w:noWrap/>
            <w:vAlign w:val="center"/>
            <w:hideMark/>
          </w:tcPr>
          <w:p w14:paraId="05321165"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30.855.218</w:t>
            </w:r>
          </w:p>
        </w:tc>
        <w:tc>
          <w:tcPr>
            <w:tcW w:w="728" w:type="pct"/>
            <w:tcBorders>
              <w:top w:val="nil"/>
              <w:left w:val="nil"/>
              <w:bottom w:val="single" w:sz="8" w:space="0" w:color="auto"/>
              <w:right w:val="single" w:sz="8" w:space="0" w:color="auto"/>
            </w:tcBorders>
            <w:shd w:val="clear" w:color="000000" w:fill="FFFFFF"/>
            <w:noWrap/>
            <w:vAlign w:val="center"/>
            <w:hideMark/>
          </w:tcPr>
          <w:p w14:paraId="6CD1F7A0"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17.219.802</w:t>
            </w:r>
          </w:p>
        </w:tc>
        <w:tc>
          <w:tcPr>
            <w:tcW w:w="625" w:type="pct"/>
            <w:tcBorders>
              <w:top w:val="nil"/>
              <w:left w:val="nil"/>
              <w:bottom w:val="single" w:sz="8" w:space="0" w:color="auto"/>
              <w:right w:val="single" w:sz="8" w:space="0" w:color="auto"/>
            </w:tcBorders>
            <w:shd w:val="clear" w:color="000000" w:fill="FFFFFF"/>
            <w:noWrap/>
            <w:vAlign w:val="center"/>
            <w:hideMark/>
          </w:tcPr>
          <w:p w14:paraId="4E15AE35"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48.075.021</w:t>
            </w:r>
          </w:p>
        </w:tc>
      </w:tr>
      <w:tr w:rsidR="002161EC" w:rsidRPr="002161EC" w14:paraId="616CDD87"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2D49A437"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ΗΠΕΙΡΟΥ</w:t>
            </w:r>
          </w:p>
        </w:tc>
        <w:tc>
          <w:tcPr>
            <w:tcW w:w="645" w:type="pct"/>
            <w:tcBorders>
              <w:top w:val="nil"/>
              <w:left w:val="nil"/>
              <w:bottom w:val="single" w:sz="8" w:space="0" w:color="auto"/>
              <w:right w:val="single" w:sz="8" w:space="0" w:color="auto"/>
            </w:tcBorders>
            <w:shd w:val="clear" w:color="auto" w:fill="auto"/>
            <w:noWrap/>
            <w:vAlign w:val="center"/>
            <w:hideMark/>
          </w:tcPr>
          <w:p w14:paraId="7D2DA2F9"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1.076</w:t>
            </w:r>
          </w:p>
        </w:tc>
        <w:tc>
          <w:tcPr>
            <w:tcW w:w="616" w:type="pct"/>
            <w:vMerge/>
            <w:tcBorders>
              <w:top w:val="nil"/>
              <w:left w:val="single" w:sz="8" w:space="0" w:color="auto"/>
              <w:bottom w:val="single" w:sz="8" w:space="0" w:color="000000"/>
              <w:right w:val="single" w:sz="8" w:space="0" w:color="auto"/>
            </w:tcBorders>
            <w:vAlign w:val="center"/>
            <w:hideMark/>
          </w:tcPr>
          <w:p w14:paraId="5AD23838" w14:textId="77777777" w:rsidR="002161EC" w:rsidRPr="002161EC" w:rsidRDefault="002161EC" w:rsidP="00B87363">
            <w:pPr>
              <w:autoSpaceDE/>
              <w:autoSpaceDN/>
              <w:adjustRightInd/>
              <w:spacing w:before="0" w:after="0" w:line="240" w:lineRule="auto"/>
              <w:jc w:val="left"/>
              <w:rPr>
                <w:rFonts w:eastAsia="Times New Roman"/>
                <w:color w:val="000000"/>
                <w:sz w:val="18"/>
                <w:szCs w:val="18"/>
                <w:lang w:eastAsia="el-GR"/>
              </w:rPr>
            </w:pPr>
          </w:p>
        </w:tc>
        <w:tc>
          <w:tcPr>
            <w:tcW w:w="667" w:type="pct"/>
            <w:tcBorders>
              <w:top w:val="nil"/>
              <w:left w:val="nil"/>
              <w:bottom w:val="single" w:sz="8" w:space="0" w:color="auto"/>
              <w:right w:val="single" w:sz="8" w:space="0" w:color="auto"/>
            </w:tcBorders>
            <w:shd w:val="clear" w:color="000000" w:fill="FFFFFF"/>
            <w:noWrap/>
            <w:vAlign w:val="center"/>
            <w:hideMark/>
          </w:tcPr>
          <w:p w14:paraId="4DC3AFA8"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96.264</w:t>
            </w:r>
          </w:p>
        </w:tc>
        <w:tc>
          <w:tcPr>
            <w:tcW w:w="625" w:type="pct"/>
            <w:tcBorders>
              <w:top w:val="nil"/>
              <w:left w:val="nil"/>
              <w:bottom w:val="single" w:sz="8" w:space="0" w:color="auto"/>
              <w:right w:val="single" w:sz="8" w:space="0" w:color="auto"/>
            </w:tcBorders>
            <w:shd w:val="clear" w:color="000000" w:fill="FFFFFF"/>
            <w:noWrap/>
            <w:vAlign w:val="center"/>
            <w:hideMark/>
          </w:tcPr>
          <w:p w14:paraId="6736AEC6"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6.902.732</w:t>
            </w:r>
          </w:p>
        </w:tc>
        <w:tc>
          <w:tcPr>
            <w:tcW w:w="728" w:type="pct"/>
            <w:tcBorders>
              <w:top w:val="nil"/>
              <w:left w:val="nil"/>
              <w:bottom w:val="single" w:sz="8" w:space="0" w:color="auto"/>
              <w:right w:val="single" w:sz="8" w:space="0" w:color="auto"/>
            </w:tcBorders>
            <w:shd w:val="clear" w:color="000000" w:fill="FFFFFF"/>
            <w:noWrap/>
            <w:vAlign w:val="center"/>
            <w:hideMark/>
          </w:tcPr>
          <w:p w14:paraId="37DBCD9A"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5.665.026</w:t>
            </w:r>
          </w:p>
        </w:tc>
        <w:tc>
          <w:tcPr>
            <w:tcW w:w="625" w:type="pct"/>
            <w:tcBorders>
              <w:top w:val="nil"/>
              <w:left w:val="nil"/>
              <w:bottom w:val="single" w:sz="8" w:space="0" w:color="auto"/>
              <w:right w:val="single" w:sz="8" w:space="0" w:color="auto"/>
            </w:tcBorders>
            <w:shd w:val="clear" w:color="000000" w:fill="FFFFFF"/>
            <w:noWrap/>
            <w:vAlign w:val="center"/>
            <w:hideMark/>
          </w:tcPr>
          <w:p w14:paraId="066B6776"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12.664.022</w:t>
            </w:r>
          </w:p>
        </w:tc>
      </w:tr>
      <w:tr w:rsidR="002161EC" w:rsidRPr="002161EC" w14:paraId="1AB6ECF9"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287B5EB5"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ΘΕΣΣΑΛΙΑΣ</w:t>
            </w:r>
          </w:p>
        </w:tc>
        <w:tc>
          <w:tcPr>
            <w:tcW w:w="645" w:type="pct"/>
            <w:tcBorders>
              <w:top w:val="nil"/>
              <w:left w:val="nil"/>
              <w:bottom w:val="single" w:sz="8" w:space="0" w:color="auto"/>
              <w:right w:val="single" w:sz="8" w:space="0" w:color="auto"/>
            </w:tcBorders>
            <w:shd w:val="clear" w:color="auto" w:fill="auto"/>
            <w:noWrap/>
            <w:vAlign w:val="center"/>
            <w:hideMark/>
          </w:tcPr>
          <w:p w14:paraId="1FED175A"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3.031</w:t>
            </w:r>
          </w:p>
        </w:tc>
        <w:tc>
          <w:tcPr>
            <w:tcW w:w="616" w:type="pct"/>
            <w:vMerge/>
            <w:tcBorders>
              <w:top w:val="nil"/>
              <w:left w:val="single" w:sz="8" w:space="0" w:color="auto"/>
              <w:bottom w:val="single" w:sz="8" w:space="0" w:color="000000"/>
              <w:right w:val="single" w:sz="8" w:space="0" w:color="auto"/>
            </w:tcBorders>
            <w:vAlign w:val="center"/>
            <w:hideMark/>
          </w:tcPr>
          <w:p w14:paraId="65A5AA1D" w14:textId="77777777" w:rsidR="002161EC" w:rsidRPr="002161EC" w:rsidRDefault="002161EC" w:rsidP="00B87363">
            <w:pPr>
              <w:autoSpaceDE/>
              <w:autoSpaceDN/>
              <w:adjustRightInd/>
              <w:spacing w:before="0" w:after="0" w:line="240" w:lineRule="auto"/>
              <w:jc w:val="left"/>
              <w:rPr>
                <w:rFonts w:eastAsia="Times New Roman"/>
                <w:color w:val="000000"/>
                <w:sz w:val="18"/>
                <w:szCs w:val="18"/>
                <w:lang w:eastAsia="el-GR"/>
              </w:rPr>
            </w:pPr>
          </w:p>
        </w:tc>
        <w:tc>
          <w:tcPr>
            <w:tcW w:w="667" w:type="pct"/>
            <w:tcBorders>
              <w:top w:val="nil"/>
              <w:left w:val="nil"/>
              <w:bottom w:val="single" w:sz="8" w:space="0" w:color="auto"/>
              <w:right w:val="single" w:sz="8" w:space="0" w:color="auto"/>
            </w:tcBorders>
            <w:shd w:val="clear" w:color="000000" w:fill="FFFFFF"/>
            <w:noWrap/>
            <w:vAlign w:val="center"/>
            <w:hideMark/>
          </w:tcPr>
          <w:p w14:paraId="1F7C133F"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6.020.374</w:t>
            </w:r>
          </w:p>
        </w:tc>
        <w:tc>
          <w:tcPr>
            <w:tcW w:w="625" w:type="pct"/>
            <w:tcBorders>
              <w:top w:val="nil"/>
              <w:left w:val="nil"/>
              <w:bottom w:val="single" w:sz="8" w:space="0" w:color="auto"/>
              <w:right w:val="single" w:sz="8" w:space="0" w:color="auto"/>
            </w:tcBorders>
            <w:shd w:val="clear" w:color="000000" w:fill="FFFFFF"/>
            <w:noWrap/>
            <w:vAlign w:val="center"/>
            <w:hideMark/>
          </w:tcPr>
          <w:p w14:paraId="75FB2343"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16.339.568</w:t>
            </w:r>
          </w:p>
        </w:tc>
        <w:tc>
          <w:tcPr>
            <w:tcW w:w="728" w:type="pct"/>
            <w:tcBorders>
              <w:top w:val="nil"/>
              <w:left w:val="nil"/>
              <w:bottom w:val="single" w:sz="8" w:space="0" w:color="auto"/>
              <w:right w:val="single" w:sz="8" w:space="0" w:color="auto"/>
            </w:tcBorders>
            <w:shd w:val="clear" w:color="000000" w:fill="FFFFFF"/>
            <w:noWrap/>
            <w:vAlign w:val="center"/>
            <w:hideMark/>
          </w:tcPr>
          <w:p w14:paraId="3E84B734"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11.082.974</w:t>
            </w:r>
          </w:p>
        </w:tc>
        <w:tc>
          <w:tcPr>
            <w:tcW w:w="625" w:type="pct"/>
            <w:tcBorders>
              <w:top w:val="nil"/>
              <w:left w:val="nil"/>
              <w:bottom w:val="single" w:sz="8" w:space="0" w:color="auto"/>
              <w:right w:val="single" w:sz="8" w:space="0" w:color="auto"/>
            </w:tcBorders>
            <w:shd w:val="clear" w:color="000000" w:fill="FFFFFF"/>
            <w:noWrap/>
            <w:vAlign w:val="center"/>
            <w:hideMark/>
          </w:tcPr>
          <w:p w14:paraId="04751518"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33.442.917</w:t>
            </w:r>
          </w:p>
        </w:tc>
      </w:tr>
      <w:tr w:rsidR="002161EC" w:rsidRPr="002161EC" w14:paraId="5F4FF54A"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76ADC939"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 xml:space="preserve">ΔΥΤΙΚΗΣ ΕΛΛΑΔΑΣ </w:t>
            </w:r>
          </w:p>
        </w:tc>
        <w:tc>
          <w:tcPr>
            <w:tcW w:w="645" w:type="pct"/>
            <w:tcBorders>
              <w:top w:val="nil"/>
              <w:left w:val="nil"/>
              <w:bottom w:val="single" w:sz="8" w:space="0" w:color="auto"/>
              <w:right w:val="single" w:sz="8" w:space="0" w:color="auto"/>
            </w:tcBorders>
            <w:shd w:val="clear" w:color="auto" w:fill="auto"/>
            <w:noWrap/>
            <w:vAlign w:val="center"/>
            <w:hideMark/>
          </w:tcPr>
          <w:p w14:paraId="040D7577"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1.488</w:t>
            </w:r>
          </w:p>
        </w:tc>
        <w:tc>
          <w:tcPr>
            <w:tcW w:w="616" w:type="pct"/>
            <w:vMerge/>
            <w:tcBorders>
              <w:top w:val="nil"/>
              <w:left w:val="single" w:sz="8" w:space="0" w:color="auto"/>
              <w:bottom w:val="single" w:sz="8" w:space="0" w:color="000000"/>
              <w:right w:val="single" w:sz="8" w:space="0" w:color="auto"/>
            </w:tcBorders>
            <w:vAlign w:val="center"/>
            <w:hideMark/>
          </w:tcPr>
          <w:p w14:paraId="135FFD1F" w14:textId="77777777" w:rsidR="002161EC" w:rsidRPr="002161EC" w:rsidRDefault="002161EC" w:rsidP="00B87363">
            <w:pPr>
              <w:autoSpaceDE/>
              <w:autoSpaceDN/>
              <w:adjustRightInd/>
              <w:spacing w:before="0" w:after="0" w:line="240" w:lineRule="auto"/>
              <w:jc w:val="left"/>
              <w:rPr>
                <w:rFonts w:eastAsia="Times New Roman"/>
                <w:color w:val="000000"/>
                <w:sz w:val="18"/>
                <w:szCs w:val="18"/>
                <w:lang w:eastAsia="el-GR"/>
              </w:rPr>
            </w:pPr>
          </w:p>
        </w:tc>
        <w:tc>
          <w:tcPr>
            <w:tcW w:w="667" w:type="pct"/>
            <w:tcBorders>
              <w:top w:val="nil"/>
              <w:left w:val="nil"/>
              <w:bottom w:val="single" w:sz="8" w:space="0" w:color="auto"/>
              <w:right w:val="single" w:sz="8" w:space="0" w:color="auto"/>
            </w:tcBorders>
            <w:shd w:val="clear" w:color="000000" w:fill="FFFFFF"/>
            <w:noWrap/>
            <w:vAlign w:val="center"/>
            <w:hideMark/>
          </w:tcPr>
          <w:p w14:paraId="647E4C27"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0</w:t>
            </w:r>
          </w:p>
        </w:tc>
        <w:tc>
          <w:tcPr>
            <w:tcW w:w="625" w:type="pct"/>
            <w:tcBorders>
              <w:top w:val="nil"/>
              <w:left w:val="nil"/>
              <w:bottom w:val="single" w:sz="8" w:space="0" w:color="auto"/>
              <w:right w:val="single" w:sz="8" w:space="0" w:color="auto"/>
            </w:tcBorders>
            <w:shd w:val="clear" w:color="000000" w:fill="FFFFFF"/>
            <w:noWrap/>
            <w:vAlign w:val="center"/>
            <w:hideMark/>
          </w:tcPr>
          <w:p w14:paraId="5C3C4F5B"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9.983.362</w:t>
            </w:r>
          </w:p>
        </w:tc>
        <w:tc>
          <w:tcPr>
            <w:tcW w:w="728" w:type="pct"/>
            <w:tcBorders>
              <w:top w:val="nil"/>
              <w:left w:val="nil"/>
              <w:bottom w:val="single" w:sz="8" w:space="0" w:color="auto"/>
              <w:right w:val="single" w:sz="8" w:space="0" w:color="auto"/>
            </w:tcBorders>
            <w:shd w:val="clear" w:color="000000" w:fill="FFFFFF"/>
            <w:noWrap/>
            <w:vAlign w:val="center"/>
            <w:hideMark/>
          </w:tcPr>
          <w:p w14:paraId="10BD3213"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6.944.522</w:t>
            </w:r>
          </w:p>
        </w:tc>
        <w:tc>
          <w:tcPr>
            <w:tcW w:w="625" w:type="pct"/>
            <w:tcBorders>
              <w:top w:val="nil"/>
              <w:left w:val="nil"/>
              <w:bottom w:val="single" w:sz="8" w:space="0" w:color="auto"/>
              <w:right w:val="single" w:sz="8" w:space="0" w:color="auto"/>
            </w:tcBorders>
            <w:shd w:val="clear" w:color="000000" w:fill="FFFFFF"/>
            <w:noWrap/>
            <w:vAlign w:val="center"/>
            <w:hideMark/>
          </w:tcPr>
          <w:p w14:paraId="4536B87A"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16.927.884</w:t>
            </w:r>
          </w:p>
        </w:tc>
      </w:tr>
      <w:tr w:rsidR="002161EC" w:rsidRPr="002161EC" w14:paraId="20ACF7C2"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1981F0FA"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ΑΤΤΙΚΗΣ</w:t>
            </w:r>
          </w:p>
        </w:tc>
        <w:tc>
          <w:tcPr>
            <w:tcW w:w="645" w:type="pct"/>
            <w:tcBorders>
              <w:top w:val="nil"/>
              <w:left w:val="nil"/>
              <w:bottom w:val="single" w:sz="8" w:space="0" w:color="auto"/>
              <w:right w:val="single" w:sz="8" w:space="0" w:color="auto"/>
            </w:tcBorders>
            <w:shd w:val="clear" w:color="auto" w:fill="auto"/>
            <w:noWrap/>
            <w:vAlign w:val="center"/>
            <w:hideMark/>
          </w:tcPr>
          <w:p w14:paraId="2906592D"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5.345</w:t>
            </w:r>
          </w:p>
        </w:tc>
        <w:tc>
          <w:tcPr>
            <w:tcW w:w="616" w:type="pct"/>
            <w:tcBorders>
              <w:top w:val="nil"/>
              <w:left w:val="nil"/>
              <w:bottom w:val="single" w:sz="8" w:space="0" w:color="auto"/>
              <w:right w:val="single" w:sz="8" w:space="0" w:color="auto"/>
            </w:tcBorders>
            <w:shd w:val="clear" w:color="auto" w:fill="auto"/>
            <w:noWrap/>
            <w:vAlign w:val="center"/>
            <w:hideMark/>
          </w:tcPr>
          <w:p w14:paraId="7397C938"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10.343.232</w:t>
            </w:r>
          </w:p>
        </w:tc>
        <w:tc>
          <w:tcPr>
            <w:tcW w:w="667" w:type="pct"/>
            <w:tcBorders>
              <w:top w:val="nil"/>
              <w:left w:val="nil"/>
              <w:bottom w:val="single" w:sz="8" w:space="0" w:color="auto"/>
              <w:right w:val="single" w:sz="8" w:space="0" w:color="auto"/>
            </w:tcBorders>
            <w:shd w:val="clear" w:color="auto" w:fill="auto"/>
            <w:noWrap/>
            <w:vAlign w:val="center"/>
            <w:hideMark/>
          </w:tcPr>
          <w:p w14:paraId="210F5A30"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188.724</w:t>
            </w:r>
          </w:p>
        </w:tc>
        <w:tc>
          <w:tcPr>
            <w:tcW w:w="625" w:type="pct"/>
            <w:tcBorders>
              <w:top w:val="nil"/>
              <w:left w:val="nil"/>
              <w:bottom w:val="single" w:sz="8" w:space="0" w:color="auto"/>
              <w:right w:val="single" w:sz="8" w:space="0" w:color="auto"/>
            </w:tcBorders>
            <w:shd w:val="clear" w:color="auto" w:fill="auto"/>
            <w:noWrap/>
            <w:vAlign w:val="center"/>
            <w:hideMark/>
          </w:tcPr>
          <w:p w14:paraId="6503AC31"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33.027.971</w:t>
            </w:r>
          </w:p>
        </w:tc>
        <w:tc>
          <w:tcPr>
            <w:tcW w:w="728" w:type="pct"/>
            <w:tcBorders>
              <w:top w:val="nil"/>
              <w:left w:val="nil"/>
              <w:bottom w:val="single" w:sz="8" w:space="0" w:color="auto"/>
              <w:right w:val="single" w:sz="8" w:space="0" w:color="auto"/>
            </w:tcBorders>
            <w:shd w:val="clear" w:color="auto" w:fill="auto"/>
            <w:noWrap/>
            <w:vAlign w:val="center"/>
            <w:hideMark/>
          </w:tcPr>
          <w:p w14:paraId="58F1BBF3"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15.004.284</w:t>
            </w:r>
          </w:p>
        </w:tc>
        <w:tc>
          <w:tcPr>
            <w:tcW w:w="625" w:type="pct"/>
            <w:tcBorders>
              <w:top w:val="nil"/>
              <w:left w:val="nil"/>
              <w:bottom w:val="single" w:sz="8" w:space="0" w:color="auto"/>
              <w:right w:val="single" w:sz="8" w:space="0" w:color="auto"/>
            </w:tcBorders>
            <w:shd w:val="clear" w:color="auto" w:fill="auto"/>
            <w:noWrap/>
            <w:vAlign w:val="center"/>
            <w:hideMark/>
          </w:tcPr>
          <w:p w14:paraId="4CC4458C"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48.220.979</w:t>
            </w:r>
          </w:p>
        </w:tc>
      </w:tr>
      <w:tr w:rsidR="002161EC" w:rsidRPr="002161EC" w14:paraId="428C012B"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26A99689"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ΝΟΤΙΟΥ ΑΙΓΑΙΟΥ</w:t>
            </w:r>
          </w:p>
        </w:tc>
        <w:tc>
          <w:tcPr>
            <w:tcW w:w="645" w:type="pct"/>
            <w:tcBorders>
              <w:top w:val="nil"/>
              <w:left w:val="nil"/>
              <w:bottom w:val="single" w:sz="8" w:space="0" w:color="auto"/>
              <w:right w:val="single" w:sz="8" w:space="0" w:color="auto"/>
            </w:tcBorders>
            <w:shd w:val="clear" w:color="auto" w:fill="auto"/>
            <w:noWrap/>
            <w:vAlign w:val="center"/>
            <w:hideMark/>
          </w:tcPr>
          <w:p w14:paraId="5300BD11"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772</w:t>
            </w:r>
          </w:p>
        </w:tc>
        <w:tc>
          <w:tcPr>
            <w:tcW w:w="616" w:type="pct"/>
            <w:tcBorders>
              <w:top w:val="nil"/>
              <w:left w:val="nil"/>
              <w:bottom w:val="single" w:sz="8" w:space="0" w:color="auto"/>
              <w:right w:val="single" w:sz="8" w:space="0" w:color="auto"/>
            </w:tcBorders>
            <w:shd w:val="clear" w:color="auto" w:fill="auto"/>
            <w:noWrap/>
            <w:vAlign w:val="center"/>
            <w:hideMark/>
          </w:tcPr>
          <w:p w14:paraId="5E6210F6"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1.569.915</w:t>
            </w:r>
          </w:p>
        </w:tc>
        <w:tc>
          <w:tcPr>
            <w:tcW w:w="667" w:type="pct"/>
            <w:tcBorders>
              <w:top w:val="nil"/>
              <w:left w:val="nil"/>
              <w:bottom w:val="single" w:sz="8" w:space="0" w:color="auto"/>
              <w:right w:val="single" w:sz="8" w:space="0" w:color="auto"/>
            </w:tcBorders>
            <w:shd w:val="clear" w:color="auto" w:fill="auto"/>
            <w:noWrap/>
            <w:vAlign w:val="center"/>
            <w:hideMark/>
          </w:tcPr>
          <w:p w14:paraId="73319AC2"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127.946.450</w:t>
            </w:r>
          </w:p>
        </w:tc>
        <w:tc>
          <w:tcPr>
            <w:tcW w:w="625" w:type="pct"/>
            <w:tcBorders>
              <w:top w:val="nil"/>
              <w:left w:val="nil"/>
              <w:bottom w:val="single" w:sz="8" w:space="0" w:color="auto"/>
              <w:right w:val="single" w:sz="8" w:space="0" w:color="auto"/>
            </w:tcBorders>
            <w:shd w:val="clear" w:color="auto" w:fill="auto"/>
            <w:noWrap/>
            <w:vAlign w:val="center"/>
            <w:hideMark/>
          </w:tcPr>
          <w:p w14:paraId="510B0C2C"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4.976.928</w:t>
            </w:r>
          </w:p>
        </w:tc>
        <w:tc>
          <w:tcPr>
            <w:tcW w:w="728" w:type="pct"/>
            <w:tcBorders>
              <w:top w:val="nil"/>
              <w:left w:val="nil"/>
              <w:bottom w:val="single" w:sz="8" w:space="0" w:color="auto"/>
              <w:right w:val="single" w:sz="8" w:space="0" w:color="auto"/>
            </w:tcBorders>
            <w:shd w:val="clear" w:color="auto" w:fill="auto"/>
            <w:noWrap/>
            <w:vAlign w:val="center"/>
            <w:hideMark/>
          </w:tcPr>
          <w:p w14:paraId="2FDECC07"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1.338.907,80</w:t>
            </w:r>
          </w:p>
        </w:tc>
        <w:tc>
          <w:tcPr>
            <w:tcW w:w="625" w:type="pct"/>
            <w:tcBorders>
              <w:top w:val="nil"/>
              <w:left w:val="nil"/>
              <w:bottom w:val="single" w:sz="8" w:space="0" w:color="auto"/>
              <w:right w:val="single" w:sz="8" w:space="0" w:color="auto"/>
            </w:tcBorders>
            <w:shd w:val="clear" w:color="auto" w:fill="auto"/>
            <w:noWrap/>
            <w:vAlign w:val="center"/>
            <w:hideMark/>
          </w:tcPr>
          <w:p w14:paraId="1145EC6E"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7.595.299</w:t>
            </w:r>
          </w:p>
        </w:tc>
      </w:tr>
      <w:tr w:rsidR="002161EC" w:rsidRPr="002161EC" w14:paraId="5D28F76F"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101593DC"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ΣΤΕΡΕΑΣ ΕΛΛΑΔΑΣ</w:t>
            </w:r>
          </w:p>
        </w:tc>
        <w:tc>
          <w:tcPr>
            <w:tcW w:w="645" w:type="pct"/>
            <w:tcBorders>
              <w:top w:val="nil"/>
              <w:left w:val="nil"/>
              <w:bottom w:val="single" w:sz="8" w:space="0" w:color="auto"/>
              <w:right w:val="single" w:sz="8" w:space="0" w:color="auto"/>
            </w:tcBorders>
            <w:shd w:val="clear" w:color="auto" w:fill="auto"/>
            <w:noWrap/>
            <w:vAlign w:val="center"/>
            <w:hideMark/>
          </w:tcPr>
          <w:p w14:paraId="26D60C1B"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1.053</w:t>
            </w:r>
          </w:p>
        </w:tc>
        <w:tc>
          <w:tcPr>
            <w:tcW w:w="616" w:type="pct"/>
            <w:tcBorders>
              <w:top w:val="nil"/>
              <w:left w:val="nil"/>
              <w:bottom w:val="single" w:sz="8" w:space="0" w:color="auto"/>
              <w:right w:val="single" w:sz="8" w:space="0" w:color="auto"/>
            </w:tcBorders>
            <w:shd w:val="clear" w:color="auto" w:fill="auto"/>
            <w:noWrap/>
            <w:vAlign w:val="center"/>
            <w:hideMark/>
          </w:tcPr>
          <w:p w14:paraId="7C9B2F96"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2.311.386</w:t>
            </w:r>
          </w:p>
        </w:tc>
        <w:tc>
          <w:tcPr>
            <w:tcW w:w="667" w:type="pct"/>
            <w:tcBorders>
              <w:top w:val="nil"/>
              <w:left w:val="nil"/>
              <w:bottom w:val="single" w:sz="8" w:space="0" w:color="auto"/>
              <w:right w:val="single" w:sz="8" w:space="0" w:color="auto"/>
            </w:tcBorders>
            <w:shd w:val="clear" w:color="auto" w:fill="auto"/>
            <w:noWrap/>
            <w:vAlign w:val="center"/>
            <w:hideMark/>
          </w:tcPr>
          <w:p w14:paraId="687D8E24"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1.400.386</w:t>
            </w:r>
          </w:p>
        </w:tc>
        <w:tc>
          <w:tcPr>
            <w:tcW w:w="625" w:type="pct"/>
            <w:tcBorders>
              <w:top w:val="nil"/>
              <w:left w:val="nil"/>
              <w:bottom w:val="single" w:sz="8" w:space="0" w:color="auto"/>
              <w:right w:val="single" w:sz="8" w:space="0" w:color="auto"/>
            </w:tcBorders>
            <w:shd w:val="clear" w:color="auto" w:fill="auto"/>
            <w:noWrap/>
            <w:vAlign w:val="center"/>
            <w:hideMark/>
          </w:tcPr>
          <w:p w14:paraId="33C2F6A3"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5.795.641</w:t>
            </w:r>
          </w:p>
        </w:tc>
        <w:tc>
          <w:tcPr>
            <w:tcW w:w="728" w:type="pct"/>
            <w:tcBorders>
              <w:top w:val="nil"/>
              <w:left w:val="nil"/>
              <w:bottom w:val="single" w:sz="8" w:space="0" w:color="auto"/>
              <w:right w:val="single" w:sz="8" w:space="0" w:color="auto"/>
            </w:tcBorders>
            <w:shd w:val="clear" w:color="auto" w:fill="auto"/>
            <w:noWrap/>
            <w:vAlign w:val="center"/>
            <w:hideMark/>
          </w:tcPr>
          <w:p w14:paraId="597C92D8"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4.189.734</w:t>
            </w:r>
          </w:p>
        </w:tc>
        <w:tc>
          <w:tcPr>
            <w:tcW w:w="625" w:type="pct"/>
            <w:tcBorders>
              <w:top w:val="nil"/>
              <w:left w:val="nil"/>
              <w:bottom w:val="single" w:sz="8" w:space="0" w:color="auto"/>
              <w:right w:val="single" w:sz="8" w:space="0" w:color="auto"/>
            </w:tcBorders>
            <w:shd w:val="clear" w:color="auto" w:fill="auto"/>
            <w:noWrap/>
            <w:vAlign w:val="center"/>
            <w:hideMark/>
          </w:tcPr>
          <w:p w14:paraId="1B1A5B30"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11.385.761</w:t>
            </w:r>
          </w:p>
        </w:tc>
      </w:tr>
      <w:tr w:rsidR="002161EC" w:rsidRPr="002161EC" w14:paraId="2E01CB16"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07A9439B"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ΔΥΤΙΚΗΣ ΜΑΚΕΔΟΝΙΑΣ</w:t>
            </w:r>
          </w:p>
        </w:tc>
        <w:tc>
          <w:tcPr>
            <w:tcW w:w="645" w:type="pct"/>
            <w:tcBorders>
              <w:top w:val="nil"/>
              <w:left w:val="nil"/>
              <w:bottom w:val="single" w:sz="8" w:space="0" w:color="auto"/>
              <w:right w:val="single" w:sz="8" w:space="0" w:color="auto"/>
            </w:tcBorders>
            <w:shd w:val="clear" w:color="auto" w:fill="auto"/>
            <w:noWrap/>
            <w:vAlign w:val="center"/>
            <w:hideMark/>
          </w:tcPr>
          <w:p w14:paraId="03934277"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893</w:t>
            </w:r>
          </w:p>
        </w:tc>
        <w:tc>
          <w:tcPr>
            <w:tcW w:w="61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36988B3"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9.446.758</w:t>
            </w:r>
          </w:p>
        </w:tc>
        <w:tc>
          <w:tcPr>
            <w:tcW w:w="667" w:type="pct"/>
            <w:tcBorders>
              <w:top w:val="nil"/>
              <w:left w:val="nil"/>
              <w:bottom w:val="single" w:sz="8" w:space="0" w:color="auto"/>
              <w:right w:val="single" w:sz="8" w:space="0" w:color="auto"/>
            </w:tcBorders>
            <w:shd w:val="clear" w:color="auto" w:fill="auto"/>
            <w:noWrap/>
            <w:vAlign w:val="center"/>
            <w:hideMark/>
          </w:tcPr>
          <w:p w14:paraId="42AE2114"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4.498.571</w:t>
            </w:r>
          </w:p>
        </w:tc>
        <w:tc>
          <w:tcPr>
            <w:tcW w:w="625" w:type="pct"/>
            <w:tcBorders>
              <w:top w:val="nil"/>
              <w:left w:val="nil"/>
              <w:bottom w:val="single" w:sz="8" w:space="0" w:color="auto"/>
              <w:right w:val="single" w:sz="8" w:space="0" w:color="auto"/>
            </w:tcBorders>
            <w:shd w:val="clear" w:color="auto" w:fill="auto"/>
            <w:noWrap/>
            <w:vAlign w:val="center"/>
            <w:hideMark/>
          </w:tcPr>
          <w:p w14:paraId="2D37E53E"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2.599.517</w:t>
            </w:r>
          </w:p>
        </w:tc>
        <w:tc>
          <w:tcPr>
            <w:tcW w:w="728" w:type="pct"/>
            <w:tcBorders>
              <w:top w:val="nil"/>
              <w:left w:val="nil"/>
              <w:bottom w:val="single" w:sz="8" w:space="0" w:color="auto"/>
              <w:right w:val="single" w:sz="8" w:space="0" w:color="auto"/>
            </w:tcBorders>
            <w:shd w:val="clear" w:color="auto" w:fill="auto"/>
            <w:noWrap/>
            <w:vAlign w:val="center"/>
            <w:hideMark/>
          </w:tcPr>
          <w:p w14:paraId="5462415B"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3.208.778</w:t>
            </w:r>
          </w:p>
        </w:tc>
        <w:tc>
          <w:tcPr>
            <w:tcW w:w="625" w:type="pct"/>
            <w:tcBorders>
              <w:top w:val="nil"/>
              <w:left w:val="nil"/>
              <w:bottom w:val="single" w:sz="8" w:space="0" w:color="auto"/>
              <w:right w:val="single" w:sz="8" w:space="0" w:color="auto"/>
            </w:tcBorders>
            <w:shd w:val="clear" w:color="auto" w:fill="auto"/>
            <w:noWrap/>
            <w:vAlign w:val="center"/>
            <w:hideMark/>
          </w:tcPr>
          <w:p w14:paraId="587224FC"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10.306.866</w:t>
            </w:r>
          </w:p>
        </w:tc>
      </w:tr>
      <w:tr w:rsidR="002161EC" w:rsidRPr="002161EC" w14:paraId="17A9C06B"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15D8E848"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ΠΕΛΟΠΟΝΝΗΣΟΥ</w:t>
            </w:r>
          </w:p>
        </w:tc>
        <w:tc>
          <w:tcPr>
            <w:tcW w:w="645" w:type="pct"/>
            <w:tcBorders>
              <w:top w:val="nil"/>
              <w:left w:val="nil"/>
              <w:bottom w:val="single" w:sz="8" w:space="0" w:color="auto"/>
              <w:right w:val="single" w:sz="8" w:space="0" w:color="auto"/>
            </w:tcBorders>
            <w:shd w:val="clear" w:color="auto" w:fill="auto"/>
            <w:noWrap/>
            <w:vAlign w:val="center"/>
            <w:hideMark/>
          </w:tcPr>
          <w:p w14:paraId="3D53CB1A"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886</w:t>
            </w:r>
          </w:p>
        </w:tc>
        <w:tc>
          <w:tcPr>
            <w:tcW w:w="616" w:type="pct"/>
            <w:vMerge/>
            <w:tcBorders>
              <w:top w:val="nil"/>
              <w:left w:val="single" w:sz="8" w:space="0" w:color="auto"/>
              <w:bottom w:val="single" w:sz="8" w:space="0" w:color="000000"/>
              <w:right w:val="single" w:sz="8" w:space="0" w:color="auto"/>
            </w:tcBorders>
            <w:vAlign w:val="center"/>
            <w:hideMark/>
          </w:tcPr>
          <w:p w14:paraId="52A38015" w14:textId="77777777" w:rsidR="002161EC" w:rsidRPr="002161EC" w:rsidRDefault="002161EC" w:rsidP="00B87363">
            <w:pPr>
              <w:autoSpaceDE/>
              <w:autoSpaceDN/>
              <w:adjustRightInd/>
              <w:spacing w:before="0" w:after="0" w:line="240" w:lineRule="auto"/>
              <w:jc w:val="left"/>
              <w:rPr>
                <w:rFonts w:eastAsia="Times New Roman"/>
                <w:color w:val="000000"/>
                <w:sz w:val="18"/>
                <w:szCs w:val="18"/>
                <w:lang w:eastAsia="el-GR"/>
              </w:rPr>
            </w:pPr>
          </w:p>
        </w:tc>
        <w:tc>
          <w:tcPr>
            <w:tcW w:w="667" w:type="pct"/>
            <w:tcBorders>
              <w:top w:val="nil"/>
              <w:left w:val="nil"/>
              <w:bottom w:val="single" w:sz="8" w:space="0" w:color="auto"/>
              <w:right w:val="single" w:sz="8" w:space="0" w:color="auto"/>
            </w:tcBorders>
            <w:shd w:val="clear" w:color="auto" w:fill="auto"/>
            <w:noWrap/>
            <w:vAlign w:val="center"/>
            <w:hideMark/>
          </w:tcPr>
          <w:p w14:paraId="65758516"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230.274</w:t>
            </w:r>
          </w:p>
        </w:tc>
        <w:tc>
          <w:tcPr>
            <w:tcW w:w="625" w:type="pct"/>
            <w:tcBorders>
              <w:top w:val="nil"/>
              <w:left w:val="nil"/>
              <w:bottom w:val="single" w:sz="8" w:space="0" w:color="auto"/>
              <w:right w:val="single" w:sz="8" w:space="0" w:color="auto"/>
            </w:tcBorders>
            <w:shd w:val="clear" w:color="auto" w:fill="auto"/>
            <w:noWrap/>
            <w:vAlign w:val="center"/>
            <w:hideMark/>
          </w:tcPr>
          <w:p w14:paraId="687F8690"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57.413.189</w:t>
            </w:r>
          </w:p>
        </w:tc>
        <w:tc>
          <w:tcPr>
            <w:tcW w:w="728" w:type="pct"/>
            <w:tcBorders>
              <w:top w:val="nil"/>
              <w:left w:val="nil"/>
              <w:bottom w:val="single" w:sz="8" w:space="0" w:color="auto"/>
              <w:right w:val="single" w:sz="8" w:space="0" w:color="auto"/>
            </w:tcBorders>
            <w:shd w:val="clear" w:color="auto" w:fill="auto"/>
            <w:noWrap/>
            <w:vAlign w:val="center"/>
            <w:hideMark/>
          </w:tcPr>
          <w:p w14:paraId="7F5A3FE4"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4.026.861</w:t>
            </w:r>
          </w:p>
        </w:tc>
        <w:tc>
          <w:tcPr>
            <w:tcW w:w="625" w:type="pct"/>
            <w:tcBorders>
              <w:top w:val="nil"/>
              <w:left w:val="nil"/>
              <w:bottom w:val="single" w:sz="8" w:space="0" w:color="auto"/>
              <w:right w:val="single" w:sz="8" w:space="0" w:color="auto"/>
            </w:tcBorders>
            <w:shd w:val="clear" w:color="auto" w:fill="auto"/>
            <w:noWrap/>
            <w:vAlign w:val="center"/>
            <w:hideMark/>
          </w:tcPr>
          <w:p w14:paraId="4451F827"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9.998.454</w:t>
            </w:r>
          </w:p>
        </w:tc>
      </w:tr>
      <w:tr w:rsidR="002161EC" w:rsidRPr="002161EC" w14:paraId="5C83998F"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664790F3"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Pr>
                <w:rFonts w:eastAsia="Times New Roman"/>
                <w:sz w:val="18"/>
                <w:szCs w:val="18"/>
                <w:lang w:eastAsia="el-GR"/>
              </w:rPr>
              <w:t>ΙΟΝΙΩΝ ΝΗΣΩΝ</w:t>
            </w:r>
          </w:p>
        </w:tc>
        <w:tc>
          <w:tcPr>
            <w:tcW w:w="645" w:type="pct"/>
            <w:tcBorders>
              <w:top w:val="nil"/>
              <w:left w:val="nil"/>
              <w:bottom w:val="single" w:sz="8" w:space="0" w:color="auto"/>
              <w:right w:val="single" w:sz="8" w:space="0" w:color="auto"/>
            </w:tcBorders>
            <w:shd w:val="clear" w:color="auto" w:fill="auto"/>
            <w:noWrap/>
            <w:vAlign w:val="center"/>
            <w:hideMark/>
          </w:tcPr>
          <w:p w14:paraId="6290B070"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Pr>
                <w:rFonts w:eastAsia="Times New Roman"/>
                <w:color w:val="000000"/>
                <w:sz w:val="18"/>
                <w:szCs w:val="18"/>
                <w:lang w:eastAsia="el-GR"/>
              </w:rPr>
              <w:t>540</w:t>
            </w:r>
          </w:p>
        </w:tc>
        <w:tc>
          <w:tcPr>
            <w:tcW w:w="616" w:type="pct"/>
            <w:vMerge/>
            <w:tcBorders>
              <w:top w:val="nil"/>
              <w:left w:val="single" w:sz="8" w:space="0" w:color="auto"/>
              <w:bottom w:val="single" w:sz="8" w:space="0" w:color="000000"/>
              <w:right w:val="single" w:sz="8" w:space="0" w:color="auto"/>
            </w:tcBorders>
            <w:vAlign w:val="center"/>
            <w:hideMark/>
          </w:tcPr>
          <w:p w14:paraId="63CDA3AF" w14:textId="77777777" w:rsidR="002161EC" w:rsidRPr="002161EC" w:rsidRDefault="002161EC" w:rsidP="00B87363">
            <w:pPr>
              <w:autoSpaceDE/>
              <w:autoSpaceDN/>
              <w:adjustRightInd/>
              <w:spacing w:before="0" w:after="0" w:line="240" w:lineRule="auto"/>
              <w:jc w:val="left"/>
              <w:rPr>
                <w:rFonts w:eastAsia="Times New Roman"/>
                <w:color w:val="000000"/>
                <w:sz w:val="18"/>
                <w:szCs w:val="18"/>
                <w:lang w:eastAsia="el-GR"/>
              </w:rPr>
            </w:pPr>
          </w:p>
        </w:tc>
        <w:tc>
          <w:tcPr>
            <w:tcW w:w="667" w:type="pct"/>
            <w:tcBorders>
              <w:top w:val="nil"/>
              <w:left w:val="nil"/>
              <w:bottom w:val="single" w:sz="8" w:space="0" w:color="auto"/>
              <w:right w:val="single" w:sz="8" w:space="0" w:color="auto"/>
            </w:tcBorders>
            <w:shd w:val="clear" w:color="auto" w:fill="auto"/>
            <w:noWrap/>
            <w:vAlign w:val="center"/>
            <w:hideMark/>
          </w:tcPr>
          <w:p w14:paraId="630D5919"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1.230.751</w:t>
            </w:r>
          </w:p>
        </w:tc>
        <w:tc>
          <w:tcPr>
            <w:tcW w:w="625" w:type="pct"/>
            <w:tcBorders>
              <w:top w:val="nil"/>
              <w:left w:val="nil"/>
              <w:bottom w:val="single" w:sz="8" w:space="0" w:color="auto"/>
              <w:right w:val="single" w:sz="8" w:space="0" w:color="auto"/>
            </w:tcBorders>
            <w:shd w:val="clear" w:color="auto" w:fill="auto"/>
            <w:noWrap/>
            <w:vAlign w:val="center"/>
            <w:hideMark/>
          </w:tcPr>
          <w:p w14:paraId="121FFCD6"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2.938.882</w:t>
            </w:r>
          </w:p>
        </w:tc>
        <w:tc>
          <w:tcPr>
            <w:tcW w:w="728" w:type="pct"/>
            <w:tcBorders>
              <w:top w:val="nil"/>
              <w:left w:val="nil"/>
              <w:bottom w:val="single" w:sz="8" w:space="0" w:color="auto"/>
              <w:right w:val="single" w:sz="8" w:space="0" w:color="auto"/>
            </w:tcBorders>
            <w:shd w:val="clear" w:color="auto" w:fill="auto"/>
            <w:noWrap/>
            <w:vAlign w:val="center"/>
            <w:hideMark/>
          </w:tcPr>
          <w:p w14:paraId="70334EAB"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1.172.974</w:t>
            </w:r>
          </w:p>
        </w:tc>
        <w:tc>
          <w:tcPr>
            <w:tcW w:w="625" w:type="pct"/>
            <w:tcBorders>
              <w:top w:val="nil"/>
              <w:left w:val="nil"/>
              <w:bottom w:val="single" w:sz="8" w:space="0" w:color="auto"/>
              <w:right w:val="single" w:sz="8" w:space="0" w:color="auto"/>
            </w:tcBorders>
            <w:shd w:val="clear" w:color="auto" w:fill="auto"/>
            <w:noWrap/>
            <w:vAlign w:val="center"/>
            <w:hideMark/>
          </w:tcPr>
          <w:p w14:paraId="7B5DE769"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5.342.607</w:t>
            </w:r>
          </w:p>
        </w:tc>
      </w:tr>
      <w:tr w:rsidR="002161EC" w:rsidRPr="002161EC" w14:paraId="60AAE996"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3FA6EAE0"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ΒΟΡΕΙΟΥ ΑΙΓΑΙΟΥ</w:t>
            </w:r>
          </w:p>
        </w:tc>
        <w:tc>
          <w:tcPr>
            <w:tcW w:w="645" w:type="pct"/>
            <w:tcBorders>
              <w:top w:val="nil"/>
              <w:left w:val="nil"/>
              <w:bottom w:val="single" w:sz="8" w:space="0" w:color="auto"/>
              <w:right w:val="single" w:sz="8" w:space="0" w:color="auto"/>
            </w:tcBorders>
            <w:shd w:val="clear" w:color="auto" w:fill="auto"/>
            <w:noWrap/>
            <w:vAlign w:val="center"/>
            <w:hideMark/>
          </w:tcPr>
          <w:p w14:paraId="018D6ABF"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450</w:t>
            </w:r>
          </w:p>
        </w:tc>
        <w:tc>
          <w:tcPr>
            <w:tcW w:w="616" w:type="pct"/>
            <w:vMerge/>
            <w:tcBorders>
              <w:top w:val="nil"/>
              <w:left w:val="single" w:sz="8" w:space="0" w:color="auto"/>
              <w:bottom w:val="single" w:sz="8" w:space="0" w:color="000000"/>
              <w:right w:val="single" w:sz="8" w:space="0" w:color="auto"/>
            </w:tcBorders>
            <w:vAlign w:val="center"/>
            <w:hideMark/>
          </w:tcPr>
          <w:p w14:paraId="2944CCEC" w14:textId="77777777" w:rsidR="002161EC" w:rsidRPr="002161EC" w:rsidRDefault="002161EC" w:rsidP="00B87363">
            <w:pPr>
              <w:autoSpaceDE/>
              <w:autoSpaceDN/>
              <w:adjustRightInd/>
              <w:spacing w:before="0" w:after="0" w:line="240" w:lineRule="auto"/>
              <w:jc w:val="left"/>
              <w:rPr>
                <w:rFonts w:eastAsia="Times New Roman"/>
                <w:color w:val="000000"/>
                <w:sz w:val="18"/>
                <w:szCs w:val="18"/>
                <w:lang w:eastAsia="el-GR"/>
              </w:rPr>
            </w:pPr>
          </w:p>
        </w:tc>
        <w:tc>
          <w:tcPr>
            <w:tcW w:w="667" w:type="pct"/>
            <w:tcBorders>
              <w:top w:val="nil"/>
              <w:left w:val="nil"/>
              <w:bottom w:val="single" w:sz="8" w:space="0" w:color="auto"/>
              <w:right w:val="single" w:sz="8" w:space="0" w:color="auto"/>
            </w:tcBorders>
            <w:shd w:val="clear" w:color="auto" w:fill="auto"/>
            <w:noWrap/>
            <w:vAlign w:val="center"/>
            <w:hideMark/>
          </w:tcPr>
          <w:p w14:paraId="4F7641AB"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2.410.557</w:t>
            </w:r>
          </w:p>
        </w:tc>
        <w:tc>
          <w:tcPr>
            <w:tcW w:w="625" w:type="pct"/>
            <w:tcBorders>
              <w:top w:val="nil"/>
              <w:left w:val="nil"/>
              <w:bottom w:val="single" w:sz="8" w:space="0" w:color="auto"/>
              <w:right w:val="single" w:sz="8" w:space="0" w:color="auto"/>
            </w:tcBorders>
            <w:shd w:val="clear" w:color="auto" w:fill="auto"/>
            <w:noWrap/>
            <w:vAlign w:val="center"/>
            <w:hideMark/>
          </w:tcPr>
          <w:p w14:paraId="06C20A7D"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1.105.324</w:t>
            </w:r>
          </w:p>
        </w:tc>
        <w:tc>
          <w:tcPr>
            <w:tcW w:w="728" w:type="pct"/>
            <w:tcBorders>
              <w:top w:val="nil"/>
              <w:left w:val="nil"/>
              <w:bottom w:val="single" w:sz="8" w:space="0" w:color="auto"/>
              <w:right w:val="single" w:sz="8" w:space="0" w:color="auto"/>
            </w:tcBorders>
            <w:shd w:val="clear" w:color="auto" w:fill="auto"/>
            <w:noWrap/>
            <w:vAlign w:val="center"/>
            <w:hideMark/>
          </w:tcPr>
          <w:p w14:paraId="5D19129C"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1.355.376</w:t>
            </w:r>
          </w:p>
        </w:tc>
        <w:tc>
          <w:tcPr>
            <w:tcW w:w="625" w:type="pct"/>
            <w:tcBorders>
              <w:top w:val="nil"/>
              <w:left w:val="nil"/>
              <w:bottom w:val="single" w:sz="8" w:space="0" w:color="auto"/>
              <w:right w:val="single" w:sz="8" w:space="0" w:color="auto"/>
            </w:tcBorders>
            <w:shd w:val="clear" w:color="auto" w:fill="auto"/>
            <w:noWrap/>
            <w:vAlign w:val="center"/>
            <w:hideMark/>
          </w:tcPr>
          <w:p w14:paraId="25EBC32A"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4.871.256</w:t>
            </w:r>
          </w:p>
        </w:tc>
      </w:tr>
      <w:tr w:rsidR="002161EC" w:rsidRPr="002161EC" w14:paraId="2857B016"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17D01CB3" w14:textId="77777777" w:rsidR="002161EC" w:rsidRPr="002161EC" w:rsidRDefault="002161EC" w:rsidP="00B87363">
            <w:pPr>
              <w:autoSpaceDE/>
              <w:autoSpaceDN/>
              <w:adjustRightInd/>
              <w:spacing w:before="0" w:after="0" w:line="240" w:lineRule="auto"/>
              <w:jc w:val="left"/>
              <w:rPr>
                <w:rFonts w:eastAsia="Times New Roman"/>
                <w:sz w:val="18"/>
                <w:szCs w:val="18"/>
                <w:lang w:eastAsia="el-GR"/>
              </w:rPr>
            </w:pPr>
            <w:r w:rsidRPr="002161EC">
              <w:rPr>
                <w:rFonts w:eastAsia="Times New Roman"/>
                <w:sz w:val="18"/>
                <w:szCs w:val="18"/>
                <w:lang w:eastAsia="el-GR"/>
              </w:rPr>
              <w:t>ΚΡΗΤΗΣ</w:t>
            </w:r>
          </w:p>
        </w:tc>
        <w:tc>
          <w:tcPr>
            <w:tcW w:w="645" w:type="pct"/>
            <w:tcBorders>
              <w:top w:val="nil"/>
              <w:left w:val="nil"/>
              <w:bottom w:val="single" w:sz="8" w:space="0" w:color="auto"/>
              <w:right w:val="single" w:sz="8" w:space="0" w:color="auto"/>
            </w:tcBorders>
            <w:shd w:val="clear" w:color="auto" w:fill="auto"/>
            <w:noWrap/>
            <w:vAlign w:val="center"/>
            <w:hideMark/>
          </w:tcPr>
          <w:p w14:paraId="25E9C683"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1.126</w:t>
            </w:r>
          </w:p>
        </w:tc>
        <w:tc>
          <w:tcPr>
            <w:tcW w:w="616" w:type="pct"/>
            <w:vMerge/>
            <w:tcBorders>
              <w:top w:val="nil"/>
              <w:left w:val="single" w:sz="8" w:space="0" w:color="auto"/>
              <w:bottom w:val="single" w:sz="8" w:space="0" w:color="000000"/>
              <w:right w:val="single" w:sz="8" w:space="0" w:color="auto"/>
            </w:tcBorders>
            <w:vAlign w:val="center"/>
            <w:hideMark/>
          </w:tcPr>
          <w:p w14:paraId="14714E02" w14:textId="77777777" w:rsidR="002161EC" w:rsidRPr="002161EC" w:rsidRDefault="002161EC" w:rsidP="00B87363">
            <w:pPr>
              <w:autoSpaceDE/>
              <w:autoSpaceDN/>
              <w:adjustRightInd/>
              <w:spacing w:before="0" w:after="0" w:line="240" w:lineRule="auto"/>
              <w:jc w:val="left"/>
              <w:rPr>
                <w:rFonts w:eastAsia="Times New Roman"/>
                <w:color w:val="000000"/>
                <w:sz w:val="18"/>
                <w:szCs w:val="18"/>
                <w:lang w:eastAsia="el-GR"/>
              </w:rPr>
            </w:pPr>
          </w:p>
        </w:tc>
        <w:tc>
          <w:tcPr>
            <w:tcW w:w="667" w:type="pct"/>
            <w:tcBorders>
              <w:top w:val="nil"/>
              <w:left w:val="nil"/>
              <w:bottom w:val="single" w:sz="8" w:space="0" w:color="auto"/>
              <w:right w:val="single" w:sz="8" w:space="0" w:color="auto"/>
            </w:tcBorders>
            <w:shd w:val="clear" w:color="auto" w:fill="auto"/>
            <w:noWrap/>
            <w:vAlign w:val="center"/>
            <w:hideMark/>
          </w:tcPr>
          <w:p w14:paraId="59CA61F7"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1.293.057</w:t>
            </w:r>
          </w:p>
        </w:tc>
        <w:tc>
          <w:tcPr>
            <w:tcW w:w="625" w:type="pct"/>
            <w:tcBorders>
              <w:top w:val="nil"/>
              <w:left w:val="nil"/>
              <w:bottom w:val="single" w:sz="8" w:space="0" w:color="auto"/>
              <w:right w:val="single" w:sz="8" w:space="0" w:color="auto"/>
            </w:tcBorders>
            <w:shd w:val="clear" w:color="auto" w:fill="auto"/>
            <w:noWrap/>
            <w:vAlign w:val="center"/>
            <w:hideMark/>
          </w:tcPr>
          <w:p w14:paraId="441D2642"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7.801.883</w:t>
            </w:r>
          </w:p>
        </w:tc>
        <w:tc>
          <w:tcPr>
            <w:tcW w:w="728" w:type="pct"/>
            <w:tcBorders>
              <w:top w:val="nil"/>
              <w:left w:val="nil"/>
              <w:bottom w:val="single" w:sz="8" w:space="0" w:color="auto"/>
              <w:right w:val="single" w:sz="8" w:space="0" w:color="auto"/>
            </w:tcBorders>
            <w:shd w:val="clear" w:color="auto" w:fill="auto"/>
            <w:noWrap/>
            <w:vAlign w:val="center"/>
            <w:hideMark/>
          </w:tcPr>
          <w:p w14:paraId="2D51908A" w14:textId="77777777" w:rsidR="002161EC" w:rsidRPr="002161EC" w:rsidRDefault="002161EC" w:rsidP="00B87363">
            <w:pPr>
              <w:autoSpaceDE/>
              <w:autoSpaceDN/>
              <w:adjustRightInd/>
              <w:spacing w:before="0" w:after="0" w:line="240" w:lineRule="auto"/>
              <w:jc w:val="right"/>
              <w:rPr>
                <w:rFonts w:eastAsia="Times New Roman"/>
                <w:color w:val="000000"/>
                <w:sz w:val="18"/>
                <w:szCs w:val="18"/>
                <w:lang w:eastAsia="el-GR"/>
              </w:rPr>
            </w:pPr>
            <w:r w:rsidRPr="002161EC">
              <w:rPr>
                <w:rFonts w:eastAsia="Times New Roman"/>
                <w:color w:val="000000"/>
                <w:sz w:val="18"/>
                <w:szCs w:val="18"/>
                <w:lang w:eastAsia="el-GR"/>
              </w:rPr>
              <w:t>3.651.496</w:t>
            </w:r>
          </w:p>
        </w:tc>
        <w:tc>
          <w:tcPr>
            <w:tcW w:w="625" w:type="pct"/>
            <w:tcBorders>
              <w:top w:val="nil"/>
              <w:left w:val="nil"/>
              <w:bottom w:val="single" w:sz="8" w:space="0" w:color="auto"/>
              <w:right w:val="single" w:sz="8" w:space="0" w:color="auto"/>
            </w:tcBorders>
            <w:shd w:val="clear" w:color="auto" w:fill="auto"/>
            <w:noWrap/>
            <w:vAlign w:val="center"/>
            <w:hideMark/>
          </w:tcPr>
          <w:p w14:paraId="2D22BA74"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12.746.436</w:t>
            </w:r>
          </w:p>
        </w:tc>
      </w:tr>
      <w:tr w:rsidR="002161EC" w:rsidRPr="002161EC" w14:paraId="6B87EDF2" w14:textId="77777777" w:rsidTr="000E2DBF">
        <w:trPr>
          <w:trHeight w:val="472"/>
        </w:trPr>
        <w:tc>
          <w:tcPr>
            <w:tcW w:w="1094" w:type="pct"/>
            <w:tcBorders>
              <w:top w:val="nil"/>
              <w:left w:val="single" w:sz="8" w:space="0" w:color="auto"/>
              <w:bottom w:val="single" w:sz="8" w:space="0" w:color="auto"/>
              <w:right w:val="single" w:sz="8" w:space="0" w:color="auto"/>
            </w:tcBorders>
            <w:shd w:val="clear" w:color="auto" w:fill="auto"/>
            <w:noWrap/>
            <w:vAlign w:val="center"/>
            <w:hideMark/>
          </w:tcPr>
          <w:p w14:paraId="470AFB75" w14:textId="77777777" w:rsidR="002161EC" w:rsidRPr="002161EC" w:rsidRDefault="002161EC" w:rsidP="00B87363">
            <w:pPr>
              <w:autoSpaceDE/>
              <w:autoSpaceDN/>
              <w:adjustRightInd/>
              <w:spacing w:before="0" w:after="0" w:line="240" w:lineRule="auto"/>
              <w:jc w:val="left"/>
              <w:rPr>
                <w:rFonts w:eastAsia="Times New Roman"/>
                <w:b/>
                <w:bCs/>
                <w:sz w:val="18"/>
                <w:szCs w:val="18"/>
                <w:lang w:eastAsia="el-GR"/>
              </w:rPr>
            </w:pPr>
            <w:r w:rsidRPr="002161EC">
              <w:rPr>
                <w:rFonts w:eastAsia="Times New Roman"/>
                <w:b/>
                <w:bCs/>
                <w:sz w:val="18"/>
                <w:szCs w:val="18"/>
                <w:lang w:eastAsia="el-GR"/>
              </w:rPr>
              <w:t>ΣΥΝΟΛΟ</w:t>
            </w:r>
          </w:p>
        </w:tc>
        <w:tc>
          <w:tcPr>
            <w:tcW w:w="645" w:type="pct"/>
            <w:tcBorders>
              <w:top w:val="nil"/>
              <w:left w:val="nil"/>
              <w:bottom w:val="single" w:sz="8" w:space="0" w:color="auto"/>
              <w:right w:val="single" w:sz="8" w:space="0" w:color="auto"/>
            </w:tcBorders>
            <w:shd w:val="clear" w:color="auto" w:fill="auto"/>
            <w:noWrap/>
            <w:vAlign w:val="center"/>
            <w:hideMark/>
          </w:tcPr>
          <w:p w14:paraId="0B5D8B94"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22.945</w:t>
            </w:r>
          </w:p>
        </w:tc>
        <w:tc>
          <w:tcPr>
            <w:tcW w:w="616" w:type="pct"/>
            <w:tcBorders>
              <w:top w:val="nil"/>
              <w:left w:val="nil"/>
              <w:bottom w:val="single" w:sz="8" w:space="0" w:color="auto"/>
              <w:right w:val="single" w:sz="8" w:space="0" w:color="auto"/>
            </w:tcBorders>
            <w:shd w:val="clear" w:color="auto" w:fill="auto"/>
            <w:noWrap/>
            <w:vAlign w:val="center"/>
            <w:hideMark/>
          </w:tcPr>
          <w:p w14:paraId="1EC0589A"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50.269.992</w:t>
            </w:r>
          </w:p>
        </w:tc>
        <w:tc>
          <w:tcPr>
            <w:tcW w:w="667" w:type="pct"/>
            <w:tcBorders>
              <w:top w:val="nil"/>
              <w:left w:val="nil"/>
              <w:bottom w:val="single" w:sz="8" w:space="0" w:color="auto"/>
              <w:right w:val="single" w:sz="8" w:space="0" w:color="auto"/>
            </w:tcBorders>
            <w:shd w:val="clear" w:color="auto" w:fill="auto"/>
            <w:noWrap/>
            <w:vAlign w:val="center"/>
            <w:hideMark/>
          </w:tcPr>
          <w:p w14:paraId="5413C963"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23.732.823</w:t>
            </w:r>
          </w:p>
        </w:tc>
        <w:tc>
          <w:tcPr>
            <w:tcW w:w="625" w:type="pct"/>
            <w:tcBorders>
              <w:top w:val="nil"/>
              <w:left w:val="nil"/>
              <w:bottom w:val="single" w:sz="8" w:space="0" w:color="auto"/>
              <w:right w:val="single" w:sz="8" w:space="0" w:color="auto"/>
            </w:tcBorders>
            <w:shd w:val="clear" w:color="auto" w:fill="auto"/>
            <w:noWrap/>
            <w:vAlign w:val="center"/>
            <w:hideMark/>
          </w:tcPr>
          <w:p w14:paraId="1621B2B5"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136.872.280</w:t>
            </w:r>
          </w:p>
        </w:tc>
        <w:tc>
          <w:tcPr>
            <w:tcW w:w="728" w:type="pct"/>
            <w:tcBorders>
              <w:top w:val="nil"/>
              <w:left w:val="nil"/>
              <w:bottom w:val="single" w:sz="8" w:space="0" w:color="auto"/>
              <w:right w:val="single" w:sz="8" w:space="0" w:color="auto"/>
            </w:tcBorders>
            <w:shd w:val="clear" w:color="auto" w:fill="auto"/>
            <w:noWrap/>
            <w:vAlign w:val="center"/>
            <w:hideMark/>
          </w:tcPr>
          <w:p w14:paraId="25D19821"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80.900.966 </w:t>
            </w:r>
          </w:p>
        </w:tc>
        <w:tc>
          <w:tcPr>
            <w:tcW w:w="625" w:type="pct"/>
            <w:tcBorders>
              <w:top w:val="nil"/>
              <w:left w:val="nil"/>
              <w:bottom w:val="single" w:sz="8" w:space="0" w:color="auto"/>
              <w:right w:val="single" w:sz="8" w:space="0" w:color="auto"/>
            </w:tcBorders>
            <w:shd w:val="clear" w:color="auto" w:fill="auto"/>
            <w:noWrap/>
            <w:vAlign w:val="center"/>
            <w:hideMark/>
          </w:tcPr>
          <w:p w14:paraId="74C603AD" w14:textId="77777777" w:rsidR="002161EC" w:rsidRPr="002161EC" w:rsidRDefault="002161EC" w:rsidP="00B87363">
            <w:pPr>
              <w:autoSpaceDE/>
              <w:autoSpaceDN/>
              <w:adjustRightInd/>
              <w:spacing w:before="0" w:after="0" w:line="240" w:lineRule="auto"/>
              <w:jc w:val="right"/>
              <w:rPr>
                <w:rFonts w:eastAsia="Times New Roman"/>
                <w:b/>
                <w:bCs/>
                <w:color w:val="000000"/>
                <w:sz w:val="18"/>
                <w:szCs w:val="18"/>
                <w:lang w:eastAsia="el-GR"/>
              </w:rPr>
            </w:pPr>
            <w:r w:rsidRPr="002161EC">
              <w:rPr>
                <w:rFonts w:eastAsia="Times New Roman"/>
                <w:b/>
                <w:bCs/>
                <w:color w:val="000000"/>
                <w:sz w:val="18"/>
                <w:szCs w:val="18"/>
                <w:lang w:eastAsia="el-GR"/>
              </w:rPr>
              <w:t>241.506.069</w:t>
            </w:r>
          </w:p>
        </w:tc>
      </w:tr>
    </w:tbl>
    <w:p w14:paraId="58C03E8B" w14:textId="77777777" w:rsidR="002161EC" w:rsidRDefault="002161EC" w:rsidP="00A353FE">
      <w:pPr>
        <w:spacing w:line="360" w:lineRule="auto"/>
      </w:pPr>
    </w:p>
    <w:p w14:paraId="622C4E69" w14:textId="77777777" w:rsidR="00226930" w:rsidRPr="00226930" w:rsidRDefault="00226930" w:rsidP="00226930">
      <w:pPr>
        <w:spacing w:line="360" w:lineRule="auto"/>
        <w:rPr>
          <w:rFonts w:eastAsia="Times New Roman"/>
          <w:lang w:eastAsia="el-GR"/>
        </w:rPr>
      </w:pPr>
      <w:r w:rsidRPr="00226930">
        <w:t>Ε</w:t>
      </w:r>
      <w:r w:rsidRPr="00226930">
        <w:rPr>
          <w:rFonts w:eastAsia="Times New Roman"/>
          <w:lang w:eastAsia="el-GR"/>
        </w:rPr>
        <w:t xml:space="preserve">πισημαίνονται τα εξής: </w:t>
      </w:r>
    </w:p>
    <w:p w14:paraId="58C8EBE8" w14:textId="77777777" w:rsidR="00226930" w:rsidRPr="00B012EE" w:rsidRDefault="00226930" w:rsidP="00226930">
      <w:pPr>
        <w:spacing w:line="360" w:lineRule="auto"/>
        <w:rPr>
          <w:rFonts w:ascii="Verdana" w:eastAsia="Times New Roman" w:hAnsi="Verdana"/>
          <w:sz w:val="20"/>
          <w:szCs w:val="20"/>
          <w:lang w:eastAsia="el-GR"/>
        </w:rPr>
      </w:pPr>
      <w:r w:rsidRPr="00226930">
        <w:rPr>
          <w:rFonts w:eastAsia="Times New Roman"/>
          <w:lang w:eastAsia="el-GR"/>
        </w:rPr>
        <w:t xml:space="preserve">Το διαθέσιμο ποσό του «Ταμείου Εξοικονομώ ΙΙ» για το </w:t>
      </w:r>
      <w:r w:rsidR="00B925F9">
        <w:rPr>
          <w:rFonts w:eastAsia="Times New Roman"/>
          <w:lang w:eastAsia="el-GR"/>
        </w:rPr>
        <w:t>Β’ Κύκλο</w:t>
      </w:r>
      <w:r w:rsidRPr="00226930">
        <w:rPr>
          <w:rFonts w:eastAsia="Times New Roman"/>
          <w:lang w:eastAsia="el-GR"/>
        </w:rPr>
        <w:t xml:space="preserve"> είναι 34 εκ €</w:t>
      </w:r>
      <w:r>
        <w:rPr>
          <w:rFonts w:eastAsia="Times New Roman"/>
          <w:lang w:eastAsia="el-GR"/>
        </w:rPr>
        <w:t xml:space="preserve"> (</w:t>
      </w:r>
      <w:proofErr w:type="spellStart"/>
      <w:r>
        <w:rPr>
          <w:rFonts w:eastAsia="Times New Roman"/>
          <w:lang w:eastAsia="el-GR"/>
        </w:rPr>
        <w:t>κατ’αρχήν</w:t>
      </w:r>
      <w:proofErr w:type="spellEnd"/>
      <w:r>
        <w:rPr>
          <w:rFonts w:eastAsia="Times New Roman"/>
          <w:lang w:eastAsia="el-GR"/>
        </w:rPr>
        <w:t xml:space="preserve"> από </w:t>
      </w:r>
      <w:r w:rsidR="00D30BC2">
        <w:rPr>
          <w:rFonts w:eastAsia="Times New Roman"/>
          <w:lang w:eastAsia="el-GR"/>
        </w:rPr>
        <w:t>Ε</w:t>
      </w:r>
      <w:r>
        <w:rPr>
          <w:rFonts w:eastAsia="Times New Roman"/>
          <w:lang w:eastAsia="el-GR"/>
        </w:rPr>
        <w:t xml:space="preserve">θνικούς </w:t>
      </w:r>
      <w:r w:rsidR="00D30BC2">
        <w:rPr>
          <w:rFonts w:eastAsia="Times New Roman"/>
          <w:lang w:eastAsia="el-GR"/>
        </w:rPr>
        <w:t>Π</w:t>
      </w:r>
      <w:r>
        <w:rPr>
          <w:rFonts w:eastAsia="Times New Roman"/>
          <w:lang w:eastAsia="el-GR"/>
        </w:rPr>
        <w:t>όρους)</w:t>
      </w:r>
      <w:r w:rsidRPr="00226930">
        <w:rPr>
          <w:rFonts w:eastAsia="Times New Roman"/>
          <w:lang w:eastAsia="el-GR"/>
        </w:rPr>
        <w:t xml:space="preserve">, ενώ στον άνω πίνακα εμφανίζεται «απαιτούμενο» ποσό περίπου σε 50 εκ €. Από τα στατιστικά του </w:t>
      </w:r>
      <w:r w:rsidR="00B925F9">
        <w:rPr>
          <w:rFonts w:eastAsia="Times New Roman"/>
          <w:lang w:eastAsia="el-GR"/>
        </w:rPr>
        <w:t>Α’ Κύκλο</w:t>
      </w:r>
      <w:r w:rsidRPr="00226930">
        <w:rPr>
          <w:rFonts w:eastAsia="Times New Roman"/>
          <w:lang w:eastAsia="el-GR"/>
        </w:rPr>
        <w:t xml:space="preserve">υ </w:t>
      </w:r>
      <w:r>
        <w:rPr>
          <w:rFonts w:eastAsia="Times New Roman"/>
          <w:lang w:eastAsia="el-GR"/>
        </w:rPr>
        <w:t>με απλούς υπολογισμούς προκύπτει</w:t>
      </w:r>
      <w:r w:rsidRPr="00226930">
        <w:rPr>
          <w:rFonts w:eastAsia="Times New Roman"/>
          <w:lang w:eastAsia="el-GR"/>
        </w:rPr>
        <w:t xml:space="preserve"> ότι το πραγματικό ποσό του Ταμείου Εξοικονομώ </w:t>
      </w:r>
      <w:r w:rsidR="00D30BC2">
        <w:rPr>
          <w:rFonts w:eastAsia="Times New Roman"/>
          <w:lang w:eastAsia="el-GR"/>
        </w:rPr>
        <w:t xml:space="preserve">ΙΙ </w:t>
      </w:r>
      <w:r w:rsidRPr="00226930">
        <w:rPr>
          <w:rFonts w:eastAsia="Times New Roman"/>
          <w:lang w:eastAsia="el-GR"/>
        </w:rPr>
        <w:t>θα μειωθεί επειδή σημαντικό ποσοστό των αιτήσεων που έχουν εκδηλώσει καταρχήν πρόθεση να πάρουν δάνειο</w:t>
      </w:r>
      <w:r w:rsidR="000E2DBF">
        <w:rPr>
          <w:rFonts w:eastAsia="Times New Roman"/>
          <w:lang w:eastAsia="el-GR"/>
        </w:rPr>
        <w:t>,</w:t>
      </w:r>
      <w:r w:rsidRPr="00226930">
        <w:rPr>
          <w:rFonts w:eastAsia="Times New Roman"/>
          <w:lang w:eastAsia="el-GR"/>
        </w:rPr>
        <w:t xml:space="preserve"> δεν το επιτυγχάνουν (περίπου 35%) και προχωρούν με Ίδια Κεφάλαια. Συνεπώς, το ποσό των 34 εκ. € εκτιμάται </w:t>
      </w:r>
      <w:r w:rsidR="00D30BC2">
        <w:rPr>
          <w:rFonts w:eastAsia="Times New Roman"/>
          <w:lang w:eastAsia="el-GR"/>
        </w:rPr>
        <w:t>πως</w:t>
      </w:r>
      <w:r w:rsidRPr="00226930">
        <w:rPr>
          <w:rFonts w:eastAsia="Times New Roman"/>
          <w:lang w:eastAsia="el-GR"/>
        </w:rPr>
        <w:t xml:space="preserve"> είναι επαρκές για τις άνω υποβληθείσες οριστικά αιτήσεις. Σε περίπτωση που οι εγκρίσεις των αιτούμενων δανείων υπερβούν τις εκτιμώμενες με βάσει τα υφιστάμενα στοιχεία, αυτό θα μπορεί να καλυφθεί από τις επιστροφές </w:t>
      </w:r>
      <w:r w:rsidRPr="00226930">
        <w:rPr>
          <w:rFonts w:eastAsia="Times New Roman"/>
          <w:lang w:eastAsia="el-GR"/>
        </w:rPr>
        <w:lastRenderedPageBreak/>
        <w:t xml:space="preserve">του ταμείου του </w:t>
      </w:r>
      <w:r w:rsidR="00B925F9">
        <w:rPr>
          <w:rFonts w:eastAsia="Times New Roman"/>
          <w:lang w:eastAsia="el-GR"/>
        </w:rPr>
        <w:t>Α’ Κύκλο</w:t>
      </w:r>
      <w:r w:rsidRPr="00226930">
        <w:rPr>
          <w:rFonts w:eastAsia="Times New Roman"/>
          <w:lang w:eastAsia="el-GR"/>
        </w:rPr>
        <w:t xml:space="preserve">υ του </w:t>
      </w:r>
      <w:r w:rsidR="00971D9A">
        <w:rPr>
          <w:rFonts w:eastAsia="Times New Roman"/>
          <w:lang w:eastAsia="el-GR"/>
        </w:rPr>
        <w:t>Προγράμματος</w:t>
      </w:r>
      <w:r w:rsidRPr="00226930">
        <w:rPr>
          <w:rFonts w:eastAsia="Times New Roman"/>
          <w:lang w:eastAsia="el-GR"/>
        </w:rPr>
        <w:t xml:space="preserve">. </w:t>
      </w:r>
      <w:r w:rsidR="00B012EE">
        <w:rPr>
          <w:rFonts w:eastAsia="Times New Roman"/>
          <w:lang w:eastAsia="el-GR"/>
        </w:rPr>
        <w:t xml:space="preserve">Επίσης, όσον αφορά στη μικρή υπέρβαση του ποσού των </w:t>
      </w:r>
      <w:r w:rsidR="00B012EE">
        <w:rPr>
          <w:rFonts w:eastAsia="Times New Roman"/>
          <w:lang w:val="en-US" w:eastAsia="el-GR"/>
        </w:rPr>
        <w:t>grants</w:t>
      </w:r>
      <w:r w:rsidR="00B012EE" w:rsidRPr="00B012EE">
        <w:rPr>
          <w:rFonts w:eastAsia="Times New Roman"/>
          <w:lang w:eastAsia="el-GR"/>
        </w:rPr>
        <w:t xml:space="preserve"> </w:t>
      </w:r>
      <w:r w:rsidR="00B012EE">
        <w:rPr>
          <w:rFonts w:eastAsia="Times New Roman"/>
          <w:lang w:eastAsia="el-GR"/>
        </w:rPr>
        <w:t>κατά 0,5</w:t>
      </w:r>
      <w:r w:rsidR="004F576E">
        <w:rPr>
          <w:rFonts w:eastAsia="Times New Roman"/>
          <w:lang w:eastAsia="el-GR"/>
        </w:rPr>
        <w:t>εκ.€</w:t>
      </w:r>
      <w:r w:rsidR="00B012EE">
        <w:rPr>
          <w:rFonts w:eastAsia="Times New Roman"/>
          <w:lang w:eastAsia="el-GR"/>
        </w:rPr>
        <w:t xml:space="preserve">, θεωρείται ασφαλής πρόβλεψη ότι θα έχουμε μειωμένη τελικά προσέλευση για συμμετοχή στο </w:t>
      </w:r>
      <w:r w:rsidR="00971D9A">
        <w:rPr>
          <w:rFonts w:eastAsia="Times New Roman"/>
          <w:lang w:eastAsia="el-GR"/>
        </w:rPr>
        <w:t>Πρόγραμμα</w:t>
      </w:r>
      <w:r w:rsidR="00B012EE">
        <w:rPr>
          <w:rFonts w:eastAsia="Times New Roman"/>
          <w:lang w:eastAsia="el-GR"/>
        </w:rPr>
        <w:t>, οπότε η υπέρβαση αυτή δεν θα χρειαστεί να καλυφθεί με νέους πόρους.</w:t>
      </w:r>
    </w:p>
    <w:p w14:paraId="2F0F1459" w14:textId="77777777" w:rsidR="00226930" w:rsidRPr="00226930" w:rsidRDefault="00226930" w:rsidP="00226930">
      <w:pPr>
        <w:spacing w:line="360" w:lineRule="auto"/>
        <w:rPr>
          <w:rFonts w:cstheme="minorBidi"/>
        </w:rPr>
      </w:pPr>
      <w:r w:rsidRPr="00226930">
        <w:rPr>
          <w:rFonts w:eastAsia="Times New Roman"/>
          <w:lang w:eastAsia="el-GR"/>
        </w:rPr>
        <w:t xml:space="preserve">Δεδομένου του μεγάλου ενδιαφέροντος του </w:t>
      </w:r>
      <w:r w:rsidR="00971D9A">
        <w:rPr>
          <w:rFonts w:eastAsia="Times New Roman"/>
          <w:lang w:eastAsia="el-GR"/>
        </w:rPr>
        <w:t>Προγράμματος</w:t>
      </w:r>
      <w:r w:rsidRPr="00226930">
        <w:rPr>
          <w:rFonts w:eastAsia="Times New Roman"/>
          <w:lang w:eastAsia="el-GR"/>
        </w:rPr>
        <w:t xml:space="preserve"> από τους πολίτες, υπήρξε επικοινωνία με τις ΕΥΔ των ΕΠ των Περιφερειών για την εξέταση της δυνατότητας διάθεσης πρόσθετων πόρων από τα Επιχειρησιακά </w:t>
      </w:r>
      <w:r w:rsidR="00E5630E">
        <w:rPr>
          <w:rFonts w:eastAsia="Times New Roman"/>
          <w:lang w:eastAsia="el-GR"/>
        </w:rPr>
        <w:t>Προγράμματ</w:t>
      </w:r>
      <w:r w:rsidRPr="00226930">
        <w:rPr>
          <w:rFonts w:eastAsia="Times New Roman"/>
          <w:lang w:eastAsia="el-GR"/>
        </w:rPr>
        <w:t xml:space="preserve">α αρμοδιότητάς τους, προκειμένου να καλυφθούν οι καταχωρημένες στο σύστημα αιτήσεις και ενδεχομένως κάποιες επιπλέον αιτήσεις. Στην επικοινωνία ανταποκρίθηκαν όλες οι </w:t>
      </w:r>
      <w:r w:rsidR="00E5630E">
        <w:rPr>
          <w:rFonts w:eastAsia="Times New Roman"/>
          <w:lang w:eastAsia="el-GR"/>
        </w:rPr>
        <w:t>Περιφέρ</w:t>
      </w:r>
      <w:r w:rsidRPr="00226930">
        <w:rPr>
          <w:rFonts w:eastAsia="Times New Roman"/>
          <w:lang w:eastAsia="el-GR"/>
        </w:rPr>
        <w:t xml:space="preserve">ειες και δήλωσαν πρόσθετους πόρους, ενώ η </w:t>
      </w:r>
      <w:r w:rsidR="00E5630E">
        <w:rPr>
          <w:rFonts w:eastAsia="Times New Roman"/>
          <w:lang w:eastAsia="el-GR"/>
        </w:rPr>
        <w:t>Περιφέρ</w:t>
      </w:r>
      <w:r w:rsidRPr="00226930">
        <w:rPr>
          <w:rFonts w:eastAsia="Times New Roman"/>
          <w:lang w:eastAsia="el-GR"/>
        </w:rPr>
        <w:t>εια Ιονίων Νήσων έχει δηλώσει την πρόθεσή της να καλύψει το σύνολο των καταχωρημένων αιτήσεων.</w:t>
      </w:r>
    </w:p>
    <w:p w14:paraId="708C77D7" w14:textId="77777777" w:rsidR="00226930" w:rsidRDefault="00226930" w:rsidP="00226930">
      <w:pPr>
        <w:spacing w:line="360" w:lineRule="auto"/>
        <w:rPr>
          <w:rFonts w:eastAsia="Times New Roman"/>
          <w:lang w:eastAsia="el-GR"/>
        </w:rPr>
      </w:pPr>
      <w:r w:rsidRPr="00226930">
        <w:rPr>
          <w:rFonts w:eastAsia="Times New Roman"/>
          <w:lang w:eastAsia="el-GR"/>
        </w:rPr>
        <w:t xml:space="preserve">Στον παρακάτω πίνακα παρουσιάζονται αναλυτικά οι καταχωρημένες αιτήσεις που δεν πρόλαβαν να υποβληθούν ανά </w:t>
      </w:r>
      <w:r w:rsidR="00E5630E">
        <w:rPr>
          <w:rFonts w:eastAsia="Times New Roman"/>
          <w:lang w:eastAsia="el-GR"/>
        </w:rPr>
        <w:t>Περιφέρ</w:t>
      </w:r>
      <w:r w:rsidRPr="00226930">
        <w:rPr>
          <w:rFonts w:eastAsia="Times New Roman"/>
          <w:lang w:eastAsia="el-GR"/>
        </w:rPr>
        <w:t xml:space="preserve">εια, η εκτίμηση (με βάση το μέσο απαιτούμενο ποσό ανά αίτηση και </w:t>
      </w:r>
      <w:r w:rsidR="00E5630E">
        <w:rPr>
          <w:rFonts w:eastAsia="Times New Roman"/>
          <w:lang w:eastAsia="el-GR"/>
        </w:rPr>
        <w:t>Περιφέρ</w:t>
      </w:r>
      <w:r w:rsidRPr="00226930">
        <w:rPr>
          <w:rFonts w:eastAsia="Times New Roman"/>
          <w:lang w:eastAsia="el-GR"/>
        </w:rPr>
        <w:t xml:space="preserve">εια) των πρόσθετων πόρων (όσο αφορά το Ταμείο και το ποσό της Άμεσης Ενίσχυσης), τα ποσά που προτίθενται να συνεισφέρουν οι </w:t>
      </w:r>
      <w:r w:rsidR="00E5630E">
        <w:rPr>
          <w:rFonts w:eastAsia="Times New Roman"/>
          <w:lang w:eastAsia="el-GR"/>
        </w:rPr>
        <w:t>Περιφέρ</w:t>
      </w:r>
      <w:r w:rsidRPr="00226930">
        <w:rPr>
          <w:rFonts w:eastAsia="Times New Roman"/>
          <w:lang w:eastAsia="el-GR"/>
        </w:rPr>
        <w:t xml:space="preserve">ειες, και οι ανάγκες για επιπλέον χρηματοδότηση ανά </w:t>
      </w:r>
      <w:r w:rsidR="00E5630E">
        <w:rPr>
          <w:rFonts w:eastAsia="Times New Roman"/>
          <w:lang w:eastAsia="el-GR"/>
        </w:rPr>
        <w:t>Περιφέρ</w:t>
      </w:r>
      <w:r w:rsidRPr="00226930">
        <w:rPr>
          <w:rFonts w:eastAsia="Times New Roman"/>
          <w:lang w:eastAsia="el-GR"/>
        </w:rPr>
        <w:t>εια.</w:t>
      </w:r>
    </w:p>
    <w:tbl>
      <w:tblPr>
        <w:tblW w:w="5000" w:type="pct"/>
        <w:tblLook w:val="04A0" w:firstRow="1" w:lastRow="0" w:firstColumn="1" w:lastColumn="0" w:noHBand="0" w:noVBand="1"/>
      </w:tblPr>
      <w:tblGrid>
        <w:gridCol w:w="1888"/>
        <w:gridCol w:w="1537"/>
        <w:gridCol w:w="1252"/>
        <w:gridCol w:w="1631"/>
        <w:gridCol w:w="1285"/>
        <w:gridCol w:w="1175"/>
      </w:tblGrid>
      <w:tr w:rsidR="000E2DBF" w:rsidRPr="000E2DBF" w14:paraId="35B5A528" w14:textId="77777777" w:rsidTr="00031A93">
        <w:trPr>
          <w:trHeight w:val="1415"/>
        </w:trPr>
        <w:tc>
          <w:tcPr>
            <w:tcW w:w="1076" w:type="pct"/>
            <w:tcBorders>
              <w:top w:val="single" w:sz="8" w:space="0" w:color="auto"/>
              <w:left w:val="single" w:sz="8" w:space="0" w:color="auto"/>
              <w:bottom w:val="single" w:sz="8" w:space="0" w:color="auto"/>
              <w:right w:val="single" w:sz="8" w:space="0" w:color="auto"/>
            </w:tcBorders>
            <w:shd w:val="clear" w:color="000000" w:fill="C0C0C0"/>
            <w:vAlign w:val="center"/>
            <w:hideMark/>
          </w:tcPr>
          <w:p w14:paraId="57DE6751" w14:textId="77777777" w:rsidR="000E2DBF" w:rsidRPr="000E2DBF" w:rsidRDefault="000E2DBF" w:rsidP="000E2DBF">
            <w:pPr>
              <w:autoSpaceDE/>
              <w:autoSpaceDN/>
              <w:adjustRightInd/>
              <w:spacing w:before="0" w:after="0" w:line="240" w:lineRule="auto"/>
              <w:jc w:val="center"/>
              <w:rPr>
                <w:rFonts w:eastAsia="Times New Roman"/>
                <w:b/>
                <w:bCs/>
                <w:color w:val="000000"/>
                <w:sz w:val="18"/>
                <w:szCs w:val="18"/>
                <w:lang w:eastAsia="el-GR"/>
              </w:rPr>
            </w:pPr>
            <w:r w:rsidRPr="000E2DBF">
              <w:rPr>
                <w:rFonts w:eastAsia="Times New Roman"/>
                <w:b/>
                <w:bCs/>
                <w:color w:val="000000"/>
                <w:sz w:val="18"/>
                <w:szCs w:val="18"/>
                <w:lang w:eastAsia="el-GR"/>
              </w:rPr>
              <w:t> </w:t>
            </w:r>
          </w:p>
        </w:tc>
        <w:tc>
          <w:tcPr>
            <w:tcW w:w="876" w:type="pct"/>
            <w:tcBorders>
              <w:top w:val="single" w:sz="8" w:space="0" w:color="auto"/>
              <w:left w:val="nil"/>
              <w:bottom w:val="single" w:sz="8" w:space="0" w:color="auto"/>
              <w:right w:val="single" w:sz="8" w:space="0" w:color="auto"/>
            </w:tcBorders>
            <w:shd w:val="clear" w:color="000000" w:fill="C0C0C0"/>
            <w:vAlign w:val="center"/>
            <w:hideMark/>
          </w:tcPr>
          <w:p w14:paraId="0A2E8424" w14:textId="77777777" w:rsidR="000E2DBF" w:rsidRPr="000E2DBF" w:rsidRDefault="000E2DBF" w:rsidP="000E2DBF">
            <w:pPr>
              <w:autoSpaceDE/>
              <w:autoSpaceDN/>
              <w:adjustRightInd/>
              <w:spacing w:before="0" w:after="0" w:line="240" w:lineRule="auto"/>
              <w:jc w:val="center"/>
              <w:rPr>
                <w:rFonts w:eastAsia="Times New Roman"/>
                <w:b/>
                <w:bCs/>
                <w:color w:val="000000"/>
                <w:sz w:val="18"/>
                <w:szCs w:val="18"/>
                <w:lang w:eastAsia="el-GR"/>
              </w:rPr>
            </w:pPr>
            <w:r w:rsidRPr="000E2DBF">
              <w:rPr>
                <w:rFonts w:eastAsia="Times New Roman"/>
                <w:b/>
                <w:bCs/>
                <w:color w:val="000000"/>
                <w:sz w:val="18"/>
                <w:szCs w:val="18"/>
                <w:lang w:eastAsia="el-GR"/>
              </w:rPr>
              <w:t>Καταχωρημένες Αιτήσεις που δεν υποβλήθηκαν</w:t>
            </w:r>
          </w:p>
        </w:tc>
        <w:tc>
          <w:tcPr>
            <w:tcW w:w="714" w:type="pct"/>
            <w:tcBorders>
              <w:top w:val="single" w:sz="8" w:space="0" w:color="auto"/>
              <w:left w:val="nil"/>
              <w:bottom w:val="single" w:sz="8" w:space="0" w:color="auto"/>
              <w:right w:val="single" w:sz="8" w:space="0" w:color="auto"/>
            </w:tcBorders>
            <w:shd w:val="clear" w:color="000000" w:fill="DDD9C4"/>
            <w:vAlign w:val="center"/>
            <w:hideMark/>
          </w:tcPr>
          <w:p w14:paraId="35901A44" w14:textId="77777777" w:rsidR="000E2DBF" w:rsidRPr="000E2DBF" w:rsidRDefault="000E2DBF" w:rsidP="000E2DBF">
            <w:pPr>
              <w:autoSpaceDE/>
              <w:autoSpaceDN/>
              <w:adjustRightInd/>
              <w:spacing w:before="0" w:after="0" w:line="240" w:lineRule="auto"/>
              <w:jc w:val="center"/>
              <w:rPr>
                <w:rFonts w:eastAsia="Times New Roman"/>
                <w:b/>
                <w:bCs/>
                <w:color w:val="000000"/>
                <w:sz w:val="18"/>
                <w:szCs w:val="18"/>
                <w:lang w:eastAsia="el-GR"/>
              </w:rPr>
            </w:pPr>
            <w:r w:rsidRPr="000E2DBF">
              <w:rPr>
                <w:rFonts w:eastAsia="Times New Roman"/>
                <w:b/>
                <w:bCs/>
                <w:color w:val="000000"/>
                <w:sz w:val="18"/>
                <w:szCs w:val="18"/>
                <w:lang w:eastAsia="el-GR"/>
              </w:rPr>
              <w:t>Απαίτηση Ταμείου Εξοικονομώ ΙΙ - B Κύκλος</w:t>
            </w:r>
          </w:p>
        </w:tc>
        <w:tc>
          <w:tcPr>
            <w:tcW w:w="930" w:type="pct"/>
            <w:tcBorders>
              <w:top w:val="single" w:sz="8" w:space="0" w:color="auto"/>
              <w:left w:val="nil"/>
              <w:bottom w:val="single" w:sz="8" w:space="0" w:color="auto"/>
              <w:right w:val="single" w:sz="8" w:space="0" w:color="auto"/>
            </w:tcBorders>
            <w:shd w:val="clear" w:color="000000" w:fill="C0C0C0"/>
            <w:vAlign w:val="center"/>
            <w:hideMark/>
          </w:tcPr>
          <w:p w14:paraId="744C7D97" w14:textId="77777777" w:rsidR="000E2DBF" w:rsidRPr="000E2DBF" w:rsidRDefault="000E2DBF" w:rsidP="000E2DBF">
            <w:pPr>
              <w:autoSpaceDE/>
              <w:autoSpaceDN/>
              <w:adjustRightInd/>
              <w:spacing w:before="0" w:after="0" w:line="240" w:lineRule="auto"/>
              <w:jc w:val="center"/>
              <w:rPr>
                <w:rFonts w:eastAsia="Times New Roman"/>
                <w:b/>
                <w:bCs/>
                <w:color w:val="000000"/>
                <w:sz w:val="18"/>
                <w:szCs w:val="18"/>
                <w:lang w:eastAsia="el-GR"/>
              </w:rPr>
            </w:pPr>
            <w:r w:rsidRPr="000E2DBF">
              <w:rPr>
                <w:rFonts w:eastAsia="Times New Roman"/>
                <w:b/>
                <w:bCs/>
                <w:color w:val="000000"/>
                <w:sz w:val="18"/>
                <w:szCs w:val="18"/>
                <w:lang w:eastAsia="el-GR"/>
              </w:rPr>
              <w:t xml:space="preserve">Απαιτούμενος Προϋπολογισμός </w:t>
            </w:r>
            <w:r w:rsidR="00971D9A">
              <w:rPr>
                <w:rFonts w:eastAsia="Times New Roman"/>
                <w:b/>
                <w:bCs/>
                <w:color w:val="000000"/>
                <w:sz w:val="18"/>
                <w:szCs w:val="18"/>
                <w:lang w:eastAsia="el-GR"/>
              </w:rPr>
              <w:t>Προγράμματος</w:t>
            </w:r>
            <w:r w:rsidRPr="000E2DBF">
              <w:rPr>
                <w:rFonts w:eastAsia="Times New Roman"/>
                <w:b/>
                <w:bCs/>
                <w:color w:val="000000"/>
                <w:sz w:val="18"/>
                <w:szCs w:val="18"/>
                <w:lang w:eastAsia="el-GR"/>
              </w:rPr>
              <w:t xml:space="preserve"> Άμεσης Ενίσχυσης</w:t>
            </w:r>
          </w:p>
        </w:tc>
        <w:tc>
          <w:tcPr>
            <w:tcW w:w="733" w:type="pct"/>
            <w:tcBorders>
              <w:top w:val="single" w:sz="8" w:space="0" w:color="auto"/>
              <w:left w:val="nil"/>
              <w:bottom w:val="single" w:sz="8" w:space="0" w:color="auto"/>
              <w:right w:val="single" w:sz="8" w:space="0" w:color="auto"/>
            </w:tcBorders>
            <w:shd w:val="clear" w:color="000000" w:fill="C0C0C0"/>
            <w:vAlign w:val="center"/>
            <w:hideMark/>
          </w:tcPr>
          <w:p w14:paraId="357AF05C" w14:textId="77777777" w:rsidR="000E2DBF" w:rsidRPr="000E2DBF" w:rsidRDefault="000E2DBF" w:rsidP="000E2DBF">
            <w:pPr>
              <w:autoSpaceDE/>
              <w:autoSpaceDN/>
              <w:adjustRightInd/>
              <w:spacing w:before="0" w:after="0" w:line="240" w:lineRule="auto"/>
              <w:jc w:val="center"/>
              <w:rPr>
                <w:rFonts w:eastAsia="Times New Roman"/>
                <w:b/>
                <w:bCs/>
                <w:color w:val="000000"/>
                <w:sz w:val="18"/>
                <w:szCs w:val="18"/>
                <w:lang w:eastAsia="el-GR"/>
              </w:rPr>
            </w:pPr>
            <w:r w:rsidRPr="000E2DBF">
              <w:rPr>
                <w:rFonts w:eastAsia="Times New Roman"/>
                <w:b/>
                <w:bCs/>
                <w:color w:val="000000"/>
                <w:sz w:val="18"/>
                <w:szCs w:val="18"/>
                <w:lang w:eastAsia="el-GR"/>
              </w:rPr>
              <w:t xml:space="preserve">Πρόσθετα ποσά από </w:t>
            </w:r>
            <w:r w:rsidR="00E5630E">
              <w:rPr>
                <w:rFonts w:eastAsia="Times New Roman"/>
                <w:b/>
                <w:bCs/>
                <w:color w:val="000000"/>
                <w:sz w:val="18"/>
                <w:szCs w:val="18"/>
                <w:lang w:eastAsia="el-GR"/>
              </w:rPr>
              <w:t>Περιφέρ</w:t>
            </w:r>
            <w:r w:rsidRPr="000E2DBF">
              <w:rPr>
                <w:rFonts w:eastAsia="Times New Roman"/>
                <w:b/>
                <w:bCs/>
                <w:color w:val="000000"/>
                <w:sz w:val="18"/>
                <w:szCs w:val="18"/>
                <w:lang w:eastAsia="el-GR"/>
              </w:rPr>
              <w:t>ειες</w:t>
            </w:r>
          </w:p>
        </w:tc>
        <w:tc>
          <w:tcPr>
            <w:tcW w:w="670" w:type="pct"/>
            <w:tcBorders>
              <w:top w:val="single" w:sz="8" w:space="0" w:color="auto"/>
              <w:left w:val="nil"/>
              <w:bottom w:val="single" w:sz="8" w:space="0" w:color="auto"/>
              <w:right w:val="single" w:sz="8" w:space="0" w:color="auto"/>
            </w:tcBorders>
            <w:shd w:val="clear" w:color="000000" w:fill="C0C0C0"/>
            <w:vAlign w:val="center"/>
            <w:hideMark/>
          </w:tcPr>
          <w:p w14:paraId="4863BF7B" w14:textId="77777777" w:rsidR="000E2DBF" w:rsidRPr="000E2DBF" w:rsidRDefault="000E2DBF" w:rsidP="000E2DBF">
            <w:pPr>
              <w:autoSpaceDE/>
              <w:autoSpaceDN/>
              <w:adjustRightInd/>
              <w:spacing w:before="0" w:after="0" w:line="240" w:lineRule="auto"/>
              <w:jc w:val="center"/>
              <w:rPr>
                <w:rFonts w:eastAsia="Times New Roman"/>
                <w:b/>
                <w:bCs/>
                <w:color w:val="000000"/>
                <w:sz w:val="18"/>
                <w:szCs w:val="18"/>
                <w:lang w:eastAsia="el-GR"/>
              </w:rPr>
            </w:pPr>
            <w:r w:rsidRPr="000E2DBF">
              <w:rPr>
                <w:rFonts w:eastAsia="Times New Roman"/>
                <w:b/>
                <w:bCs/>
                <w:color w:val="000000"/>
                <w:sz w:val="18"/>
                <w:szCs w:val="18"/>
                <w:lang w:eastAsia="el-GR"/>
              </w:rPr>
              <w:t>Απαίτηση Επιπλέον Πόρων</w:t>
            </w:r>
          </w:p>
        </w:tc>
      </w:tr>
      <w:tr w:rsidR="000E2DBF" w:rsidRPr="000E2DBF" w14:paraId="1E912EF0" w14:textId="77777777" w:rsidTr="000E2DBF">
        <w:trPr>
          <w:trHeight w:val="690"/>
        </w:trPr>
        <w:tc>
          <w:tcPr>
            <w:tcW w:w="1076" w:type="pct"/>
            <w:tcBorders>
              <w:top w:val="nil"/>
              <w:left w:val="single" w:sz="8" w:space="0" w:color="auto"/>
              <w:bottom w:val="single" w:sz="8" w:space="0" w:color="auto"/>
              <w:right w:val="single" w:sz="8" w:space="0" w:color="auto"/>
            </w:tcBorders>
            <w:shd w:val="clear" w:color="auto" w:fill="auto"/>
            <w:vAlign w:val="center"/>
            <w:hideMark/>
          </w:tcPr>
          <w:p w14:paraId="148DB059"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ΑΝΑΤΟΛΙΚΗΣ ΜΑΚΕΔΟΝΙΑΣ -ΘΡΑΚΗΣ</w:t>
            </w:r>
          </w:p>
        </w:tc>
        <w:tc>
          <w:tcPr>
            <w:tcW w:w="876" w:type="pct"/>
            <w:tcBorders>
              <w:top w:val="nil"/>
              <w:left w:val="nil"/>
              <w:bottom w:val="single" w:sz="8" w:space="0" w:color="auto"/>
              <w:right w:val="single" w:sz="8" w:space="0" w:color="auto"/>
            </w:tcBorders>
            <w:shd w:val="clear" w:color="auto" w:fill="auto"/>
            <w:noWrap/>
            <w:vAlign w:val="center"/>
            <w:hideMark/>
          </w:tcPr>
          <w:p w14:paraId="1AB2FE62"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849</w:t>
            </w:r>
          </w:p>
        </w:tc>
        <w:tc>
          <w:tcPr>
            <w:tcW w:w="71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FD5A3FB"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19.676.905</w:t>
            </w:r>
          </w:p>
        </w:tc>
        <w:tc>
          <w:tcPr>
            <w:tcW w:w="930" w:type="pct"/>
            <w:tcBorders>
              <w:top w:val="nil"/>
              <w:left w:val="nil"/>
              <w:bottom w:val="single" w:sz="8" w:space="0" w:color="auto"/>
              <w:right w:val="single" w:sz="8" w:space="0" w:color="auto"/>
            </w:tcBorders>
            <w:shd w:val="clear" w:color="auto" w:fill="auto"/>
            <w:noWrap/>
            <w:vAlign w:val="center"/>
            <w:hideMark/>
          </w:tcPr>
          <w:p w14:paraId="2200BEBC"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9.673.540</w:t>
            </w:r>
          </w:p>
        </w:tc>
        <w:tc>
          <w:tcPr>
            <w:tcW w:w="733" w:type="pct"/>
            <w:tcBorders>
              <w:top w:val="nil"/>
              <w:left w:val="nil"/>
              <w:bottom w:val="single" w:sz="8" w:space="0" w:color="auto"/>
              <w:right w:val="single" w:sz="8" w:space="0" w:color="auto"/>
            </w:tcBorders>
            <w:shd w:val="clear" w:color="auto" w:fill="auto"/>
            <w:noWrap/>
            <w:vAlign w:val="center"/>
            <w:hideMark/>
          </w:tcPr>
          <w:p w14:paraId="11A1F104"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15.000.000</w:t>
            </w:r>
          </w:p>
        </w:tc>
        <w:tc>
          <w:tcPr>
            <w:tcW w:w="670" w:type="pct"/>
            <w:tcBorders>
              <w:top w:val="nil"/>
              <w:left w:val="nil"/>
              <w:bottom w:val="single" w:sz="8" w:space="0" w:color="auto"/>
              <w:right w:val="single" w:sz="8" w:space="0" w:color="auto"/>
            </w:tcBorders>
            <w:shd w:val="clear" w:color="auto" w:fill="auto"/>
            <w:noWrap/>
            <w:vAlign w:val="center"/>
            <w:hideMark/>
          </w:tcPr>
          <w:p w14:paraId="0CA7DB35"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25AB4F8F" w14:textId="77777777" w:rsidTr="000E2DBF">
        <w:trPr>
          <w:trHeight w:val="465"/>
        </w:trPr>
        <w:tc>
          <w:tcPr>
            <w:tcW w:w="1076" w:type="pct"/>
            <w:tcBorders>
              <w:top w:val="nil"/>
              <w:left w:val="single" w:sz="8" w:space="0" w:color="auto"/>
              <w:bottom w:val="single" w:sz="8" w:space="0" w:color="auto"/>
              <w:right w:val="single" w:sz="8" w:space="0" w:color="auto"/>
            </w:tcBorders>
            <w:shd w:val="clear" w:color="auto" w:fill="auto"/>
            <w:vAlign w:val="center"/>
            <w:hideMark/>
          </w:tcPr>
          <w:p w14:paraId="42C266E2"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ΚΕΝΤΡΙΚΗΣ ΜΑΚΕΔΟΝΙΑΣ</w:t>
            </w:r>
          </w:p>
        </w:tc>
        <w:tc>
          <w:tcPr>
            <w:tcW w:w="876" w:type="pct"/>
            <w:tcBorders>
              <w:top w:val="nil"/>
              <w:left w:val="nil"/>
              <w:bottom w:val="single" w:sz="8" w:space="0" w:color="auto"/>
              <w:right w:val="single" w:sz="8" w:space="0" w:color="auto"/>
            </w:tcBorders>
            <w:shd w:val="clear" w:color="auto" w:fill="auto"/>
            <w:noWrap/>
            <w:vAlign w:val="center"/>
            <w:hideMark/>
          </w:tcPr>
          <w:p w14:paraId="36F1C0B2"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2.729</w:t>
            </w:r>
          </w:p>
        </w:tc>
        <w:tc>
          <w:tcPr>
            <w:tcW w:w="714" w:type="pct"/>
            <w:vMerge/>
            <w:tcBorders>
              <w:top w:val="nil"/>
              <w:left w:val="single" w:sz="8" w:space="0" w:color="auto"/>
              <w:bottom w:val="single" w:sz="8" w:space="0" w:color="000000"/>
              <w:right w:val="single" w:sz="8" w:space="0" w:color="auto"/>
            </w:tcBorders>
            <w:vAlign w:val="center"/>
            <w:hideMark/>
          </w:tcPr>
          <w:p w14:paraId="737A4946"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p>
        </w:tc>
        <w:tc>
          <w:tcPr>
            <w:tcW w:w="930" w:type="pct"/>
            <w:tcBorders>
              <w:top w:val="nil"/>
              <w:left w:val="nil"/>
              <w:bottom w:val="single" w:sz="8" w:space="0" w:color="auto"/>
              <w:right w:val="single" w:sz="8" w:space="0" w:color="auto"/>
            </w:tcBorders>
            <w:shd w:val="clear" w:color="auto" w:fill="auto"/>
            <w:noWrap/>
            <w:vAlign w:val="center"/>
            <w:hideMark/>
          </w:tcPr>
          <w:p w14:paraId="3559EFC0"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28.659.981</w:t>
            </w:r>
          </w:p>
        </w:tc>
        <w:tc>
          <w:tcPr>
            <w:tcW w:w="733" w:type="pct"/>
            <w:tcBorders>
              <w:top w:val="nil"/>
              <w:left w:val="nil"/>
              <w:bottom w:val="single" w:sz="8" w:space="0" w:color="auto"/>
              <w:right w:val="single" w:sz="8" w:space="0" w:color="auto"/>
            </w:tcBorders>
            <w:shd w:val="clear" w:color="auto" w:fill="auto"/>
            <w:noWrap/>
            <w:vAlign w:val="center"/>
            <w:hideMark/>
          </w:tcPr>
          <w:p w14:paraId="564F7330"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30.000.000</w:t>
            </w:r>
          </w:p>
        </w:tc>
        <w:tc>
          <w:tcPr>
            <w:tcW w:w="670" w:type="pct"/>
            <w:tcBorders>
              <w:top w:val="nil"/>
              <w:left w:val="nil"/>
              <w:bottom w:val="single" w:sz="8" w:space="0" w:color="auto"/>
              <w:right w:val="single" w:sz="8" w:space="0" w:color="auto"/>
            </w:tcBorders>
            <w:shd w:val="clear" w:color="auto" w:fill="auto"/>
            <w:noWrap/>
            <w:vAlign w:val="center"/>
            <w:hideMark/>
          </w:tcPr>
          <w:p w14:paraId="4102DB7E"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1A8E5436"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3817F22C"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ΗΠΕΙΡΟΥ</w:t>
            </w:r>
          </w:p>
        </w:tc>
        <w:tc>
          <w:tcPr>
            <w:tcW w:w="876" w:type="pct"/>
            <w:tcBorders>
              <w:top w:val="nil"/>
              <w:left w:val="nil"/>
              <w:bottom w:val="single" w:sz="8" w:space="0" w:color="auto"/>
              <w:right w:val="single" w:sz="8" w:space="0" w:color="auto"/>
            </w:tcBorders>
            <w:shd w:val="clear" w:color="auto" w:fill="auto"/>
            <w:noWrap/>
            <w:vAlign w:val="center"/>
            <w:hideMark/>
          </w:tcPr>
          <w:p w14:paraId="09B257EE"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952</w:t>
            </w:r>
          </w:p>
        </w:tc>
        <w:tc>
          <w:tcPr>
            <w:tcW w:w="714" w:type="pct"/>
            <w:vMerge/>
            <w:tcBorders>
              <w:top w:val="nil"/>
              <w:left w:val="single" w:sz="8" w:space="0" w:color="auto"/>
              <w:bottom w:val="single" w:sz="8" w:space="0" w:color="000000"/>
              <w:right w:val="single" w:sz="8" w:space="0" w:color="auto"/>
            </w:tcBorders>
            <w:vAlign w:val="center"/>
            <w:hideMark/>
          </w:tcPr>
          <w:p w14:paraId="19E4060D"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p>
        </w:tc>
        <w:tc>
          <w:tcPr>
            <w:tcW w:w="930" w:type="pct"/>
            <w:tcBorders>
              <w:top w:val="nil"/>
              <w:left w:val="nil"/>
              <w:bottom w:val="single" w:sz="8" w:space="0" w:color="auto"/>
              <w:right w:val="single" w:sz="8" w:space="0" w:color="auto"/>
            </w:tcBorders>
            <w:shd w:val="clear" w:color="auto" w:fill="auto"/>
            <w:noWrap/>
            <w:vAlign w:val="center"/>
            <w:hideMark/>
          </w:tcPr>
          <w:p w14:paraId="5BC8EA3A"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11.204.600</w:t>
            </w:r>
          </w:p>
        </w:tc>
        <w:tc>
          <w:tcPr>
            <w:tcW w:w="733" w:type="pct"/>
            <w:tcBorders>
              <w:top w:val="nil"/>
              <w:left w:val="nil"/>
              <w:bottom w:val="single" w:sz="8" w:space="0" w:color="auto"/>
              <w:right w:val="single" w:sz="8" w:space="0" w:color="auto"/>
            </w:tcBorders>
            <w:shd w:val="clear" w:color="auto" w:fill="auto"/>
            <w:noWrap/>
            <w:vAlign w:val="center"/>
            <w:hideMark/>
          </w:tcPr>
          <w:p w14:paraId="45CE942D"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25.000.000</w:t>
            </w:r>
          </w:p>
        </w:tc>
        <w:tc>
          <w:tcPr>
            <w:tcW w:w="670" w:type="pct"/>
            <w:tcBorders>
              <w:top w:val="nil"/>
              <w:left w:val="nil"/>
              <w:bottom w:val="single" w:sz="8" w:space="0" w:color="auto"/>
              <w:right w:val="single" w:sz="8" w:space="0" w:color="auto"/>
            </w:tcBorders>
            <w:shd w:val="clear" w:color="auto" w:fill="auto"/>
            <w:noWrap/>
            <w:vAlign w:val="center"/>
            <w:hideMark/>
          </w:tcPr>
          <w:p w14:paraId="21176BC6"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1BAEF490"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614167D1"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ΘΕΣΣΑΛΙΑΣ</w:t>
            </w:r>
          </w:p>
        </w:tc>
        <w:tc>
          <w:tcPr>
            <w:tcW w:w="876" w:type="pct"/>
            <w:tcBorders>
              <w:top w:val="nil"/>
              <w:left w:val="nil"/>
              <w:bottom w:val="single" w:sz="8" w:space="0" w:color="auto"/>
              <w:right w:val="single" w:sz="8" w:space="0" w:color="auto"/>
            </w:tcBorders>
            <w:shd w:val="clear" w:color="auto" w:fill="auto"/>
            <w:noWrap/>
            <w:vAlign w:val="center"/>
            <w:hideMark/>
          </w:tcPr>
          <w:p w14:paraId="2538B2B7"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2.083</w:t>
            </w:r>
          </w:p>
        </w:tc>
        <w:tc>
          <w:tcPr>
            <w:tcW w:w="714" w:type="pct"/>
            <w:vMerge/>
            <w:tcBorders>
              <w:top w:val="nil"/>
              <w:left w:val="single" w:sz="8" w:space="0" w:color="auto"/>
              <w:bottom w:val="single" w:sz="8" w:space="0" w:color="000000"/>
              <w:right w:val="single" w:sz="8" w:space="0" w:color="auto"/>
            </w:tcBorders>
            <w:vAlign w:val="center"/>
            <w:hideMark/>
          </w:tcPr>
          <w:p w14:paraId="0B2CDEA4"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p>
        </w:tc>
        <w:tc>
          <w:tcPr>
            <w:tcW w:w="930" w:type="pct"/>
            <w:tcBorders>
              <w:top w:val="nil"/>
              <w:left w:val="nil"/>
              <w:bottom w:val="single" w:sz="8" w:space="0" w:color="auto"/>
              <w:right w:val="single" w:sz="8" w:space="0" w:color="auto"/>
            </w:tcBorders>
            <w:shd w:val="clear" w:color="auto" w:fill="auto"/>
            <w:noWrap/>
            <w:vAlign w:val="center"/>
            <w:hideMark/>
          </w:tcPr>
          <w:p w14:paraId="5365E9FB"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22.880.244</w:t>
            </w:r>
          </w:p>
        </w:tc>
        <w:tc>
          <w:tcPr>
            <w:tcW w:w="733" w:type="pct"/>
            <w:tcBorders>
              <w:top w:val="nil"/>
              <w:left w:val="nil"/>
              <w:bottom w:val="single" w:sz="8" w:space="0" w:color="auto"/>
              <w:right w:val="single" w:sz="8" w:space="0" w:color="auto"/>
            </w:tcBorders>
            <w:shd w:val="clear" w:color="auto" w:fill="auto"/>
            <w:noWrap/>
            <w:vAlign w:val="center"/>
            <w:hideMark/>
          </w:tcPr>
          <w:p w14:paraId="07CE2910"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4.000.000</w:t>
            </w:r>
          </w:p>
        </w:tc>
        <w:tc>
          <w:tcPr>
            <w:tcW w:w="670" w:type="pct"/>
            <w:tcBorders>
              <w:top w:val="nil"/>
              <w:left w:val="nil"/>
              <w:bottom w:val="single" w:sz="8" w:space="0" w:color="auto"/>
              <w:right w:val="single" w:sz="8" w:space="0" w:color="auto"/>
            </w:tcBorders>
            <w:shd w:val="clear" w:color="auto" w:fill="auto"/>
            <w:noWrap/>
            <w:vAlign w:val="center"/>
            <w:hideMark/>
          </w:tcPr>
          <w:p w14:paraId="0B0A0D5A"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18.880.244</w:t>
            </w:r>
          </w:p>
        </w:tc>
      </w:tr>
      <w:tr w:rsidR="000E2DBF" w:rsidRPr="000E2DBF" w14:paraId="0AFD8AC4"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21E8FB00"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 xml:space="preserve">ΔΥΤΙΚΗΣ ΕΛΛΑΔΑΣ </w:t>
            </w:r>
          </w:p>
        </w:tc>
        <w:tc>
          <w:tcPr>
            <w:tcW w:w="876" w:type="pct"/>
            <w:tcBorders>
              <w:top w:val="nil"/>
              <w:left w:val="nil"/>
              <w:bottom w:val="single" w:sz="8" w:space="0" w:color="auto"/>
              <w:right w:val="single" w:sz="8" w:space="0" w:color="auto"/>
            </w:tcBorders>
            <w:shd w:val="clear" w:color="auto" w:fill="auto"/>
            <w:noWrap/>
            <w:vAlign w:val="center"/>
            <w:hideMark/>
          </w:tcPr>
          <w:p w14:paraId="01F1FBCE"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1.500</w:t>
            </w:r>
          </w:p>
        </w:tc>
        <w:tc>
          <w:tcPr>
            <w:tcW w:w="714" w:type="pct"/>
            <w:vMerge/>
            <w:tcBorders>
              <w:top w:val="nil"/>
              <w:left w:val="single" w:sz="8" w:space="0" w:color="auto"/>
              <w:bottom w:val="single" w:sz="8" w:space="0" w:color="000000"/>
              <w:right w:val="single" w:sz="8" w:space="0" w:color="auto"/>
            </w:tcBorders>
            <w:vAlign w:val="center"/>
            <w:hideMark/>
          </w:tcPr>
          <w:p w14:paraId="3B55C848"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p>
        </w:tc>
        <w:tc>
          <w:tcPr>
            <w:tcW w:w="930" w:type="pct"/>
            <w:tcBorders>
              <w:top w:val="nil"/>
              <w:left w:val="nil"/>
              <w:bottom w:val="single" w:sz="8" w:space="0" w:color="auto"/>
              <w:right w:val="single" w:sz="8" w:space="0" w:color="auto"/>
            </w:tcBorders>
            <w:shd w:val="clear" w:color="auto" w:fill="auto"/>
            <w:noWrap/>
            <w:vAlign w:val="center"/>
            <w:hideMark/>
          </w:tcPr>
          <w:p w14:paraId="64F13FB5"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17.064.399</w:t>
            </w:r>
          </w:p>
        </w:tc>
        <w:tc>
          <w:tcPr>
            <w:tcW w:w="733" w:type="pct"/>
            <w:tcBorders>
              <w:top w:val="nil"/>
              <w:left w:val="nil"/>
              <w:bottom w:val="single" w:sz="8" w:space="0" w:color="auto"/>
              <w:right w:val="single" w:sz="8" w:space="0" w:color="auto"/>
            </w:tcBorders>
            <w:shd w:val="clear" w:color="auto" w:fill="auto"/>
            <w:noWrap/>
            <w:vAlign w:val="center"/>
            <w:hideMark/>
          </w:tcPr>
          <w:p w14:paraId="1625F386"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17.000.000</w:t>
            </w:r>
          </w:p>
        </w:tc>
        <w:tc>
          <w:tcPr>
            <w:tcW w:w="670" w:type="pct"/>
            <w:tcBorders>
              <w:top w:val="nil"/>
              <w:left w:val="nil"/>
              <w:bottom w:val="single" w:sz="8" w:space="0" w:color="auto"/>
              <w:right w:val="single" w:sz="8" w:space="0" w:color="auto"/>
            </w:tcBorders>
            <w:shd w:val="clear" w:color="auto" w:fill="auto"/>
            <w:noWrap/>
            <w:vAlign w:val="center"/>
            <w:hideMark/>
          </w:tcPr>
          <w:p w14:paraId="48FC1D51"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1ADD741D"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3BC1289E"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ΑΤΤΙΚΗΣ</w:t>
            </w:r>
          </w:p>
        </w:tc>
        <w:tc>
          <w:tcPr>
            <w:tcW w:w="876" w:type="pct"/>
            <w:tcBorders>
              <w:top w:val="nil"/>
              <w:left w:val="nil"/>
              <w:bottom w:val="single" w:sz="8" w:space="0" w:color="auto"/>
              <w:right w:val="single" w:sz="8" w:space="0" w:color="auto"/>
            </w:tcBorders>
            <w:shd w:val="clear" w:color="auto" w:fill="auto"/>
            <w:noWrap/>
            <w:vAlign w:val="center"/>
            <w:hideMark/>
          </w:tcPr>
          <w:p w14:paraId="7C3FFDB3"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4.339</w:t>
            </w:r>
          </w:p>
        </w:tc>
        <w:tc>
          <w:tcPr>
            <w:tcW w:w="714" w:type="pct"/>
            <w:tcBorders>
              <w:top w:val="nil"/>
              <w:left w:val="nil"/>
              <w:bottom w:val="single" w:sz="8" w:space="0" w:color="auto"/>
              <w:right w:val="single" w:sz="8" w:space="0" w:color="auto"/>
            </w:tcBorders>
            <w:shd w:val="clear" w:color="auto" w:fill="auto"/>
            <w:noWrap/>
            <w:vAlign w:val="center"/>
            <w:hideMark/>
          </w:tcPr>
          <w:p w14:paraId="3DF4C718"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8.396.498</w:t>
            </w:r>
          </w:p>
        </w:tc>
        <w:tc>
          <w:tcPr>
            <w:tcW w:w="930" w:type="pct"/>
            <w:tcBorders>
              <w:top w:val="nil"/>
              <w:left w:val="nil"/>
              <w:bottom w:val="single" w:sz="8" w:space="0" w:color="auto"/>
              <w:right w:val="single" w:sz="8" w:space="0" w:color="auto"/>
            </w:tcBorders>
            <w:shd w:val="clear" w:color="auto" w:fill="auto"/>
            <w:noWrap/>
            <w:vAlign w:val="center"/>
            <w:hideMark/>
          </w:tcPr>
          <w:p w14:paraId="7286C25A"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39.145.150</w:t>
            </w:r>
          </w:p>
        </w:tc>
        <w:tc>
          <w:tcPr>
            <w:tcW w:w="733" w:type="pct"/>
            <w:tcBorders>
              <w:top w:val="nil"/>
              <w:left w:val="nil"/>
              <w:bottom w:val="single" w:sz="8" w:space="0" w:color="auto"/>
              <w:right w:val="single" w:sz="8" w:space="0" w:color="auto"/>
            </w:tcBorders>
            <w:shd w:val="clear" w:color="auto" w:fill="auto"/>
            <w:noWrap/>
            <w:vAlign w:val="center"/>
            <w:hideMark/>
          </w:tcPr>
          <w:p w14:paraId="36DAE058"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10.000.000</w:t>
            </w:r>
          </w:p>
        </w:tc>
        <w:tc>
          <w:tcPr>
            <w:tcW w:w="670" w:type="pct"/>
            <w:tcBorders>
              <w:top w:val="nil"/>
              <w:left w:val="nil"/>
              <w:bottom w:val="single" w:sz="8" w:space="0" w:color="auto"/>
              <w:right w:val="single" w:sz="8" w:space="0" w:color="auto"/>
            </w:tcBorders>
            <w:shd w:val="clear" w:color="auto" w:fill="auto"/>
            <w:noWrap/>
            <w:vAlign w:val="center"/>
            <w:hideMark/>
          </w:tcPr>
          <w:p w14:paraId="05DD6E4F"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29.145.150</w:t>
            </w:r>
          </w:p>
        </w:tc>
      </w:tr>
      <w:tr w:rsidR="000E2DBF" w:rsidRPr="000E2DBF" w14:paraId="7F4DD379"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3CBC44D7"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ΝΟΤΙΟΥ ΑΙΓΑΙΟΥ</w:t>
            </w:r>
          </w:p>
        </w:tc>
        <w:tc>
          <w:tcPr>
            <w:tcW w:w="876" w:type="pct"/>
            <w:tcBorders>
              <w:top w:val="nil"/>
              <w:left w:val="nil"/>
              <w:bottom w:val="single" w:sz="8" w:space="0" w:color="auto"/>
              <w:right w:val="single" w:sz="8" w:space="0" w:color="auto"/>
            </w:tcBorders>
            <w:shd w:val="clear" w:color="auto" w:fill="auto"/>
            <w:noWrap/>
            <w:vAlign w:val="center"/>
            <w:hideMark/>
          </w:tcPr>
          <w:p w14:paraId="1DA9D0D0"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295</w:t>
            </w:r>
          </w:p>
        </w:tc>
        <w:tc>
          <w:tcPr>
            <w:tcW w:w="714" w:type="pct"/>
            <w:tcBorders>
              <w:top w:val="nil"/>
              <w:left w:val="nil"/>
              <w:bottom w:val="single" w:sz="8" w:space="0" w:color="auto"/>
              <w:right w:val="single" w:sz="8" w:space="0" w:color="auto"/>
            </w:tcBorders>
            <w:shd w:val="clear" w:color="auto" w:fill="auto"/>
            <w:noWrap/>
            <w:vAlign w:val="center"/>
            <w:hideMark/>
          </w:tcPr>
          <w:p w14:paraId="16BC73D6"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599.903</w:t>
            </w:r>
          </w:p>
        </w:tc>
        <w:tc>
          <w:tcPr>
            <w:tcW w:w="930" w:type="pct"/>
            <w:tcBorders>
              <w:top w:val="nil"/>
              <w:left w:val="nil"/>
              <w:bottom w:val="single" w:sz="8" w:space="0" w:color="auto"/>
              <w:right w:val="single" w:sz="8" w:space="0" w:color="auto"/>
            </w:tcBorders>
            <w:shd w:val="clear" w:color="auto" w:fill="auto"/>
            <w:noWrap/>
            <w:vAlign w:val="center"/>
            <w:hideMark/>
          </w:tcPr>
          <w:p w14:paraId="56B49C07"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2.902.349</w:t>
            </w:r>
          </w:p>
        </w:tc>
        <w:tc>
          <w:tcPr>
            <w:tcW w:w="733" w:type="pct"/>
            <w:tcBorders>
              <w:top w:val="nil"/>
              <w:left w:val="nil"/>
              <w:bottom w:val="single" w:sz="8" w:space="0" w:color="auto"/>
              <w:right w:val="single" w:sz="8" w:space="0" w:color="auto"/>
            </w:tcBorders>
            <w:shd w:val="clear" w:color="auto" w:fill="auto"/>
            <w:noWrap/>
            <w:vAlign w:val="center"/>
            <w:hideMark/>
          </w:tcPr>
          <w:p w14:paraId="69D296BA"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c>
          <w:tcPr>
            <w:tcW w:w="670" w:type="pct"/>
            <w:tcBorders>
              <w:top w:val="nil"/>
              <w:left w:val="nil"/>
              <w:bottom w:val="single" w:sz="8" w:space="0" w:color="auto"/>
              <w:right w:val="single" w:sz="8" w:space="0" w:color="auto"/>
            </w:tcBorders>
            <w:shd w:val="clear" w:color="auto" w:fill="auto"/>
            <w:noWrap/>
            <w:vAlign w:val="center"/>
            <w:hideMark/>
          </w:tcPr>
          <w:p w14:paraId="4EED43C6"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2.902.349</w:t>
            </w:r>
          </w:p>
        </w:tc>
      </w:tr>
      <w:tr w:rsidR="000E2DBF" w:rsidRPr="000E2DBF" w14:paraId="7DC73822"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67B6D346"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ΣΤΕΡΕΑΣ ΕΛΛΑΔΑΣ</w:t>
            </w:r>
          </w:p>
        </w:tc>
        <w:tc>
          <w:tcPr>
            <w:tcW w:w="876" w:type="pct"/>
            <w:tcBorders>
              <w:top w:val="nil"/>
              <w:left w:val="nil"/>
              <w:bottom w:val="single" w:sz="8" w:space="0" w:color="auto"/>
              <w:right w:val="single" w:sz="8" w:space="0" w:color="auto"/>
            </w:tcBorders>
            <w:shd w:val="clear" w:color="auto" w:fill="auto"/>
            <w:noWrap/>
            <w:vAlign w:val="center"/>
            <w:hideMark/>
          </w:tcPr>
          <w:p w14:paraId="6BD40A41"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970</w:t>
            </w:r>
          </w:p>
        </w:tc>
        <w:tc>
          <w:tcPr>
            <w:tcW w:w="714" w:type="pct"/>
            <w:tcBorders>
              <w:top w:val="nil"/>
              <w:left w:val="nil"/>
              <w:bottom w:val="single" w:sz="8" w:space="0" w:color="auto"/>
              <w:right w:val="single" w:sz="8" w:space="0" w:color="auto"/>
            </w:tcBorders>
            <w:shd w:val="clear" w:color="auto" w:fill="auto"/>
            <w:noWrap/>
            <w:vAlign w:val="center"/>
            <w:hideMark/>
          </w:tcPr>
          <w:p w14:paraId="409A5A0C"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2.129.197</w:t>
            </w:r>
          </w:p>
        </w:tc>
        <w:tc>
          <w:tcPr>
            <w:tcW w:w="930" w:type="pct"/>
            <w:tcBorders>
              <w:top w:val="nil"/>
              <w:left w:val="nil"/>
              <w:bottom w:val="single" w:sz="8" w:space="0" w:color="auto"/>
              <w:right w:val="single" w:sz="8" w:space="0" w:color="auto"/>
            </w:tcBorders>
            <w:shd w:val="clear" w:color="auto" w:fill="auto"/>
            <w:noWrap/>
            <w:vAlign w:val="center"/>
            <w:hideMark/>
          </w:tcPr>
          <w:p w14:paraId="7C7D50B4"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10.488.308</w:t>
            </w:r>
          </w:p>
        </w:tc>
        <w:tc>
          <w:tcPr>
            <w:tcW w:w="733" w:type="pct"/>
            <w:tcBorders>
              <w:top w:val="nil"/>
              <w:left w:val="nil"/>
              <w:bottom w:val="single" w:sz="8" w:space="0" w:color="auto"/>
              <w:right w:val="single" w:sz="8" w:space="0" w:color="auto"/>
            </w:tcBorders>
            <w:shd w:val="clear" w:color="auto" w:fill="auto"/>
            <w:noWrap/>
            <w:vAlign w:val="center"/>
            <w:hideMark/>
          </w:tcPr>
          <w:p w14:paraId="6E8DFB21"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c>
          <w:tcPr>
            <w:tcW w:w="670" w:type="pct"/>
            <w:tcBorders>
              <w:top w:val="nil"/>
              <w:left w:val="nil"/>
              <w:bottom w:val="single" w:sz="8" w:space="0" w:color="auto"/>
              <w:right w:val="single" w:sz="8" w:space="0" w:color="auto"/>
            </w:tcBorders>
            <w:shd w:val="clear" w:color="auto" w:fill="auto"/>
            <w:noWrap/>
            <w:vAlign w:val="center"/>
            <w:hideMark/>
          </w:tcPr>
          <w:p w14:paraId="57E81700"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10.488.308</w:t>
            </w:r>
          </w:p>
        </w:tc>
      </w:tr>
      <w:tr w:rsidR="000E2DBF" w:rsidRPr="000E2DBF" w14:paraId="76941A78"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5EC16816"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ΔΥΤΙΚΗΣ ΜΑΚΕΔΟΝΙΑΣ</w:t>
            </w:r>
          </w:p>
        </w:tc>
        <w:tc>
          <w:tcPr>
            <w:tcW w:w="876" w:type="pct"/>
            <w:tcBorders>
              <w:top w:val="nil"/>
              <w:left w:val="nil"/>
              <w:bottom w:val="single" w:sz="8" w:space="0" w:color="auto"/>
              <w:right w:val="single" w:sz="8" w:space="0" w:color="auto"/>
            </w:tcBorders>
            <w:shd w:val="clear" w:color="auto" w:fill="auto"/>
            <w:noWrap/>
            <w:vAlign w:val="center"/>
            <w:hideMark/>
          </w:tcPr>
          <w:p w14:paraId="3CC2F806"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811</w:t>
            </w:r>
          </w:p>
        </w:tc>
        <w:tc>
          <w:tcPr>
            <w:tcW w:w="71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EB1C477"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8.774.934</w:t>
            </w:r>
          </w:p>
        </w:tc>
        <w:tc>
          <w:tcPr>
            <w:tcW w:w="930" w:type="pct"/>
            <w:tcBorders>
              <w:top w:val="nil"/>
              <w:left w:val="nil"/>
              <w:bottom w:val="single" w:sz="8" w:space="0" w:color="auto"/>
              <w:right w:val="single" w:sz="8" w:space="0" w:color="auto"/>
            </w:tcBorders>
            <w:shd w:val="clear" w:color="auto" w:fill="auto"/>
            <w:noWrap/>
            <w:vAlign w:val="center"/>
            <w:hideMark/>
          </w:tcPr>
          <w:p w14:paraId="24CACB3F"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9.360.435</w:t>
            </w:r>
          </w:p>
        </w:tc>
        <w:tc>
          <w:tcPr>
            <w:tcW w:w="733" w:type="pct"/>
            <w:tcBorders>
              <w:top w:val="nil"/>
              <w:left w:val="nil"/>
              <w:bottom w:val="single" w:sz="8" w:space="0" w:color="auto"/>
              <w:right w:val="single" w:sz="8" w:space="0" w:color="auto"/>
            </w:tcBorders>
            <w:shd w:val="clear" w:color="auto" w:fill="auto"/>
            <w:noWrap/>
            <w:vAlign w:val="center"/>
            <w:hideMark/>
          </w:tcPr>
          <w:p w14:paraId="12E3E457"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9.300.000</w:t>
            </w:r>
          </w:p>
        </w:tc>
        <w:tc>
          <w:tcPr>
            <w:tcW w:w="670" w:type="pct"/>
            <w:tcBorders>
              <w:top w:val="nil"/>
              <w:left w:val="nil"/>
              <w:bottom w:val="single" w:sz="8" w:space="0" w:color="auto"/>
              <w:right w:val="single" w:sz="8" w:space="0" w:color="auto"/>
            </w:tcBorders>
            <w:shd w:val="clear" w:color="auto" w:fill="auto"/>
            <w:noWrap/>
            <w:vAlign w:val="center"/>
            <w:hideMark/>
          </w:tcPr>
          <w:p w14:paraId="4BBB96C6"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50B2362C"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2AC8670E"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ΠΕΛΟΠΟΝΝΗΣΟΥ</w:t>
            </w:r>
          </w:p>
        </w:tc>
        <w:tc>
          <w:tcPr>
            <w:tcW w:w="876" w:type="pct"/>
            <w:tcBorders>
              <w:top w:val="nil"/>
              <w:left w:val="nil"/>
              <w:bottom w:val="single" w:sz="8" w:space="0" w:color="auto"/>
              <w:right w:val="single" w:sz="8" w:space="0" w:color="auto"/>
            </w:tcBorders>
            <w:shd w:val="clear" w:color="auto" w:fill="auto"/>
            <w:noWrap/>
            <w:vAlign w:val="center"/>
            <w:hideMark/>
          </w:tcPr>
          <w:p w14:paraId="6526487E"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945</w:t>
            </w:r>
          </w:p>
        </w:tc>
        <w:tc>
          <w:tcPr>
            <w:tcW w:w="714" w:type="pct"/>
            <w:vMerge/>
            <w:tcBorders>
              <w:top w:val="nil"/>
              <w:left w:val="single" w:sz="8" w:space="0" w:color="auto"/>
              <w:bottom w:val="single" w:sz="8" w:space="0" w:color="000000"/>
              <w:right w:val="single" w:sz="8" w:space="0" w:color="auto"/>
            </w:tcBorders>
            <w:vAlign w:val="center"/>
            <w:hideMark/>
          </w:tcPr>
          <w:p w14:paraId="08B803C3"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p>
        </w:tc>
        <w:tc>
          <w:tcPr>
            <w:tcW w:w="930" w:type="pct"/>
            <w:tcBorders>
              <w:top w:val="nil"/>
              <w:left w:val="nil"/>
              <w:bottom w:val="single" w:sz="8" w:space="0" w:color="auto"/>
              <w:right w:val="single" w:sz="8" w:space="0" w:color="auto"/>
            </w:tcBorders>
            <w:shd w:val="clear" w:color="auto" w:fill="auto"/>
            <w:noWrap/>
            <w:vAlign w:val="center"/>
            <w:hideMark/>
          </w:tcPr>
          <w:p w14:paraId="1674F83B"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10.664.265</w:t>
            </w:r>
          </w:p>
        </w:tc>
        <w:tc>
          <w:tcPr>
            <w:tcW w:w="733" w:type="pct"/>
            <w:tcBorders>
              <w:top w:val="nil"/>
              <w:left w:val="nil"/>
              <w:bottom w:val="single" w:sz="8" w:space="0" w:color="auto"/>
              <w:right w:val="single" w:sz="8" w:space="0" w:color="auto"/>
            </w:tcBorders>
            <w:shd w:val="clear" w:color="auto" w:fill="auto"/>
            <w:noWrap/>
            <w:vAlign w:val="center"/>
            <w:hideMark/>
          </w:tcPr>
          <w:p w14:paraId="20639F3D"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10.664.265</w:t>
            </w:r>
          </w:p>
        </w:tc>
        <w:tc>
          <w:tcPr>
            <w:tcW w:w="670" w:type="pct"/>
            <w:tcBorders>
              <w:top w:val="nil"/>
              <w:left w:val="nil"/>
              <w:bottom w:val="single" w:sz="8" w:space="0" w:color="auto"/>
              <w:right w:val="single" w:sz="8" w:space="0" w:color="auto"/>
            </w:tcBorders>
            <w:shd w:val="clear" w:color="auto" w:fill="auto"/>
            <w:noWrap/>
            <w:vAlign w:val="center"/>
            <w:hideMark/>
          </w:tcPr>
          <w:p w14:paraId="28E0BCA8"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5A301526"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5FD51837"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ΙΟΝΙΩΝ ΝΗΣΩΝ*</w:t>
            </w:r>
          </w:p>
        </w:tc>
        <w:tc>
          <w:tcPr>
            <w:tcW w:w="876" w:type="pct"/>
            <w:tcBorders>
              <w:top w:val="nil"/>
              <w:left w:val="nil"/>
              <w:bottom w:val="single" w:sz="8" w:space="0" w:color="auto"/>
              <w:right w:val="single" w:sz="8" w:space="0" w:color="auto"/>
            </w:tcBorders>
            <w:shd w:val="clear" w:color="auto" w:fill="auto"/>
            <w:noWrap/>
            <w:vAlign w:val="center"/>
            <w:hideMark/>
          </w:tcPr>
          <w:p w14:paraId="0D0ED4D8"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700*</w:t>
            </w:r>
          </w:p>
        </w:tc>
        <w:tc>
          <w:tcPr>
            <w:tcW w:w="714" w:type="pct"/>
            <w:vMerge/>
            <w:tcBorders>
              <w:top w:val="nil"/>
              <w:left w:val="single" w:sz="8" w:space="0" w:color="auto"/>
              <w:bottom w:val="single" w:sz="8" w:space="0" w:color="000000"/>
              <w:right w:val="single" w:sz="8" w:space="0" w:color="auto"/>
            </w:tcBorders>
            <w:vAlign w:val="center"/>
            <w:hideMark/>
          </w:tcPr>
          <w:p w14:paraId="0D08144D"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p>
        </w:tc>
        <w:tc>
          <w:tcPr>
            <w:tcW w:w="930" w:type="pct"/>
            <w:tcBorders>
              <w:top w:val="nil"/>
              <w:left w:val="nil"/>
              <w:bottom w:val="single" w:sz="8" w:space="0" w:color="auto"/>
              <w:right w:val="single" w:sz="8" w:space="0" w:color="auto"/>
            </w:tcBorders>
            <w:shd w:val="clear" w:color="auto" w:fill="auto"/>
            <w:noWrap/>
            <w:vAlign w:val="center"/>
            <w:hideMark/>
          </w:tcPr>
          <w:p w14:paraId="09FF796F"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7.005.525</w:t>
            </w:r>
          </w:p>
        </w:tc>
        <w:tc>
          <w:tcPr>
            <w:tcW w:w="733" w:type="pct"/>
            <w:tcBorders>
              <w:top w:val="nil"/>
              <w:left w:val="nil"/>
              <w:bottom w:val="single" w:sz="8" w:space="0" w:color="auto"/>
              <w:right w:val="single" w:sz="8" w:space="0" w:color="auto"/>
            </w:tcBorders>
            <w:shd w:val="clear" w:color="auto" w:fill="auto"/>
            <w:noWrap/>
            <w:vAlign w:val="center"/>
            <w:hideMark/>
          </w:tcPr>
          <w:p w14:paraId="28E2584A"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c>
          <w:tcPr>
            <w:tcW w:w="670" w:type="pct"/>
            <w:tcBorders>
              <w:top w:val="nil"/>
              <w:left w:val="nil"/>
              <w:bottom w:val="single" w:sz="8" w:space="0" w:color="auto"/>
              <w:right w:val="single" w:sz="8" w:space="0" w:color="auto"/>
            </w:tcBorders>
            <w:shd w:val="clear" w:color="auto" w:fill="auto"/>
            <w:noWrap/>
            <w:vAlign w:val="center"/>
            <w:hideMark/>
          </w:tcPr>
          <w:p w14:paraId="0E61D4DF"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6761FF89"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01A83E1B"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ΒΟΡΕΙΟΥ ΑΙΓΑΙΟΥ</w:t>
            </w:r>
          </w:p>
        </w:tc>
        <w:tc>
          <w:tcPr>
            <w:tcW w:w="876" w:type="pct"/>
            <w:tcBorders>
              <w:top w:val="nil"/>
              <w:left w:val="nil"/>
              <w:bottom w:val="single" w:sz="8" w:space="0" w:color="auto"/>
              <w:right w:val="single" w:sz="8" w:space="0" w:color="auto"/>
            </w:tcBorders>
            <w:shd w:val="clear" w:color="auto" w:fill="auto"/>
            <w:noWrap/>
            <w:vAlign w:val="center"/>
            <w:hideMark/>
          </w:tcPr>
          <w:p w14:paraId="2E63497B"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255</w:t>
            </w:r>
          </w:p>
        </w:tc>
        <w:tc>
          <w:tcPr>
            <w:tcW w:w="714" w:type="pct"/>
            <w:vMerge/>
            <w:tcBorders>
              <w:top w:val="nil"/>
              <w:left w:val="single" w:sz="8" w:space="0" w:color="auto"/>
              <w:bottom w:val="single" w:sz="8" w:space="0" w:color="000000"/>
              <w:right w:val="single" w:sz="8" w:space="0" w:color="auto"/>
            </w:tcBorders>
            <w:vAlign w:val="center"/>
            <w:hideMark/>
          </w:tcPr>
          <w:p w14:paraId="3206CBF4"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p>
        </w:tc>
        <w:tc>
          <w:tcPr>
            <w:tcW w:w="930" w:type="pct"/>
            <w:tcBorders>
              <w:top w:val="nil"/>
              <w:left w:val="nil"/>
              <w:bottom w:val="single" w:sz="8" w:space="0" w:color="auto"/>
              <w:right w:val="single" w:sz="8" w:space="0" w:color="auto"/>
            </w:tcBorders>
            <w:shd w:val="clear" w:color="auto" w:fill="auto"/>
            <w:noWrap/>
            <w:vAlign w:val="center"/>
            <w:hideMark/>
          </w:tcPr>
          <w:p w14:paraId="49CB0D92"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2.760.379</w:t>
            </w:r>
          </w:p>
        </w:tc>
        <w:tc>
          <w:tcPr>
            <w:tcW w:w="733" w:type="pct"/>
            <w:tcBorders>
              <w:top w:val="nil"/>
              <w:left w:val="nil"/>
              <w:bottom w:val="single" w:sz="8" w:space="0" w:color="auto"/>
              <w:right w:val="single" w:sz="8" w:space="0" w:color="auto"/>
            </w:tcBorders>
            <w:shd w:val="clear" w:color="auto" w:fill="auto"/>
            <w:noWrap/>
            <w:vAlign w:val="center"/>
            <w:hideMark/>
          </w:tcPr>
          <w:p w14:paraId="0DD46588"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7.500.000</w:t>
            </w:r>
          </w:p>
        </w:tc>
        <w:tc>
          <w:tcPr>
            <w:tcW w:w="670" w:type="pct"/>
            <w:tcBorders>
              <w:top w:val="nil"/>
              <w:left w:val="nil"/>
              <w:bottom w:val="single" w:sz="8" w:space="0" w:color="auto"/>
              <w:right w:val="single" w:sz="8" w:space="0" w:color="auto"/>
            </w:tcBorders>
            <w:shd w:val="clear" w:color="auto" w:fill="auto"/>
            <w:noWrap/>
            <w:vAlign w:val="center"/>
            <w:hideMark/>
          </w:tcPr>
          <w:p w14:paraId="2847D924"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70FF5956"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35951338"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r w:rsidRPr="000E2DBF">
              <w:rPr>
                <w:rFonts w:eastAsia="Times New Roman"/>
                <w:sz w:val="18"/>
                <w:szCs w:val="18"/>
                <w:lang w:eastAsia="el-GR"/>
              </w:rPr>
              <w:t>ΚΡΗΤΗΣ</w:t>
            </w:r>
          </w:p>
        </w:tc>
        <w:tc>
          <w:tcPr>
            <w:tcW w:w="876" w:type="pct"/>
            <w:tcBorders>
              <w:top w:val="nil"/>
              <w:left w:val="nil"/>
              <w:bottom w:val="single" w:sz="8" w:space="0" w:color="auto"/>
              <w:right w:val="single" w:sz="8" w:space="0" w:color="auto"/>
            </w:tcBorders>
            <w:shd w:val="clear" w:color="auto" w:fill="auto"/>
            <w:noWrap/>
            <w:vAlign w:val="center"/>
            <w:hideMark/>
          </w:tcPr>
          <w:p w14:paraId="330F2D20" w14:textId="77777777" w:rsidR="000E2DBF" w:rsidRPr="000E2DBF" w:rsidRDefault="000E2DBF" w:rsidP="000E2DBF">
            <w:pPr>
              <w:autoSpaceDE/>
              <w:autoSpaceDN/>
              <w:adjustRightInd/>
              <w:spacing w:before="0" w:after="0" w:line="240" w:lineRule="auto"/>
              <w:jc w:val="right"/>
              <w:rPr>
                <w:rFonts w:eastAsia="Times New Roman"/>
                <w:color w:val="000000"/>
                <w:sz w:val="18"/>
                <w:szCs w:val="18"/>
                <w:lang w:eastAsia="el-GR"/>
              </w:rPr>
            </w:pPr>
            <w:r w:rsidRPr="000E2DBF">
              <w:rPr>
                <w:rFonts w:eastAsia="Times New Roman"/>
                <w:color w:val="000000"/>
                <w:sz w:val="18"/>
                <w:szCs w:val="18"/>
                <w:lang w:eastAsia="el-GR"/>
              </w:rPr>
              <w:t>899</w:t>
            </w:r>
          </w:p>
        </w:tc>
        <w:tc>
          <w:tcPr>
            <w:tcW w:w="714" w:type="pct"/>
            <w:vMerge/>
            <w:tcBorders>
              <w:top w:val="nil"/>
              <w:left w:val="single" w:sz="8" w:space="0" w:color="auto"/>
              <w:bottom w:val="single" w:sz="8" w:space="0" w:color="000000"/>
              <w:right w:val="single" w:sz="8" w:space="0" w:color="auto"/>
            </w:tcBorders>
            <w:vAlign w:val="center"/>
            <w:hideMark/>
          </w:tcPr>
          <w:p w14:paraId="68430009" w14:textId="77777777" w:rsidR="000E2DBF" w:rsidRPr="000E2DBF" w:rsidRDefault="000E2DBF" w:rsidP="000E2DBF">
            <w:pPr>
              <w:autoSpaceDE/>
              <w:autoSpaceDN/>
              <w:adjustRightInd/>
              <w:spacing w:before="0" w:after="0" w:line="240" w:lineRule="auto"/>
              <w:jc w:val="left"/>
              <w:rPr>
                <w:rFonts w:eastAsia="Times New Roman"/>
                <w:sz w:val="18"/>
                <w:szCs w:val="18"/>
                <w:lang w:eastAsia="el-GR"/>
              </w:rPr>
            </w:pPr>
          </w:p>
        </w:tc>
        <w:tc>
          <w:tcPr>
            <w:tcW w:w="930" w:type="pct"/>
            <w:tcBorders>
              <w:top w:val="nil"/>
              <w:left w:val="nil"/>
              <w:bottom w:val="single" w:sz="8" w:space="0" w:color="auto"/>
              <w:right w:val="single" w:sz="8" w:space="0" w:color="auto"/>
            </w:tcBorders>
            <w:shd w:val="clear" w:color="auto" w:fill="auto"/>
            <w:noWrap/>
            <w:vAlign w:val="center"/>
            <w:hideMark/>
          </w:tcPr>
          <w:p w14:paraId="6D654A2F" w14:textId="77777777" w:rsidR="000E2DBF" w:rsidRPr="000E2DBF" w:rsidRDefault="000E2DBF" w:rsidP="000E2DBF">
            <w:pPr>
              <w:autoSpaceDE/>
              <w:autoSpaceDN/>
              <w:adjustRightInd/>
              <w:spacing w:before="0" w:after="0" w:line="240" w:lineRule="auto"/>
              <w:jc w:val="right"/>
              <w:rPr>
                <w:rFonts w:eastAsia="Times New Roman"/>
                <w:sz w:val="18"/>
                <w:szCs w:val="18"/>
                <w:lang w:eastAsia="el-GR"/>
              </w:rPr>
            </w:pPr>
            <w:r w:rsidRPr="000E2DBF">
              <w:rPr>
                <w:rFonts w:eastAsia="Times New Roman"/>
                <w:sz w:val="18"/>
                <w:szCs w:val="18"/>
                <w:lang w:eastAsia="el-GR"/>
              </w:rPr>
              <w:t>10.176.772</w:t>
            </w:r>
          </w:p>
        </w:tc>
        <w:tc>
          <w:tcPr>
            <w:tcW w:w="733" w:type="pct"/>
            <w:tcBorders>
              <w:top w:val="nil"/>
              <w:left w:val="nil"/>
              <w:bottom w:val="single" w:sz="8" w:space="0" w:color="auto"/>
              <w:right w:val="single" w:sz="8" w:space="0" w:color="auto"/>
            </w:tcBorders>
            <w:shd w:val="clear" w:color="auto" w:fill="auto"/>
            <w:noWrap/>
            <w:vAlign w:val="center"/>
            <w:hideMark/>
          </w:tcPr>
          <w:p w14:paraId="61DBE302"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10.000.000</w:t>
            </w:r>
          </w:p>
        </w:tc>
        <w:tc>
          <w:tcPr>
            <w:tcW w:w="670" w:type="pct"/>
            <w:tcBorders>
              <w:top w:val="nil"/>
              <w:left w:val="nil"/>
              <w:bottom w:val="single" w:sz="8" w:space="0" w:color="auto"/>
              <w:right w:val="single" w:sz="8" w:space="0" w:color="auto"/>
            </w:tcBorders>
            <w:shd w:val="clear" w:color="auto" w:fill="auto"/>
            <w:noWrap/>
            <w:vAlign w:val="center"/>
            <w:hideMark/>
          </w:tcPr>
          <w:p w14:paraId="4BA0C055" w14:textId="77777777" w:rsidR="000E2DBF" w:rsidRPr="000E2DBF" w:rsidRDefault="000E2DBF" w:rsidP="000E2DBF">
            <w:pPr>
              <w:autoSpaceDE/>
              <w:autoSpaceDN/>
              <w:adjustRightInd/>
              <w:spacing w:before="0" w:after="0" w:line="240" w:lineRule="auto"/>
              <w:jc w:val="right"/>
              <w:rPr>
                <w:rFonts w:eastAsia="Times New Roman"/>
                <w:b/>
                <w:bCs/>
                <w:sz w:val="18"/>
                <w:szCs w:val="18"/>
                <w:lang w:eastAsia="el-GR"/>
              </w:rPr>
            </w:pPr>
            <w:r w:rsidRPr="000E2DBF">
              <w:rPr>
                <w:rFonts w:eastAsia="Times New Roman"/>
                <w:b/>
                <w:bCs/>
                <w:sz w:val="18"/>
                <w:szCs w:val="18"/>
                <w:lang w:eastAsia="el-GR"/>
              </w:rPr>
              <w:t> </w:t>
            </w:r>
          </w:p>
        </w:tc>
      </w:tr>
      <w:tr w:rsidR="000E2DBF" w:rsidRPr="000E2DBF" w14:paraId="4A2FF9B7" w14:textId="77777777" w:rsidTr="000E2DBF">
        <w:trPr>
          <w:trHeight w:val="270"/>
        </w:trPr>
        <w:tc>
          <w:tcPr>
            <w:tcW w:w="1076" w:type="pct"/>
            <w:tcBorders>
              <w:top w:val="nil"/>
              <w:left w:val="single" w:sz="8" w:space="0" w:color="auto"/>
              <w:bottom w:val="single" w:sz="8" w:space="0" w:color="auto"/>
              <w:right w:val="single" w:sz="8" w:space="0" w:color="auto"/>
            </w:tcBorders>
            <w:shd w:val="clear" w:color="auto" w:fill="auto"/>
            <w:noWrap/>
            <w:vAlign w:val="center"/>
            <w:hideMark/>
          </w:tcPr>
          <w:p w14:paraId="0F133DFE" w14:textId="77777777" w:rsidR="000E2DBF" w:rsidRPr="000E2DBF" w:rsidRDefault="000E2DBF" w:rsidP="000E2DBF">
            <w:pPr>
              <w:autoSpaceDE/>
              <w:autoSpaceDN/>
              <w:adjustRightInd/>
              <w:spacing w:before="0" w:after="0" w:line="240" w:lineRule="auto"/>
              <w:jc w:val="left"/>
              <w:rPr>
                <w:rFonts w:eastAsia="Times New Roman"/>
                <w:b/>
                <w:bCs/>
                <w:sz w:val="18"/>
                <w:szCs w:val="18"/>
                <w:lang w:eastAsia="el-GR"/>
              </w:rPr>
            </w:pPr>
            <w:r w:rsidRPr="000E2DBF">
              <w:rPr>
                <w:rFonts w:eastAsia="Times New Roman"/>
                <w:b/>
                <w:bCs/>
                <w:sz w:val="18"/>
                <w:szCs w:val="18"/>
                <w:lang w:eastAsia="el-GR"/>
              </w:rPr>
              <w:t>ΣΥΝΟΛΟ</w:t>
            </w:r>
          </w:p>
        </w:tc>
        <w:tc>
          <w:tcPr>
            <w:tcW w:w="876" w:type="pct"/>
            <w:tcBorders>
              <w:top w:val="nil"/>
              <w:left w:val="nil"/>
              <w:bottom w:val="single" w:sz="8" w:space="0" w:color="auto"/>
              <w:right w:val="single" w:sz="8" w:space="0" w:color="auto"/>
            </w:tcBorders>
            <w:shd w:val="clear" w:color="auto" w:fill="auto"/>
            <w:noWrap/>
            <w:vAlign w:val="center"/>
            <w:hideMark/>
          </w:tcPr>
          <w:p w14:paraId="703DF597" w14:textId="77777777" w:rsidR="000E2DBF" w:rsidRPr="000E2DBF" w:rsidRDefault="000E2DBF" w:rsidP="000E2DBF">
            <w:pPr>
              <w:autoSpaceDE/>
              <w:autoSpaceDN/>
              <w:adjustRightInd/>
              <w:spacing w:before="0" w:after="0" w:line="240" w:lineRule="auto"/>
              <w:jc w:val="right"/>
              <w:rPr>
                <w:rFonts w:eastAsia="Times New Roman"/>
                <w:b/>
                <w:bCs/>
                <w:color w:val="000000"/>
                <w:sz w:val="18"/>
                <w:szCs w:val="18"/>
                <w:lang w:eastAsia="el-GR"/>
              </w:rPr>
            </w:pPr>
            <w:r w:rsidRPr="000E2DBF">
              <w:rPr>
                <w:rFonts w:eastAsia="Times New Roman"/>
                <w:b/>
                <w:bCs/>
                <w:color w:val="000000"/>
                <w:sz w:val="18"/>
                <w:szCs w:val="18"/>
                <w:lang w:eastAsia="el-GR"/>
              </w:rPr>
              <w:t>17.327</w:t>
            </w:r>
          </w:p>
        </w:tc>
        <w:tc>
          <w:tcPr>
            <w:tcW w:w="714" w:type="pct"/>
            <w:tcBorders>
              <w:top w:val="nil"/>
              <w:left w:val="nil"/>
              <w:bottom w:val="single" w:sz="8" w:space="0" w:color="auto"/>
              <w:right w:val="single" w:sz="8" w:space="0" w:color="auto"/>
            </w:tcBorders>
            <w:shd w:val="clear" w:color="auto" w:fill="auto"/>
            <w:noWrap/>
            <w:vAlign w:val="center"/>
            <w:hideMark/>
          </w:tcPr>
          <w:p w14:paraId="1403842A" w14:textId="77777777" w:rsidR="000E2DBF" w:rsidRPr="000E2DBF" w:rsidRDefault="000E2DBF" w:rsidP="000E2DBF">
            <w:pPr>
              <w:autoSpaceDE/>
              <w:autoSpaceDN/>
              <w:adjustRightInd/>
              <w:spacing w:before="0" w:after="0" w:line="240" w:lineRule="auto"/>
              <w:jc w:val="right"/>
              <w:rPr>
                <w:rFonts w:eastAsia="Times New Roman"/>
                <w:b/>
                <w:bCs/>
                <w:color w:val="000000"/>
                <w:sz w:val="18"/>
                <w:szCs w:val="18"/>
                <w:lang w:eastAsia="el-GR"/>
              </w:rPr>
            </w:pPr>
            <w:r w:rsidRPr="000E2DBF">
              <w:rPr>
                <w:rFonts w:eastAsia="Times New Roman"/>
                <w:b/>
                <w:bCs/>
                <w:color w:val="000000"/>
                <w:sz w:val="18"/>
                <w:szCs w:val="18"/>
                <w:lang w:eastAsia="el-GR"/>
              </w:rPr>
              <w:t>39.577.437</w:t>
            </w:r>
          </w:p>
        </w:tc>
        <w:tc>
          <w:tcPr>
            <w:tcW w:w="930" w:type="pct"/>
            <w:tcBorders>
              <w:top w:val="nil"/>
              <w:left w:val="nil"/>
              <w:bottom w:val="single" w:sz="8" w:space="0" w:color="auto"/>
              <w:right w:val="single" w:sz="8" w:space="0" w:color="auto"/>
            </w:tcBorders>
            <w:shd w:val="clear" w:color="auto" w:fill="auto"/>
            <w:noWrap/>
            <w:vAlign w:val="center"/>
            <w:hideMark/>
          </w:tcPr>
          <w:p w14:paraId="65F1FEB8" w14:textId="77777777" w:rsidR="000E2DBF" w:rsidRPr="000E2DBF" w:rsidRDefault="000E2DBF" w:rsidP="000E2DBF">
            <w:pPr>
              <w:autoSpaceDE/>
              <w:autoSpaceDN/>
              <w:adjustRightInd/>
              <w:spacing w:before="0" w:after="0" w:line="240" w:lineRule="auto"/>
              <w:jc w:val="right"/>
              <w:rPr>
                <w:rFonts w:eastAsia="Times New Roman"/>
                <w:b/>
                <w:bCs/>
                <w:color w:val="000000"/>
                <w:sz w:val="18"/>
                <w:szCs w:val="18"/>
                <w:lang w:eastAsia="el-GR"/>
              </w:rPr>
            </w:pPr>
            <w:r w:rsidRPr="000E2DBF">
              <w:rPr>
                <w:rFonts w:eastAsia="Times New Roman"/>
                <w:b/>
                <w:bCs/>
                <w:color w:val="000000"/>
                <w:sz w:val="18"/>
                <w:szCs w:val="18"/>
                <w:lang w:eastAsia="el-GR"/>
              </w:rPr>
              <w:t>181.985.947</w:t>
            </w:r>
          </w:p>
        </w:tc>
        <w:tc>
          <w:tcPr>
            <w:tcW w:w="733" w:type="pct"/>
            <w:tcBorders>
              <w:top w:val="nil"/>
              <w:left w:val="nil"/>
              <w:bottom w:val="single" w:sz="8" w:space="0" w:color="auto"/>
              <w:right w:val="single" w:sz="8" w:space="0" w:color="auto"/>
            </w:tcBorders>
            <w:shd w:val="clear" w:color="auto" w:fill="auto"/>
            <w:noWrap/>
            <w:vAlign w:val="center"/>
            <w:hideMark/>
          </w:tcPr>
          <w:p w14:paraId="0FC5D348" w14:textId="77777777" w:rsidR="000E2DBF" w:rsidRPr="000E2DBF" w:rsidRDefault="000E2DBF" w:rsidP="000E2DBF">
            <w:pPr>
              <w:autoSpaceDE/>
              <w:autoSpaceDN/>
              <w:adjustRightInd/>
              <w:spacing w:before="0" w:after="0" w:line="240" w:lineRule="auto"/>
              <w:jc w:val="right"/>
              <w:rPr>
                <w:rFonts w:eastAsia="Times New Roman"/>
                <w:b/>
                <w:bCs/>
                <w:color w:val="000000"/>
                <w:sz w:val="18"/>
                <w:szCs w:val="18"/>
                <w:lang w:eastAsia="el-GR"/>
              </w:rPr>
            </w:pPr>
            <w:r w:rsidRPr="000E2DBF">
              <w:rPr>
                <w:rFonts w:eastAsia="Times New Roman"/>
                <w:b/>
                <w:bCs/>
                <w:color w:val="000000"/>
                <w:sz w:val="18"/>
                <w:szCs w:val="18"/>
                <w:lang w:eastAsia="el-GR"/>
              </w:rPr>
              <w:t>138.464.265</w:t>
            </w:r>
          </w:p>
        </w:tc>
        <w:tc>
          <w:tcPr>
            <w:tcW w:w="670" w:type="pct"/>
            <w:tcBorders>
              <w:top w:val="nil"/>
              <w:left w:val="nil"/>
              <w:bottom w:val="single" w:sz="8" w:space="0" w:color="auto"/>
              <w:right w:val="single" w:sz="8" w:space="0" w:color="auto"/>
            </w:tcBorders>
            <w:shd w:val="clear" w:color="auto" w:fill="auto"/>
            <w:noWrap/>
            <w:vAlign w:val="center"/>
            <w:hideMark/>
          </w:tcPr>
          <w:p w14:paraId="33471CFE" w14:textId="77777777" w:rsidR="000E2DBF" w:rsidRPr="000E2DBF" w:rsidRDefault="000E2DBF" w:rsidP="000E2DBF">
            <w:pPr>
              <w:autoSpaceDE/>
              <w:autoSpaceDN/>
              <w:adjustRightInd/>
              <w:spacing w:before="0" w:after="0" w:line="240" w:lineRule="auto"/>
              <w:jc w:val="right"/>
              <w:rPr>
                <w:rFonts w:eastAsia="Times New Roman"/>
                <w:b/>
                <w:bCs/>
                <w:color w:val="000000"/>
                <w:sz w:val="18"/>
                <w:szCs w:val="18"/>
                <w:lang w:eastAsia="el-GR"/>
              </w:rPr>
            </w:pPr>
            <w:r w:rsidRPr="000E2DBF">
              <w:rPr>
                <w:rFonts w:eastAsia="Times New Roman"/>
                <w:b/>
                <w:bCs/>
                <w:color w:val="000000"/>
                <w:sz w:val="18"/>
                <w:szCs w:val="18"/>
                <w:lang w:eastAsia="el-GR"/>
              </w:rPr>
              <w:t>61.416.051</w:t>
            </w:r>
          </w:p>
        </w:tc>
      </w:tr>
    </w:tbl>
    <w:p w14:paraId="2D8BB939" w14:textId="77777777" w:rsidR="000E2DBF" w:rsidRPr="00226930" w:rsidRDefault="000E2DBF" w:rsidP="00226930">
      <w:pPr>
        <w:spacing w:line="360" w:lineRule="auto"/>
        <w:rPr>
          <w:rFonts w:eastAsia="Times New Roman"/>
          <w:lang w:eastAsia="el-GR"/>
        </w:rPr>
      </w:pPr>
    </w:p>
    <w:p w14:paraId="644D8E15" w14:textId="77777777" w:rsidR="002161EC" w:rsidRDefault="00CD1EA2" w:rsidP="00A353FE">
      <w:pPr>
        <w:spacing w:line="360" w:lineRule="auto"/>
      </w:pPr>
      <w:r>
        <w:lastRenderedPageBreak/>
        <w:t xml:space="preserve">Οι πόροι που δεσμεύθηκαν για τον </w:t>
      </w:r>
      <w:r w:rsidR="00B925F9">
        <w:t>Β’ Κύκλο</w:t>
      </w:r>
      <w:r>
        <w:t xml:space="preserve"> προήλθαν – εκτός των πηγών που είχαν χρηματοδοτήσει τον </w:t>
      </w:r>
      <w:r w:rsidR="00B925F9">
        <w:t>Α’ Κύκλο</w:t>
      </w:r>
      <w:r>
        <w:t xml:space="preserve">, δηλαδή το </w:t>
      </w:r>
      <w:r w:rsidR="00B925F9">
        <w:t>ΕΠΑνΕΚ</w:t>
      </w:r>
      <w:r>
        <w:t xml:space="preserve"> και τα ΠΕΠ και από Εθνικούς Πόρους από το ταμείο ρύπων</w:t>
      </w:r>
      <w:r w:rsidR="000A33DC">
        <w:t xml:space="preserve"> (80,7</w:t>
      </w:r>
      <w:r w:rsidR="004F576E">
        <w:t>εκ.€</w:t>
      </w:r>
      <w:r w:rsidR="000A33DC">
        <w:t>)</w:t>
      </w:r>
      <w:r w:rsidR="00A353FE">
        <w:t xml:space="preserve"> με συνολική δέσμευση σε </w:t>
      </w:r>
      <w:r w:rsidR="00A353FE">
        <w:rPr>
          <w:lang w:val="en-US"/>
        </w:rPr>
        <w:t>grants</w:t>
      </w:r>
      <w:r w:rsidR="00A353FE" w:rsidRPr="00A353FE">
        <w:t xml:space="preserve"> 241 </w:t>
      </w:r>
      <w:r w:rsidR="004F576E">
        <w:t>εκ.€</w:t>
      </w:r>
      <w:r w:rsidR="00A353FE">
        <w:t>, ενώ υπήρχε πρόβλεψη για αύξηση του Ταμείου κατά 34</w:t>
      </w:r>
      <w:r w:rsidR="004F576E">
        <w:t>εκ.€</w:t>
      </w:r>
      <w:r w:rsidR="00A353FE">
        <w:t>.</w:t>
      </w:r>
      <w:r w:rsidR="000E2DBF">
        <w:t xml:space="preserve"> (</w:t>
      </w:r>
      <w:r w:rsidR="00D30BC2">
        <w:t>αρχικά</w:t>
      </w:r>
      <w:r w:rsidR="000E2DBF">
        <w:t xml:space="preserve"> από </w:t>
      </w:r>
      <w:r w:rsidR="00D30BC2">
        <w:t>Ε</w:t>
      </w:r>
      <w:r w:rsidR="000E2DBF">
        <w:t xml:space="preserve">θνικούς </w:t>
      </w:r>
      <w:r w:rsidR="00D30BC2">
        <w:t>Π</w:t>
      </w:r>
      <w:r w:rsidR="000E2DBF">
        <w:t>όρους)</w:t>
      </w:r>
    </w:p>
    <w:p w14:paraId="0E509552" w14:textId="77777777" w:rsidR="000A33DC" w:rsidRDefault="002161EC" w:rsidP="00A353FE">
      <w:pPr>
        <w:spacing w:line="360" w:lineRule="auto"/>
      </w:pPr>
      <w:r>
        <w:t xml:space="preserve">Με τα στοιχεία υλοποίησης του </w:t>
      </w:r>
      <w:r w:rsidR="00B925F9">
        <w:t>Α’ Κύκλο</w:t>
      </w:r>
      <w:r>
        <w:t>υ είναι δυνατόν – εφόσον δεν διαφοροποιήθηκαν οι προϋποθέσεις συμμετοχής – να υπολογιστεί με ακρίβεια το αναγκαίο ποσό για την αύξηση του κεφαλαίου του Ταμείου</w:t>
      </w:r>
      <w:r w:rsidR="00A353FE">
        <w:t xml:space="preserve"> </w:t>
      </w:r>
      <w:r>
        <w:t xml:space="preserve">ώστε να καλυφθούν όλες οι αιτήσεις για δάνειο. Με αντίστοιχο τρόπο είναι δυνατόν να υπολογιστούν οι τελικά αναμενόμενοι διαθέσιμοι πόροι, είτε από </w:t>
      </w:r>
      <w:proofErr w:type="spellStart"/>
      <w:r>
        <w:t>απεντάξεις</w:t>
      </w:r>
      <w:proofErr w:type="spellEnd"/>
      <w:r>
        <w:t>, είτε από μερική υλοποίηση για να χρηματοδοτηθεί ένας πιθανός Γ’ Κύκλος.</w:t>
      </w:r>
    </w:p>
    <w:tbl>
      <w:tblPr>
        <w:tblStyle w:val="a6"/>
        <w:tblW w:w="0" w:type="auto"/>
        <w:tblInd w:w="-5" w:type="dxa"/>
        <w:tblLook w:val="04A0" w:firstRow="1" w:lastRow="0" w:firstColumn="1" w:lastColumn="0" w:noHBand="0" w:noVBand="1"/>
      </w:tblPr>
      <w:tblGrid>
        <w:gridCol w:w="4678"/>
        <w:gridCol w:w="1843"/>
        <w:gridCol w:w="1956"/>
      </w:tblGrid>
      <w:tr w:rsidR="00B268C9" w:rsidRPr="00482F9E" w14:paraId="116EAC50" w14:textId="77777777" w:rsidTr="00E12F81">
        <w:tc>
          <w:tcPr>
            <w:tcW w:w="8477" w:type="dxa"/>
            <w:gridSpan w:val="3"/>
          </w:tcPr>
          <w:p w14:paraId="447D2E86" w14:textId="77777777" w:rsidR="00B268C9" w:rsidRPr="00D30BC2" w:rsidRDefault="000A33DC" w:rsidP="00482F9E">
            <w:pPr>
              <w:spacing w:line="240" w:lineRule="auto"/>
              <w:rPr>
                <w:b/>
                <w:sz w:val="20"/>
                <w:szCs w:val="20"/>
              </w:rPr>
            </w:pPr>
            <w:r w:rsidRPr="00D30BC2">
              <w:rPr>
                <w:b/>
              </w:rPr>
              <w:t xml:space="preserve"> </w:t>
            </w:r>
            <w:r w:rsidR="00CD1EA2" w:rsidRPr="00D30BC2">
              <w:rPr>
                <w:b/>
              </w:rPr>
              <w:t xml:space="preserve"> </w:t>
            </w:r>
            <w:r w:rsidR="00B268C9" w:rsidRPr="00D30BC2">
              <w:rPr>
                <w:b/>
              </w:rPr>
              <w:t xml:space="preserve"> </w:t>
            </w:r>
            <w:r w:rsidR="00B268C9" w:rsidRPr="00D30BC2">
              <w:rPr>
                <w:b/>
                <w:sz w:val="20"/>
                <w:szCs w:val="20"/>
              </w:rPr>
              <w:t xml:space="preserve">Βασικές Μεταβλητές Σχεδιασμού του </w:t>
            </w:r>
            <w:r w:rsidR="00971D9A" w:rsidRPr="00D30BC2">
              <w:rPr>
                <w:b/>
                <w:sz w:val="20"/>
                <w:szCs w:val="20"/>
              </w:rPr>
              <w:t>Προγράμματος</w:t>
            </w:r>
            <w:r w:rsidR="00B268C9" w:rsidRPr="00D30BC2">
              <w:rPr>
                <w:b/>
                <w:sz w:val="20"/>
                <w:szCs w:val="20"/>
              </w:rPr>
              <w:t xml:space="preserve"> Εξοικονόμησης ενέργειας «ΕΞΟΙΚΟΝΟΜΩ ΙΙ» στον οικιακό τομέα που ίσχυσαν για τον Β Κύκλο</w:t>
            </w:r>
          </w:p>
        </w:tc>
      </w:tr>
      <w:tr w:rsidR="00E12F81" w:rsidRPr="00482F9E" w14:paraId="5C51A0A7" w14:textId="77777777" w:rsidTr="00D30BC2">
        <w:tc>
          <w:tcPr>
            <w:tcW w:w="4678" w:type="dxa"/>
          </w:tcPr>
          <w:p w14:paraId="5DD54689" w14:textId="77777777" w:rsidR="00E12F81" w:rsidRPr="00482F9E" w:rsidRDefault="00E12F81" w:rsidP="00482F9E">
            <w:pPr>
              <w:spacing w:line="240" w:lineRule="auto"/>
              <w:rPr>
                <w:sz w:val="20"/>
                <w:szCs w:val="20"/>
              </w:rPr>
            </w:pPr>
          </w:p>
        </w:tc>
        <w:tc>
          <w:tcPr>
            <w:tcW w:w="1843" w:type="dxa"/>
          </w:tcPr>
          <w:p w14:paraId="59FFEEED" w14:textId="77777777" w:rsidR="00E12F81" w:rsidRPr="00D30BC2" w:rsidRDefault="00B925F9" w:rsidP="00D30BC2">
            <w:pPr>
              <w:spacing w:line="240" w:lineRule="auto"/>
              <w:jc w:val="center"/>
              <w:rPr>
                <w:b/>
                <w:sz w:val="20"/>
                <w:szCs w:val="20"/>
              </w:rPr>
            </w:pPr>
            <w:r w:rsidRPr="00D30BC2">
              <w:rPr>
                <w:b/>
                <w:sz w:val="20"/>
                <w:szCs w:val="20"/>
              </w:rPr>
              <w:t>Α’ Κύκλο</w:t>
            </w:r>
            <w:r w:rsidR="00E12F81" w:rsidRPr="00D30BC2">
              <w:rPr>
                <w:b/>
                <w:sz w:val="20"/>
                <w:szCs w:val="20"/>
              </w:rPr>
              <w:t>ς</w:t>
            </w:r>
            <w:r w:rsidR="00482F9E" w:rsidRPr="00D30BC2">
              <w:rPr>
                <w:b/>
                <w:sz w:val="20"/>
                <w:szCs w:val="20"/>
              </w:rPr>
              <w:t xml:space="preserve"> σχεδιασμός</w:t>
            </w:r>
          </w:p>
        </w:tc>
        <w:tc>
          <w:tcPr>
            <w:tcW w:w="1956" w:type="dxa"/>
          </w:tcPr>
          <w:p w14:paraId="4A7DEF49" w14:textId="77777777" w:rsidR="00E12F81" w:rsidRPr="00D30BC2" w:rsidRDefault="00482F9E" w:rsidP="00D30BC2">
            <w:pPr>
              <w:spacing w:line="240" w:lineRule="auto"/>
              <w:jc w:val="center"/>
              <w:rPr>
                <w:b/>
                <w:sz w:val="20"/>
                <w:szCs w:val="20"/>
              </w:rPr>
            </w:pPr>
            <w:r w:rsidRPr="00D30BC2">
              <w:rPr>
                <w:b/>
                <w:sz w:val="20"/>
                <w:szCs w:val="20"/>
              </w:rPr>
              <w:t xml:space="preserve">Α &amp; </w:t>
            </w:r>
            <w:proofErr w:type="spellStart"/>
            <w:r w:rsidR="00E12F81" w:rsidRPr="00D30BC2">
              <w:rPr>
                <w:b/>
                <w:sz w:val="20"/>
                <w:szCs w:val="20"/>
              </w:rPr>
              <w:t>Β’Κύκλος</w:t>
            </w:r>
            <w:proofErr w:type="spellEnd"/>
            <w:r w:rsidRPr="00D30BC2">
              <w:rPr>
                <w:b/>
                <w:sz w:val="20"/>
                <w:szCs w:val="20"/>
              </w:rPr>
              <w:t xml:space="preserve"> (υλοποίηση)</w:t>
            </w:r>
          </w:p>
        </w:tc>
      </w:tr>
      <w:tr w:rsidR="00E12F81" w:rsidRPr="00482F9E" w14:paraId="726ACF0A" w14:textId="77777777" w:rsidTr="00D30BC2">
        <w:tc>
          <w:tcPr>
            <w:tcW w:w="4678" w:type="dxa"/>
          </w:tcPr>
          <w:p w14:paraId="428D1E67" w14:textId="77777777" w:rsidR="00E12F81" w:rsidRPr="00482F9E" w:rsidRDefault="00E12F81" w:rsidP="00482F9E">
            <w:pPr>
              <w:spacing w:line="240" w:lineRule="auto"/>
              <w:rPr>
                <w:sz w:val="20"/>
                <w:szCs w:val="20"/>
              </w:rPr>
            </w:pPr>
            <w:r w:rsidRPr="00482F9E">
              <w:rPr>
                <w:sz w:val="20"/>
                <w:szCs w:val="20"/>
              </w:rPr>
              <w:t>Δημόσια Δαπάνη</w:t>
            </w:r>
            <w:r w:rsidR="00482F9E">
              <w:rPr>
                <w:sz w:val="20"/>
                <w:szCs w:val="20"/>
              </w:rPr>
              <w:t xml:space="preserve"> επιχορήγησης</w:t>
            </w:r>
            <w:r w:rsidRPr="00482F9E">
              <w:rPr>
                <w:rStyle w:val="ac"/>
                <w:color w:val="000000"/>
                <w:sz w:val="20"/>
                <w:szCs w:val="20"/>
              </w:rPr>
              <w:footnoteReference w:id="22"/>
            </w:r>
          </w:p>
        </w:tc>
        <w:tc>
          <w:tcPr>
            <w:tcW w:w="1843" w:type="dxa"/>
          </w:tcPr>
          <w:p w14:paraId="3AD4394C" w14:textId="77777777" w:rsidR="00E12F81" w:rsidRPr="00482F9E" w:rsidRDefault="00482F9E" w:rsidP="00482F9E">
            <w:pPr>
              <w:spacing w:line="240" w:lineRule="auto"/>
              <w:rPr>
                <w:sz w:val="20"/>
                <w:szCs w:val="20"/>
              </w:rPr>
            </w:pPr>
            <w:r>
              <w:rPr>
                <w:sz w:val="20"/>
                <w:szCs w:val="20"/>
              </w:rPr>
              <w:t xml:space="preserve">248 </w:t>
            </w:r>
            <w:r w:rsidR="004F576E">
              <w:rPr>
                <w:sz w:val="20"/>
                <w:szCs w:val="20"/>
              </w:rPr>
              <w:t>εκ.€</w:t>
            </w:r>
          </w:p>
        </w:tc>
        <w:tc>
          <w:tcPr>
            <w:tcW w:w="1956" w:type="dxa"/>
          </w:tcPr>
          <w:p w14:paraId="7AA6F751" w14:textId="77777777" w:rsidR="00E12F81" w:rsidRPr="00482F9E" w:rsidRDefault="00482F9E" w:rsidP="00482F9E">
            <w:pPr>
              <w:spacing w:line="240" w:lineRule="auto"/>
              <w:rPr>
                <w:sz w:val="20"/>
                <w:szCs w:val="20"/>
              </w:rPr>
            </w:pPr>
            <w:r>
              <w:rPr>
                <w:sz w:val="20"/>
                <w:szCs w:val="20"/>
              </w:rPr>
              <w:t>369,8</w:t>
            </w:r>
            <w:r w:rsidR="004F576E">
              <w:rPr>
                <w:sz w:val="20"/>
                <w:szCs w:val="20"/>
              </w:rPr>
              <w:t>εκ.€</w:t>
            </w:r>
            <w:r>
              <w:rPr>
                <w:sz w:val="20"/>
                <w:szCs w:val="20"/>
              </w:rPr>
              <w:t xml:space="preserve">  + </w:t>
            </w:r>
            <w:r w:rsidR="00E12F81" w:rsidRPr="00482F9E">
              <w:rPr>
                <w:sz w:val="20"/>
                <w:szCs w:val="20"/>
              </w:rPr>
              <w:t>241</w:t>
            </w:r>
            <w:r w:rsidR="004F576E">
              <w:rPr>
                <w:sz w:val="20"/>
                <w:szCs w:val="20"/>
              </w:rPr>
              <w:t>εκ.€</w:t>
            </w:r>
            <w:r>
              <w:rPr>
                <w:sz w:val="20"/>
                <w:szCs w:val="20"/>
              </w:rPr>
              <w:t xml:space="preserve"> (χωρίς </w:t>
            </w:r>
            <w:proofErr w:type="spellStart"/>
            <w:r>
              <w:rPr>
                <w:sz w:val="20"/>
                <w:szCs w:val="20"/>
              </w:rPr>
              <w:t>απεντάξεις</w:t>
            </w:r>
            <w:proofErr w:type="spellEnd"/>
            <w:r>
              <w:rPr>
                <w:sz w:val="20"/>
                <w:szCs w:val="20"/>
              </w:rPr>
              <w:t>)</w:t>
            </w:r>
          </w:p>
        </w:tc>
      </w:tr>
      <w:tr w:rsidR="00E12F81" w:rsidRPr="00482F9E" w14:paraId="54AA947B" w14:textId="77777777" w:rsidTr="00D30BC2">
        <w:tc>
          <w:tcPr>
            <w:tcW w:w="4678" w:type="dxa"/>
          </w:tcPr>
          <w:p w14:paraId="0695B323" w14:textId="77777777" w:rsidR="00E12F81" w:rsidRPr="00482F9E" w:rsidRDefault="00E12F81" w:rsidP="00482F9E">
            <w:pPr>
              <w:spacing w:line="240" w:lineRule="auto"/>
              <w:rPr>
                <w:sz w:val="20"/>
                <w:szCs w:val="20"/>
              </w:rPr>
            </w:pPr>
            <w:proofErr w:type="spellStart"/>
            <w:r w:rsidRPr="00482F9E">
              <w:rPr>
                <w:sz w:val="20"/>
                <w:szCs w:val="20"/>
              </w:rPr>
              <w:t>Μόχλευση</w:t>
            </w:r>
            <w:proofErr w:type="spellEnd"/>
            <w:r w:rsidRPr="00482F9E">
              <w:rPr>
                <w:sz w:val="20"/>
                <w:szCs w:val="20"/>
              </w:rPr>
              <w:t xml:space="preserve"> (</w:t>
            </w:r>
            <w:r w:rsidRPr="00482F9E">
              <w:rPr>
                <w:sz w:val="20"/>
                <w:szCs w:val="20"/>
                <w:lang w:val="en-US"/>
              </w:rPr>
              <w:t>Leverage</w:t>
            </w:r>
            <w:r w:rsidRPr="00482F9E">
              <w:rPr>
                <w:sz w:val="20"/>
                <w:szCs w:val="20"/>
              </w:rPr>
              <w:t xml:space="preserve">) κεφαλαίων νέου </w:t>
            </w:r>
            <w:r w:rsidR="001E5965" w:rsidRPr="001E5965">
              <w:rPr>
                <w:sz w:val="20"/>
                <w:szCs w:val="20"/>
              </w:rPr>
              <w:t>Χρηματοοικονομικού Εργαλείου (FI)</w:t>
            </w:r>
          </w:p>
        </w:tc>
        <w:tc>
          <w:tcPr>
            <w:tcW w:w="1843" w:type="dxa"/>
          </w:tcPr>
          <w:p w14:paraId="38060CF9" w14:textId="77777777" w:rsidR="00E12F81" w:rsidRPr="00482F9E" w:rsidRDefault="00482F9E" w:rsidP="00D30BC2">
            <w:pPr>
              <w:spacing w:line="240" w:lineRule="auto"/>
              <w:jc w:val="center"/>
              <w:rPr>
                <w:sz w:val="20"/>
                <w:szCs w:val="20"/>
              </w:rPr>
            </w:pPr>
            <w:r w:rsidRPr="00482F9E">
              <w:rPr>
                <w:sz w:val="20"/>
                <w:szCs w:val="20"/>
              </w:rPr>
              <w:t>2</w:t>
            </w:r>
          </w:p>
        </w:tc>
        <w:tc>
          <w:tcPr>
            <w:tcW w:w="1956" w:type="dxa"/>
          </w:tcPr>
          <w:p w14:paraId="5B2C7C54" w14:textId="77777777" w:rsidR="00E12F81" w:rsidRPr="00482F9E" w:rsidRDefault="00E12F81" w:rsidP="00D30BC2">
            <w:pPr>
              <w:spacing w:line="240" w:lineRule="auto"/>
              <w:jc w:val="center"/>
              <w:rPr>
                <w:sz w:val="20"/>
                <w:szCs w:val="20"/>
              </w:rPr>
            </w:pPr>
            <w:r w:rsidRPr="00482F9E">
              <w:rPr>
                <w:sz w:val="20"/>
                <w:szCs w:val="20"/>
              </w:rPr>
              <w:t>2</w:t>
            </w:r>
          </w:p>
        </w:tc>
      </w:tr>
      <w:tr w:rsidR="00E12F81" w:rsidRPr="00482F9E" w14:paraId="6EBB56F4" w14:textId="77777777" w:rsidTr="00D30BC2">
        <w:tc>
          <w:tcPr>
            <w:tcW w:w="4678" w:type="dxa"/>
          </w:tcPr>
          <w:p w14:paraId="2F0F1717" w14:textId="77777777" w:rsidR="00E12F81" w:rsidRPr="00482F9E" w:rsidRDefault="00E12F81" w:rsidP="00482F9E">
            <w:pPr>
              <w:spacing w:line="240" w:lineRule="auto"/>
              <w:rPr>
                <w:sz w:val="20"/>
                <w:szCs w:val="20"/>
              </w:rPr>
            </w:pPr>
            <w:r w:rsidRPr="00482F9E">
              <w:rPr>
                <w:sz w:val="20"/>
                <w:szCs w:val="20"/>
              </w:rPr>
              <w:t>Μέσο Ποσοστό επιχορήγησης ενεργειακών παρεμβάσεων</w:t>
            </w:r>
          </w:p>
        </w:tc>
        <w:tc>
          <w:tcPr>
            <w:tcW w:w="1843" w:type="dxa"/>
            <w:vAlign w:val="center"/>
          </w:tcPr>
          <w:p w14:paraId="70F5901D" w14:textId="77777777" w:rsidR="00E12F81" w:rsidRPr="00482F9E" w:rsidRDefault="00E12F81" w:rsidP="00D30BC2">
            <w:pPr>
              <w:spacing w:line="240" w:lineRule="auto"/>
              <w:jc w:val="center"/>
              <w:rPr>
                <w:sz w:val="20"/>
                <w:szCs w:val="20"/>
              </w:rPr>
            </w:pPr>
            <w:r w:rsidRPr="00482F9E">
              <w:rPr>
                <w:sz w:val="20"/>
                <w:szCs w:val="20"/>
              </w:rPr>
              <w:t>5</w:t>
            </w:r>
            <w:r w:rsidR="00482F9E">
              <w:rPr>
                <w:sz w:val="20"/>
                <w:szCs w:val="20"/>
              </w:rPr>
              <w:t>0</w:t>
            </w:r>
            <w:r w:rsidRPr="00482F9E">
              <w:rPr>
                <w:sz w:val="20"/>
                <w:szCs w:val="20"/>
              </w:rPr>
              <w:t>%</w:t>
            </w:r>
          </w:p>
        </w:tc>
        <w:tc>
          <w:tcPr>
            <w:tcW w:w="1956" w:type="dxa"/>
            <w:vAlign w:val="center"/>
          </w:tcPr>
          <w:p w14:paraId="17A6A2AC" w14:textId="77777777" w:rsidR="00E12F81" w:rsidRPr="00482F9E" w:rsidRDefault="00E12F81" w:rsidP="00D30BC2">
            <w:pPr>
              <w:spacing w:line="240" w:lineRule="auto"/>
              <w:jc w:val="center"/>
              <w:rPr>
                <w:sz w:val="20"/>
                <w:szCs w:val="20"/>
              </w:rPr>
            </w:pPr>
            <w:r w:rsidRPr="00482F9E">
              <w:rPr>
                <w:sz w:val="20"/>
                <w:szCs w:val="20"/>
              </w:rPr>
              <w:t>55%</w:t>
            </w:r>
          </w:p>
        </w:tc>
      </w:tr>
      <w:tr w:rsidR="00E12F81" w:rsidRPr="00482F9E" w14:paraId="557A4F13" w14:textId="77777777" w:rsidTr="00D30BC2">
        <w:tc>
          <w:tcPr>
            <w:tcW w:w="4678" w:type="dxa"/>
          </w:tcPr>
          <w:p w14:paraId="2403D0DE" w14:textId="77777777" w:rsidR="00E12F81" w:rsidRPr="00482F9E" w:rsidRDefault="00E12F81" w:rsidP="00482F9E">
            <w:pPr>
              <w:spacing w:line="240" w:lineRule="auto"/>
              <w:rPr>
                <w:sz w:val="20"/>
                <w:szCs w:val="20"/>
              </w:rPr>
            </w:pPr>
            <w:r w:rsidRPr="00482F9E">
              <w:rPr>
                <w:sz w:val="20"/>
                <w:szCs w:val="20"/>
              </w:rPr>
              <w:t>Ποσοστό πολιτών που κάνουν χρήση Ταμείου</w:t>
            </w:r>
          </w:p>
        </w:tc>
        <w:tc>
          <w:tcPr>
            <w:tcW w:w="1843" w:type="dxa"/>
            <w:vAlign w:val="center"/>
          </w:tcPr>
          <w:p w14:paraId="4170A2CD" w14:textId="77777777" w:rsidR="00E12F81" w:rsidRPr="00482F9E" w:rsidRDefault="002161EC" w:rsidP="00D30BC2">
            <w:pPr>
              <w:spacing w:line="240" w:lineRule="auto"/>
              <w:jc w:val="center"/>
              <w:rPr>
                <w:sz w:val="20"/>
                <w:szCs w:val="20"/>
              </w:rPr>
            </w:pPr>
            <w:r>
              <w:rPr>
                <w:sz w:val="20"/>
                <w:szCs w:val="20"/>
              </w:rPr>
              <w:t>7</w:t>
            </w:r>
            <w:r w:rsidR="00E12F81" w:rsidRPr="00482F9E">
              <w:rPr>
                <w:sz w:val="20"/>
                <w:szCs w:val="20"/>
              </w:rPr>
              <w:t>0%</w:t>
            </w:r>
          </w:p>
        </w:tc>
        <w:tc>
          <w:tcPr>
            <w:tcW w:w="1956" w:type="dxa"/>
            <w:vAlign w:val="center"/>
          </w:tcPr>
          <w:p w14:paraId="19225742" w14:textId="77777777" w:rsidR="00E12F81" w:rsidRPr="00482F9E" w:rsidRDefault="00E12F81" w:rsidP="00D30BC2">
            <w:pPr>
              <w:spacing w:line="240" w:lineRule="auto"/>
              <w:jc w:val="center"/>
              <w:rPr>
                <w:sz w:val="20"/>
                <w:szCs w:val="20"/>
              </w:rPr>
            </w:pPr>
            <w:r w:rsidRPr="00482F9E">
              <w:rPr>
                <w:sz w:val="20"/>
                <w:szCs w:val="20"/>
              </w:rPr>
              <w:t>50%</w:t>
            </w:r>
          </w:p>
        </w:tc>
      </w:tr>
      <w:tr w:rsidR="00E12F81" w:rsidRPr="00482F9E" w14:paraId="5FE58A5B" w14:textId="77777777" w:rsidTr="00D30BC2">
        <w:tc>
          <w:tcPr>
            <w:tcW w:w="4678" w:type="dxa"/>
          </w:tcPr>
          <w:p w14:paraId="50386C69" w14:textId="77777777" w:rsidR="00E12F81" w:rsidRPr="00482F9E" w:rsidRDefault="00E12F81" w:rsidP="00482F9E">
            <w:pPr>
              <w:spacing w:line="240" w:lineRule="auto"/>
              <w:rPr>
                <w:sz w:val="20"/>
                <w:szCs w:val="20"/>
              </w:rPr>
            </w:pPr>
            <w:r w:rsidRPr="00482F9E">
              <w:rPr>
                <w:sz w:val="20"/>
                <w:szCs w:val="20"/>
              </w:rPr>
              <w:t xml:space="preserve">Μέσος </w:t>
            </w:r>
            <w:r w:rsidR="00482F9E">
              <w:rPr>
                <w:sz w:val="20"/>
                <w:szCs w:val="20"/>
              </w:rPr>
              <w:t xml:space="preserve">επιλέξιμος </w:t>
            </w:r>
            <w:r w:rsidRPr="00482F9E">
              <w:rPr>
                <w:sz w:val="20"/>
                <w:szCs w:val="20"/>
              </w:rPr>
              <w:t>προϋπολογισμός παρεμβάσεων στις κατοικίες</w:t>
            </w:r>
          </w:p>
        </w:tc>
        <w:tc>
          <w:tcPr>
            <w:tcW w:w="1843" w:type="dxa"/>
            <w:vAlign w:val="center"/>
          </w:tcPr>
          <w:p w14:paraId="1FA3D030" w14:textId="77777777" w:rsidR="00E12F81" w:rsidRPr="00482F9E" w:rsidRDefault="00E12F81" w:rsidP="00D30BC2">
            <w:pPr>
              <w:spacing w:line="240" w:lineRule="auto"/>
              <w:jc w:val="center"/>
              <w:rPr>
                <w:sz w:val="20"/>
                <w:szCs w:val="20"/>
              </w:rPr>
            </w:pPr>
            <w:r w:rsidRPr="00482F9E">
              <w:rPr>
                <w:sz w:val="20"/>
                <w:szCs w:val="20"/>
              </w:rPr>
              <w:t>1</w:t>
            </w:r>
            <w:r w:rsidR="002161EC">
              <w:rPr>
                <w:sz w:val="20"/>
                <w:szCs w:val="20"/>
              </w:rPr>
              <w:t>1</w:t>
            </w:r>
            <w:r w:rsidRPr="00482F9E">
              <w:rPr>
                <w:sz w:val="20"/>
                <w:szCs w:val="20"/>
              </w:rPr>
              <w:t>.</w:t>
            </w:r>
            <w:r w:rsidR="002161EC">
              <w:rPr>
                <w:sz w:val="20"/>
                <w:szCs w:val="20"/>
              </w:rPr>
              <w:t>0</w:t>
            </w:r>
            <w:r w:rsidRPr="00482F9E">
              <w:rPr>
                <w:sz w:val="20"/>
                <w:szCs w:val="20"/>
              </w:rPr>
              <w:t>00€.</w:t>
            </w:r>
          </w:p>
        </w:tc>
        <w:tc>
          <w:tcPr>
            <w:tcW w:w="1956" w:type="dxa"/>
            <w:vAlign w:val="center"/>
          </w:tcPr>
          <w:p w14:paraId="6A768552" w14:textId="77777777" w:rsidR="00E12F81" w:rsidRPr="00482F9E" w:rsidRDefault="002161EC" w:rsidP="00D30BC2">
            <w:pPr>
              <w:spacing w:line="240" w:lineRule="auto"/>
              <w:jc w:val="center"/>
              <w:rPr>
                <w:sz w:val="20"/>
                <w:szCs w:val="20"/>
              </w:rPr>
            </w:pPr>
            <w:r>
              <w:rPr>
                <w:sz w:val="20"/>
                <w:szCs w:val="20"/>
              </w:rPr>
              <w:t>14.900€</w:t>
            </w:r>
          </w:p>
        </w:tc>
      </w:tr>
      <w:tr w:rsidR="00E12F81" w:rsidRPr="00482F9E" w14:paraId="3B694626" w14:textId="77777777" w:rsidTr="00D30BC2">
        <w:tc>
          <w:tcPr>
            <w:tcW w:w="4678" w:type="dxa"/>
          </w:tcPr>
          <w:p w14:paraId="03F9B0A9" w14:textId="77777777" w:rsidR="00E12F81" w:rsidRPr="00482F9E" w:rsidRDefault="00E12F81" w:rsidP="00482F9E">
            <w:pPr>
              <w:spacing w:line="240" w:lineRule="auto"/>
              <w:rPr>
                <w:sz w:val="20"/>
                <w:szCs w:val="20"/>
              </w:rPr>
            </w:pPr>
            <w:r w:rsidRPr="00482F9E">
              <w:rPr>
                <w:sz w:val="20"/>
                <w:szCs w:val="20"/>
              </w:rPr>
              <w:t>Κόστος Μελετών/ Ενεργειακών Επιθεωρητών / Συμβούλων</w:t>
            </w:r>
          </w:p>
        </w:tc>
        <w:tc>
          <w:tcPr>
            <w:tcW w:w="1843" w:type="dxa"/>
          </w:tcPr>
          <w:p w14:paraId="1CFAF094" w14:textId="77777777" w:rsidR="00E12F81" w:rsidRPr="00482F9E" w:rsidRDefault="00E12F81" w:rsidP="00D30BC2">
            <w:pPr>
              <w:spacing w:line="240" w:lineRule="auto"/>
              <w:jc w:val="center"/>
              <w:rPr>
                <w:sz w:val="20"/>
                <w:szCs w:val="20"/>
              </w:rPr>
            </w:pPr>
            <w:r w:rsidRPr="00482F9E">
              <w:rPr>
                <w:sz w:val="20"/>
                <w:szCs w:val="20"/>
              </w:rPr>
              <w:t>300€</w:t>
            </w:r>
          </w:p>
        </w:tc>
        <w:tc>
          <w:tcPr>
            <w:tcW w:w="1956" w:type="dxa"/>
          </w:tcPr>
          <w:p w14:paraId="61EC258C" w14:textId="77777777" w:rsidR="00E12F81" w:rsidRPr="00482F9E" w:rsidRDefault="002161EC" w:rsidP="00D30BC2">
            <w:pPr>
              <w:spacing w:line="240" w:lineRule="auto"/>
              <w:jc w:val="center"/>
              <w:rPr>
                <w:sz w:val="20"/>
                <w:szCs w:val="20"/>
              </w:rPr>
            </w:pPr>
            <w:r>
              <w:rPr>
                <w:sz w:val="20"/>
                <w:szCs w:val="20"/>
              </w:rPr>
              <w:t>820€</w:t>
            </w:r>
          </w:p>
        </w:tc>
      </w:tr>
      <w:tr w:rsidR="00E12F81" w:rsidRPr="00482F9E" w14:paraId="7BF6470C" w14:textId="77777777" w:rsidTr="00D30BC2">
        <w:tc>
          <w:tcPr>
            <w:tcW w:w="4678" w:type="dxa"/>
          </w:tcPr>
          <w:p w14:paraId="50B4F4EC" w14:textId="77777777" w:rsidR="00E12F81" w:rsidRPr="00482F9E" w:rsidRDefault="00E12F81" w:rsidP="00482F9E">
            <w:pPr>
              <w:spacing w:line="240" w:lineRule="auto"/>
              <w:rPr>
                <w:sz w:val="20"/>
                <w:szCs w:val="20"/>
              </w:rPr>
            </w:pPr>
            <w:r w:rsidRPr="00482F9E">
              <w:rPr>
                <w:sz w:val="20"/>
                <w:szCs w:val="20"/>
              </w:rPr>
              <w:t>Επιδότηση επιτοκίου</w:t>
            </w:r>
          </w:p>
        </w:tc>
        <w:tc>
          <w:tcPr>
            <w:tcW w:w="1843" w:type="dxa"/>
          </w:tcPr>
          <w:p w14:paraId="4924E8C3" w14:textId="77777777" w:rsidR="00E12F81" w:rsidRPr="00482F9E" w:rsidRDefault="002161EC" w:rsidP="00D30BC2">
            <w:pPr>
              <w:spacing w:line="240" w:lineRule="auto"/>
              <w:jc w:val="center"/>
              <w:rPr>
                <w:sz w:val="20"/>
                <w:szCs w:val="20"/>
              </w:rPr>
            </w:pPr>
            <w:r>
              <w:rPr>
                <w:sz w:val="20"/>
                <w:szCs w:val="20"/>
              </w:rPr>
              <w:t>7</w:t>
            </w:r>
            <w:r w:rsidR="00E12F81" w:rsidRPr="00482F9E">
              <w:rPr>
                <w:sz w:val="20"/>
                <w:szCs w:val="20"/>
              </w:rPr>
              <w:t>0</w:t>
            </w:r>
            <w:r w:rsidR="00482F9E">
              <w:rPr>
                <w:sz w:val="20"/>
                <w:szCs w:val="20"/>
              </w:rPr>
              <w:t>0</w:t>
            </w:r>
            <w:r w:rsidR="00E12F81" w:rsidRPr="00482F9E">
              <w:rPr>
                <w:sz w:val="20"/>
                <w:szCs w:val="20"/>
              </w:rPr>
              <w:t>€ ανά δάνειο.</w:t>
            </w:r>
          </w:p>
        </w:tc>
        <w:tc>
          <w:tcPr>
            <w:tcW w:w="1956" w:type="dxa"/>
          </w:tcPr>
          <w:p w14:paraId="28025151" w14:textId="77777777" w:rsidR="00E12F81" w:rsidRPr="00482F9E" w:rsidRDefault="002161EC" w:rsidP="00D30BC2">
            <w:pPr>
              <w:spacing w:line="240" w:lineRule="auto"/>
              <w:jc w:val="center"/>
              <w:rPr>
                <w:sz w:val="20"/>
                <w:szCs w:val="20"/>
              </w:rPr>
            </w:pPr>
            <w:r>
              <w:rPr>
                <w:sz w:val="20"/>
                <w:szCs w:val="20"/>
              </w:rPr>
              <w:t>1000€ ανά δάνειο</w:t>
            </w:r>
          </w:p>
        </w:tc>
      </w:tr>
    </w:tbl>
    <w:p w14:paraId="32108129" w14:textId="77777777" w:rsidR="003C6F79" w:rsidRDefault="003C6F79" w:rsidP="00DE055B">
      <w:pPr>
        <w:spacing w:line="360" w:lineRule="auto"/>
      </w:pPr>
    </w:p>
    <w:p w14:paraId="306ED98F" w14:textId="77777777" w:rsidR="00172CD7" w:rsidRDefault="00172CD7" w:rsidP="00172CD7">
      <w:pPr>
        <w:pStyle w:val="3"/>
      </w:pPr>
      <w:bookmarkStart w:id="46" w:name="_Toc36639224"/>
      <w:r>
        <w:t xml:space="preserve">Συνοπτική εικόνα όλων των κύκλων (συγχρηματοδοτούμενων ή μη) στο πλαίσιο των προγραμμάτων «Εξοικονομώ </w:t>
      </w:r>
      <w:proofErr w:type="spellStart"/>
      <w:r>
        <w:t>κατ’οίκον</w:t>
      </w:r>
      <w:proofErr w:type="spellEnd"/>
      <w:r>
        <w:t>»</w:t>
      </w:r>
      <w:bookmarkEnd w:id="46"/>
    </w:p>
    <w:p w14:paraId="263DDA3E" w14:textId="77777777" w:rsidR="00172CD7" w:rsidRDefault="00172CD7" w:rsidP="00172CD7">
      <w:r>
        <w:t xml:space="preserve">Καθώς τα προγράμματα «Εξοικονόμησης </w:t>
      </w:r>
      <w:proofErr w:type="spellStart"/>
      <w:r>
        <w:t>κατ’οίκον</w:t>
      </w:r>
      <w:proofErr w:type="spellEnd"/>
      <w:r>
        <w:t>» ολοκληρώνουν την δεκαετία εφαρμογής τους, έχει ενδιαφέρον να εμφανιστεί ο συνολικός αριθμός κατοικιών που αναβαθμίστηκε ενεργειακά για κάθε έτος και εξαγγελθέν πρόγραμμα.</w:t>
      </w:r>
    </w:p>
    <w:p w14:paraId="25D21D04" w14:textId="77777777" w:rsidR="00172CD7" w:rsidRDefault="00172CD7" w:rsidP="00172CD7">
      <w:r>
        <w:t xml:space="preserve"> Ο παρακάτω πίνακας αντιπροσωπεύει τις ολοκληρώσεις – εξοφλήσεις αιτήσεων πολιτών, προφανώς με την ολοκλήρωση των εργασιών και την έκδοση του Β’ ΠΕΑ και προκύπτει από τα στοιχεία της ΕΑΤ Α.Ε. (πρώην ΕΤΕΑΝ Α.Ε.)</w:t>
      </w:r>
    </w:p>
    <w:tbl>
      <w:tblPr>
        <w:tblW w:w="8784" w:type="dxa"/>
        <w:tblLook w:val="04A0" w:firstRow="1" w:lastRow="0" w:firstColumn="1" w:lastColumn="0" w:noHBand="0" w:noVBand="1"/>
      </w:tblPr>
      <w:tblGrid>
        <w:gridCol w:w="1271"/>
        <w:gridCol w:w="1276"/>
        <w:gridCol w:w="1134"/>
        <w:gridCol w:w="1134"/>
        <w:gridCol w:w="1276"/>
        <w:gridCol w:w="1275"/>
        <w:gridCol w:w="1418"/>
      </w:tblGrid>
      <w:tr w:rsidR="00172CD7" w:rsidRPr="00172CD7" w14:paraId="1DCBED0B" w14:textId="77777777" w:rsidTr="00172CD7">
        <w:trPr>
          <w:trHeight w:val="300"/>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15BD3"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lastRenderedPageBreak/>
              <w:t>Έτος</w:t>
            </w:r>
          </w:p>
        </w:tc>
        <w:tc>
          <w:tcPr>
            <w:tcW w:w="3544" w:type="dxa"/>
            <w:gridSpan w:val="3"/>
            <w:tcBorders>
              <w:top w:val="single" w:sz="4" w:space="0" w:color="auto"/>
              <w:left w:val="nil"/>
              <w:bottom w:val="single" w:sz="4" w:space="0" w:color="auto"/>
              <w:right w:val="single" w:sz="4" w:space="0" w:color="auto"/>
            </w:tcBorders>
            <w:shd w:val="clear" w:color="000000" w:fill="C5D9F1"/>
            <w:noWrap/>
            <w:vAlign w:val="bottom"/>
            <w:hideMark/>
          </w:tcPr>
          <w:p w14:paraId="731C62A0"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ΕΚΟ Ι *</w:t>
            </w:r>
          </w:p>
        </w:tc>
        <w:tc>
          <w:tcPr>
            <w:tcW w:w="2551" w:type="dxa"/>
            <w:gridSpan w:val="2"/>
            <w:tcBorders>
              <w:top w:val="single" w:sz="4" w:space="0" w:color="auto"/>
              <w:left w:val="nil"/>
              <w:bottom w:val="single" w:sz="4" w:space="0" w:color="auto"/>
              <w:right w:val="single" w:sz="4" w:space="0" w:color="auto"/>
            </w:tcBorders>
            <w:shd w:val="clear" w:color="000000" w:fill="D8E4BC"/>
            <w:noWrap/>
            <w:vAlign w:val="bottom"/>
            <w:hideMark/>
          </w:tcPr>
          <w:p w14:paraId="23007E13"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ΕΚΟ ΙΙ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172BF"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Σύνολο</w:t>
            </w:r>
          </w:p>
        </w:tc>
      </w:tr>
      <w:tr w:rsidR="00172CD7" w:rsidRPr="00172CD7" w14:paraId="2FB1337E" w14:textId="77777777" w:rsidTr="00172CD7">
        <w:trPr>
          <w:trHeight w:val="30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35188CD" w14:textId="77777777" w:rsidR="00172CD7" w:rsidRPr="00172CD7" w:rsidRDefault="00172CD7" w:rsidP="00172CD7">
            <w:pPr>
              <w:autoSpaceDE/>
              <w:autoSpaceDN/>
              <w:adjustRightInd/>
              <w:spacing w:before="0" w:after="0" w:line="240" w:lineRule="auto"/>
              <w:jc w:val="left"/>
              <w:rPr>
                <w:rFonts w:ascii="Calibri" w:eastAsia="Times New Roman" w:hAnsi="Calibri" w:cs="Times New Roman"/>
                <w:b/>
                <w:bCs/>
                <w:i/>
                <w:iCs/>
                <w:color w:val="000000"/>
                <w:lang w:eastAsia="el-GR"/>
              </w:rPr>
            </w:pPr>
          </w:p>
        </w:tc>
        <w:tc>
          <w:tcPr>
            <w:tcW w:w="1276" w:type="dxa"/>
            <w:tcBorders>
              <w:top w:val="nil"/>
              <w:left w:val="nil"/>
              <w:bottom w:val="single" w:sz="4" w:space="0" w:color="auto"/>
              <w:right w:val="single" w:sz="4" w:space="0" w:color="auto"/>
            </w:tcBorders>
            <w:shd w:val="clear" w:color="000000" w:fill="C5D9F1"/>
            <w:noWrap/>
            <w:vAlign w:val="bottom"/>
            <w:hideMark/>
          </w:tcPr>
          <w:p w14:paraId="59F9F717"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ΕΚΟ Ι</w:t>
            </w:r>
          </w:p>
        </w:tc>
        <w:tc>
          <w:tcPr>
            <w:tcW w:w="1134" w:type="dxa"/>
            <w:tcBorders>
              <w:top w:val="nil"/>
              <w:left w:val="nil"/>
              <w:bottom w:val="single" w:sz="4" w:space="0" w:color="auto"/>
              <w:right w:val="single" w:sz="4" w:space="0" w:color="auto"/>
            </w:tcBorders>
            <w:shd w:val="clear" w:color="000000" w:fill="C5D9F1"/>
            <w:noWrap/>
            <w:vAlign w:val="bottom"/>
            <w:hideMark/>
          </w:tcPr>
          <w:p w14:paraId="6589064B"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 xml:space="preserve"> </w:t>
            </w:r>
            <w:proofErr w:type="spellStart"/>
            <w:r w:rsidRPr="00172CD7">
              <w:rPr>
                <w:rFonts w:ascii="Calibri" w:eastAsia="Times New Roman" w:hAnsi="Calibri" w:cs="Times New Roman"/>
                <w:b/>
                <w:bCs/>
                <w:i/>
                <w:iCs/>
                <w:color w:val="000000"/>
                <w:lang w:eastAsia="el-GR"/>
              </w:rPr>
              <w:t>Ενδ</w:t>
            </w:r>
            <w:proofErr w:type="spellEnd"/>
            <w:r w:rsidRPr="00172CD7">
              <w:rPr>
                <w:rFonts w:ascii="Calibri" w:eastAsia="Times New Roman" w:hAnsi="Calibri" w:cs="Times New Roman"/>
                <w:b/>
                <w:bCs/>
                <w:i/>
                <w:iCs/>
                <w:color w:val="000000"/>
                <w:lang w:eastAsia="el-GR"/>
              </w:rPr>
              <w:t xml:space="preserve"> Ι</w:t>
            </w:r>
          </w:p>
        </w:tc>
        <w:tc>
          <w:tcPr>
            <w:tcW w:w="1134" w:type="dxa"/>
            <w:tcBorders>
              <w:top w:val="nil"/>
              <w:left w:val="nil"/>
              <w:bottom w:val="single" w:sz="4" w:space="0" w:color="auto"/>
              <w:right w:val="single" w:sz="4" w:space="0" w:color="auto"/>
            </w:tcBorders>
            <w:shd w:val="clear" w:color="000000" w:fill="C5D9F1"/>
            <w:noWrap/>
            <w:vAlign w:val="bottom"/>
            <w:hideMark/>
          </w:tcPr>
          <w:p w14:paraId="54C35C63"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proofErr w:type="spellStart"/>
            <w:r w:rsidRPr="00172CD7">
              <w:rPr>
                <w:rFonts w:ascii="Calibri" w:eastAsia="Times New Roman" w:hAnsi="Calibri" w:cs="Times New Roman"/>
                <w:b/>
                <w:bCs/>
                <w:i/>
                <w:iCs/>
                <w:color w:val="000000"/>
                <w:lang w:eastAsia="el-GR"/>
              </w:rPr>
              <w:t>Ενδ</w:t>
            </w:r>
            <w:proofErr w:type="spellEnd"/>
            <w:r w:rsidRPr="00172CD7">
              <w:rPr>
                <w:rFonts w:ascii="Calibri" w:eastAsia="Times New Roman" w:hAnsi="Calibri" w:cs="Times New Roman"/>
                <w:b/>
                <w:bCs/>
                <w:i/>
                <w:iCs/>
                <w:color w:val="000000"/>
                <w:lang w:eastAsia="el-GR"/>
              </w:rPr>
              <w:t xml:space="preserve"> ΙΙ</w:t>
            </w:r>
          </w:p>
        </w:tc>
        <w:tc>
          <w:tcPr>
            <w:tcW w:w="1276" w:type="dxa"/>
            <w:tcBorders>
              <w:top w:val="nil"/>
              <w:left w:val="nil"/>
              <w:bottom w:val="single" w:sz="4" w:space="0" w:color="auto"/>
              <w:right w:val="single" w:sz="4" w:space="0" w:color="auto"/>
            </w:tcBorders>
            <w:shd w:val="clear" w:color="000000" w:fill="D8E4BC"/>
            <w:noWrap/>
            <w:vAlign w:val="bottom"/>
            <w:hideMark/>
          </w:tcPr>
          <w:p w14:paraId="65BC2671"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Α Κύκλος</w:t>
            </w:r>
          </w:p>
        </w:tc>
        <w:tc>
          <w:tcPr>
            <w:tcW w:w="1275" w:type="dxa"/>
            <w:tcBorders>
              <w:top w:val="nil"/>
              <w:left w:val="nil"/>
              <w:bottom w:val="single" w:sz="4" w:space="0" w:color="auto"/>
              <w:right w:val="single" w:sz="4" w:space="0" w:color="auto"/>
            </w:tcBorders>
            <w:shd w:val="clear" w:color="000000" w:fill="D8E4BC"/>
            <w:noWrap/>
            <w:vAlign w:val="bottom"/>
            <w:hideMark/>
          </w:tcPr>
          <w:p w14:paraId="7E1BAD24"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Β Κύκλος</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CE3418" w14:textId="77777777" w:rsidR="00172CD7" w:rsidRPr="00172CD7" w:rsidRDefault="00172CD7" w:rsidP="00172CD7">
            <w:pPr>
              <w:autoSpaceDE/>
              <w:autoSpaceDN/>
              <w:adjustRightInd/>
              <w:spacing w:before="0" w:after="0" w:line="240" w:lineRule="auto"/>
              <w:jc w:val="left"/>
              <w:rPr>
                <w:rFonts w:ascii="Calibri" w:eastAsia="Times New Roman" w:hAnsi="Calibri" w:cs="Times New Roman"/>
                <w:b/>
                <w:bCs/>
                <w:i/>
                <w:iCs/>
                <w:color w:val="000000"/>
                <w:lang w:eastAsia="el-GR"/>
              </w:rPr>
            </w:pPr>
          </w:p>
        </w:tc>
      </w:tr>
      <w:tr w:rsidR="00172CD7" w:rsidRPr="00172CD7" w14:paraId="6C7DC2F9"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C113A25"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7BF08151"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21</w:t>
            </w:r>
          </w:p>
        </w:tc>
        <w:tc>
          <w:tcPr>
            <w:tcW w:w="1134" w:type="dxa"/>
            <w:tcBorders>
              <w:top w:val="nil"/>
              <w:left w:val="nil"/>
              <w:bottom w:val="single" w:sz="4" w:space="0" w:color="auto"/>
              <w:right w:val="single" w:sz="4" w:space="0" w:color="auto"/>
            </w:tcBorders>
            <w:shd w:val="clear" w:color="auto" w:fill="auto"/>
            <w:noWrap/>
            <w:vAlign w:val="bottom"/>
            <w:hideMark/>
          </w:tcPr>
          <w:p w14:paraId="549E057F"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4D45C9C1"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14:paraId="0959CB2E"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54D463E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730A481F"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21</w:t>
            </w:r>
          </w:p>
        </w:tc>
      </w:tr>
      <w:tr w:rsidR="00172CD7" w:rsidRPr="00172CD7" w14:paraId="193B3126"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FADB216"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2012</w:t>
            </w:r>
          </w:p>
        </w:tc>
        <w:tc>
          <w:tcPr>
            <w:tcW w:w="1276" w:type="dxa"/>
            <w:tcBorders>
              <w:top w:val="nil"/>
              <w:left w:val="nil"/>
              <w:bottom w:val="single" w:sz="4" w:space="0" w:color="auto"/>
              <w:right w:val="single" w:sz="4" w:space="0" w:color="auto"/>
            </w:tcBorders>
            <w:shd w:val="clear" w:color="auto" w:fill="auto"/>
            <w:noWrap/>
            <w:vAlign w:val="bottom"/>
            <w:hideMark/>
          </w:tcPr>
          <w:p w14:paraId="3595B190"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8.037</w:t>
            </w:r>
          </w:p>
        </w:tc>
        <w:tc>
          <w:tcPr>
            <w:tcW w:w="1134" w:type="dxa"/>
            <w:tcBorders>
              <w:top w:val="nil"/>
              <w:left w:val="nil"/>
              <w:bottom w:val="single" w:sz="4" w:space="0" w:color="auto"/>
              <w:right w:val="single" w:sz="4" w:space="0" w:color="auto"/>
            </w:tcBorders>
            <w:shd w:val="clear" w:color="auto" w:fill="auto"/>
            <w:noWrap/>
            <w:vAlign w:val="bottom"/>
            <w:hideMark/>
          </w:tcPr>
          <w:p w14:paraId="4AC9A44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34B0E049"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14:paraId="009920D9"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0D8DCD86"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14123300"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8.037</w:t>
            </w:r>
          </w:p>
        </w:tc>
      </w:tr>
      <w:tr w:rsidR="00172CD7" w:rsidRPr="00172CD7" w14:paraId="038D4DA4"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ED94C19"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41490947"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12.407</w:t>
            </w:r>
          </w:p>
        </w:tc>
        <w:tc>
          <w:tcPr>
            <w:tcW w:w="1134" w:type="dxa"/>
            <w:tcBorders>
              <w:top w:val="nil"/>
              <w:left w:val="nil"/>
              <w:bottom w:val="single" w:sz="4" w:space="0" w:color="auto"/>
              <w:right w:val="single" w:sz="4" w:space="0" w:color="auto"/>
            </w:tcBorders>
            <w:shd w:val="clear" w:color="auto" w:fill="auto"/>
            <w:noWrap/>
            <w:vAlign w:val="bottom"/>
            <w:hideMark/>
          </w:tcPr>
          <w:p w14:paraId="29F5AEBD"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513D64D2"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14:paraId="3B51B62A"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48C635F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7711DE62"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12.407</w:t>
            </w:r>
          </w:p>
        </w:tc>
      </w:tr>
      <w:tr w:rsidR="00172CD7" w:rsidRPr="00172CD7" w14:paraId="67830CDC"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EE83FC1"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2014</w:t>
            </w:r>
          </w:p>
        </w:tc>
        <w:tc>
          <w:tcPr>
            <w:tcW w:w="1276" w:type="dxa"/>
            <w:tcBorders>
              <w:top w:val="nil"/>
              <w:left w:val="nil"/>
              <w:bottom w:val="single" w:sz="4" w:space="0" w:color="auto"/>
              <w:right w:val="single" w:sz="4" w:space="0" w:color="auto"/>
            </w:tcBorders>
            <w:shd w:val="clear" w:color="auto" w:fill="auto"/>
            <w:noWrap/>
            <w:vAlign w:val="bottom"/>
            <w:hideMark/>
          </w:tcPr>
          <w:p w14:paraId="0EE2AB47"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18.388</w:t>
            </w:r>
          </w:p>
        </w:tc>
        <w:tc>
          <w:tcPr>
            <w:tcW w:w="1134" w:type="dxa"/>
            <w:tcBorders>
              <w:top w:val="nil"/>
              <w:left w:val="nil"/>
              <w:bottom w:val="single" w:sz="4" w:space="0" w:color="auto"/>
              <w:right w:val="single" w:sz="4" w:space="0" w:color="auto"/>
            </w:tcBorders>
            <w:shd w:val="clear" w:color="auto" w:fill="auto"/>
            <w:noWrap/>
            <w:vAlign w:val="bottom"/>
            <w:hideMark/>
          </w:tcPr>
          <w:p w14:paraId="28D1864E"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091A2B11"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14:paraId="4BF2DEA7"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3F547E57"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277FA8FF"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18.388</w:t>
            </w:r>
          </w:p>
        </w:tc>
      </w:tr>
      <w:tr w:rsidR="00172CD7" w:rsidRPr="00172CD7" w14:paraId="2C4EF67D"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991460A"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4538B99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5.987</w:t>
            </w:r>
          </w:p>
        </w:tc>
        <w:tc>
          <w:tcPr>
            <w:tcW w:w="1134" w:type="dxa"/>
            <w:tcBorders>
              <w:top w:val="nil"/>
              <w:left w:val="nil"/>
              <w:bottom w:val="single" w:sz="4" w:space="0" w:color="auto"/>
              <w:right w:val="single" w:sz="4" w:space="0" w:color="auto"/>
            </w:tcBorders>
            <w:shd w:val="clear" w:color="auto" w:fill="auto"/>
            <w:noWrap/>
            <w:vAlign w:val="bottom"/>
            <w:hideMark/>
          </w:tcPr>
          <w:p w14:paraId="2C35768E"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1A11FA1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14:paraId="3EB4B374"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35553438"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20C12256"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5.987</w:t>
            </w:r>
          </w:p>
        </w:tc>
      </w:tr>
      <w:tr w:rsidR="00172CD7" w:rsidRPr="00172CD7" w14:paraId="43810C64"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C52EA8E"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2016</w:t>
            </w:r>
          </w:p>
        </w:tc>
        <w:tc>
          <w:tcPr>
            <w:tcW w:w="1276" w:type="dxa"/>
            <w:tcBorders>
              <w:top w:val="nil"/>
              <w:left w:val="nil"/>
              <w:bottom w:val="single" w:sz="4" w:space="0" w:color="auto"/>
              <w:right w:val="single" w:sz="4" w:space="0" w:color="auto"/>
            </w:tcBorders>
            <w:shd w:val="clear" w:color="auto" w:fill="auto"/>
            <w:noWrap/>
            <w:vAlign w:val="bottom"/>
            <w:hideMark/>
          </w:tcPr>
          <w:p w14:paraId="43FD3EE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63CEF4"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1.520</w:t>
            </w:r>
          </w:p>
        </w:tc>
        <w:tc>
          <w:tcPr>
            <w:tcW w:w="1134" w:type="dxa"/>
            <w:tcBorders>
              <w:top w:val="nil"/>
              <w:left w:val="nil"/>
              <w:bottom w:val="single" w:sz="4" w:space="0" w:color="auto"/>
              <w:right w:val="single" w:sz="4" w:space="0" w:color="auto"/>
            </w:tcBorders>
            <w:shd w:val="clear" w:color="auto" w:fill="auto"/>
            <w:noWrap/>
            <w:vAlign w:val="bottom"/>
            <w:hideMark/>
          </w:tcPr>
          <w:p w14:paraId="41076412"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14:paraId="5396E2ED"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5E8C7683"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4DAB6651"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1.520</w:t>
            </w:r>
          </w:p>
        </w:tc>
      </w:tr>
      <w:tr w:rsidR="00172CD7" w:rsidRPr="00172CD7" w14:paraId="46101B0C"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8C51F6F"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4D53CDA0"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230446F9"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4.785</w:t>
            </w:r>
          </w:p>
        </w:tc>
        <w:tc>
          <w:tcPr>
            <w:tcW w:w="1134" w:type="dxa"/>
            <w:tcBorders>
              <w:top w:val="nil"/>
              <w:left w:val="nil"/>
              <w:bottom w:val="single" w:sz="4" w:space="0" w:color="auto"/>
              <w:right w:val="single" w:sz="4" w:space="0" w:color="auto"/>
            </w:tcBorders>
            <w:shd w:val="clear" w:color="auto" w:fill="auto"/>
            <w:noWrap/>
            <w:vAlign w:val="bottom"/>
            <w:hideMark/>
          </w:tcPr>
          <w:p w14:paraId="76237BBF"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98</w:t>
            </w:r>
          </w:p>
        </w:tc>
        <w:tc>
          <w:tcPr>
            <w:tcW w:w="1276" w:type="dxa"/>
            <w:tcBorders>
              <w:top w:val="nil"/>
              <w:left w:val="nil"/>
              <w:bottom w:val="single" w:sz="4" w:space="0" w:color="auto"/>
              <w:right w:val="single" w:sz="4" w:space="0" w:color="auto"/>
            </w:tcBorders>
            <w:shd w:val="clear" w:color="auto" w:fill="auto"/>
            <w:noWrap/>
            <w:vAlign w:val="bottom"/>
            <w:hideMark/>
          </w:tcPr>
          <w:p w14:paraId="4A4F3E8E"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5D1FA447"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21EE17B4"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4.883</w:t>
            </w:r>
          </w:p>
        </w:tc>
      </w:tr>
      <w:tr w:rsidR="00172CD7" w:rsidRPr="00172CD7" w14:paraId="483D1631"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2EA8036"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29458431"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6AED06EB"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222F4B47"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4.576</w:t>
            </w:r>
          </w:p>
        </w:tc>
        <w:tc>
          <w:tcPr>
            <w:tcW w:w="1276" w:type="dxa"/>
            <w:tcBorders>
              <w:top w:val="nil"/>
              <w:left w:val="nil"/>
              <w:bottom w:val="single" w:sz="4" w:space="0" w:color="auto"/>
              <w:right w:val="single" w:sz="4" w:space="0" w:color="auto"/>
            </w:tcBorders>
            <w:shd w:val="clear" w:color="auto" w:fill="auto"/>
            <w:noWrap/>
            <w:vAlign w:val="bottom"/>
            <w:hideMark/>
          </w:tcPr>
          <w:p w14:paraId="0B679779"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21</w:t>
            </w:r>
          </w:p>
        </w:tc>
        <w:tc>
          <w:tcPr>
            <w:tcW w:w="1275" w:type="dxa"/>
            <w:tcBorders>
              <w:top w:val="nil"/>
              <w:left w:val="nil"/>
              <w:bottom w:val="single" w:sz="4" w:space="0" w:color="auto"/>
              <w:right w:val="single" w:sz="4" w:space="0" w:color="auto"/>
            </w:tcBorders>
            <w:shd w:val="clear" w:color="auto" w:fill="auto"/>
            <w:noWrap/>
            <w:vAlign w:val="bottom"/>
            <w:hideMark/>
          </w:tcPr>
          <w:p w14:paraId="202AA4A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1EFC184D"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4.597</w:t>
            </w:r>
          </w:p>
        </w:tc>
      </w:tr>
      <w:tr w:rsidR="00172CD7" w:rsidRPr="00172CD7" w14:paraId="24096F67"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A8935EE"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2CE6ED63"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322DC775"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21499AD6"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636</w:t>
            </w:r>
          </w:p>
        </w:tc>
        <w:tc>
          <w:tcPr>
            <w:tcW w:w="1276" w:type="dxa"/>
            <w:tcBorders>
              <w:top w:val="nil"/>
              <w:left w:val="nil"/>
              <w:bottom w:val="single" w:sz="4" w:space="0" w:color="auto"/>
              <w:right w:val="single" w:sz="4" w:space="0" w:color="auto"/>
            </w:tcBorders>
            <w:shd w:val="clear" w:color="auto" w:fill="auto"/>
            <w:noWrap/>
            <w:vAlign w:val="bottom"/>
            <w:hideMark/>
          </w:tcPr>
          <w:p w14:paraId="1FC5DA96"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30.442</w:t>
            </w:r>
          </w:p>
        </w:tc>
        <w:tc>
          <w:tcPr>
            <w:tcW w:w="1275" w:type="dxa"/>
            <w:tcBorders>
              <w:top w:val="nil"/>
              <w:left w:val="nil"/>
              <w:bottom w:val="single" w:sz="4" w:space="0" w:color="auto"/>
              <w:right w:val="single" w:sz="4" w:space="0" w:color="auto"/>
            </w:tcBorders>
            <w:shd w:val="clear" w:color="auto" w:fill="auto"/>
            <w:noWrap/>
            <w:vAlign w:val="bottom"/>
            <w:hideMark/>
          </w:tcPr>
          <w:p w14:paraId="045F73FA"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418" w:type="dxa"/>
            <w:tcBorders>
              <w:top w:val="nil"/>
              <w:left w:val="nil"/>
              <w:bottom w:val="single" w:sz="4" w:space="0" w:color="auto"/>
              <w:right w:val="single" w:sz="4" w:space="0" w:color="auto"/>
            </w:tcBorders>
            <w:shd w:val="clear" w:color="auto" w:fill="auto"/>
            <w:noWrap/>
            <w:vAlign w:val="bottom"/>
            <w:hideMark/>
          </w:tcPr>
          <w:p w14:paraId="5CF0FC3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31.078</w:t>
            </w:r>
          </w:p>
        </w:tc>
      </w:tr>
      <w:tr w:rsidR="00172CD7" w:rsidRPr="00172CD7" w14:paraId="43EE4E3C"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9038196"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68F0FB0"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59B59F"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719950B4"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4</w:t>
            </w:r>
          </w:p>
        </w:tc>
        <w:tc>
          <w:tcPr>
            <w:tcW w:w="1276" w:type="dxa"/>
            <w:tcBorders>
              <w:top w:val="nil"/>
              <w:left w:val="nil"/>
              <w:bottom w:val="single" w:sz="4" w:space="0" w:color="auto"/>
              <w:right w:val="single" w:sz="4" w:space="0" w:color="auto"/>
            </w:tcBorders>
            <w:shd w:val="clear" w:color="auto" w:fill="auto"/>
            <w:noWrap/>
            <w:vAlign w:val="bottom"/>
            <w:hideMark/>
          </w:tcPr>
          <w:p w14:paraId="21B9EF38"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8.357</w:t>
            </w:r>
          </w:p>
        </w:tc>
        <w:tc>
          <w:tcPr>
            <w:tcW w:w="1275" w:type="dxa"/>
            <w:tcBorders>
              <w:top w:val="nil"/>
              <w:left w:val="nil"/>
              <w:bottom w:val="single" w:sz="4" w:space="0" w:color="auto"/>
              <w:right w:val="single" w:sz="4" w:space="0" w:color="auto"/>
            </w:tcBorders>
            <w:shd w:val="clear" w:color="auto" w:fill="auto"/>
            <w:noWrap/>
            <w:vAlign w:val="bottom"/>
            <w:hideMark/>
          </w:tcPr>
          <w:p w14:paraId="751B0B7C"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7.876</w:t>
            </w:r>
          </w:p>
        </w:tc>
        <w:tc>
          <w:tcPr>
            <w:tcW w:w="1418" w:type="dxa"/>
            <w:tcBorders>
              <w:top w:val="nil"/>
              <w:left w:val="nil"/>
              <w:bottom w:val="single" w:sz="4" w:space="0" w:color="auto"/>
              <w:right w:val="single" w:sz="4" w:space="0" w:color="auto"/>
            </w:tcBorders>
            <w:shd w:val="clear" w:color="auto" w:fill="auto"/>
            <w:noWrap/>
            <w:vAlign w:val="bottom"/>
            <w:hideMark/>
          </w:tcPr>
          <w:p w14:paraId="29949394"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16.237</w:t>
            </w:r>
          </w:p>
        </w:tc>
      </w:tr>
      <w:tr w:rsidR="00172CD7" w:rsidRPr="00172CD7" w14:paraId="4CFD2706"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83C39DA"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298422CF"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4D382508"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7DF188D5"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14:paraId="361B46EB"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4F7C82CE"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12.124</w:t>
            </w:r>
          </w:p>
        </w:tc>
        <w:tc>
          <w:tcPr>
            <w:tcW w:w="1418" w:type="dxa"/>
            <w:tcBorders>
              <w:top w:val="nil"/>
              <w:left w:val="nil"/>
              <w:bottom w:val="single" w:sz="4" w:space="0" w:color="auto"/>
              <w:right w:val="single" w:sz="4" w:space="0" w:color="auto"/>
            </w:tcBorders>
            <w:shd w:val="clear" w:color="auto" w:fill="auto"/>
            <w:noWrap/>
            <w:vAlign w:val="bottom"/>
            <w:hideMark/>
          </w:tcPr>
          <w:p w14:paraId="76B30614"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12.224</w:t>
            </w:r>
          </w:p>
        </w:tc>
      </w:tr>
      <w:tr w:rsidR="00172CD7" w:rsidRPr="00172CD7" w14:paraId="70D4EE92"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6CEF177" w14:textId="77777777" w:rsidR="00172CD7" w:rsidRPr="00172CD7" w:rsidRDefault="00172CD7" w:rsidP="00172CD7">
            <w:pPr>
              <w:autoSpaceDE/>
              <w:autoSpaceDN/>
              <w:adjustRightInd/>
              <w:spacing w:before="0" w:after="0" w:line="240" w:lineRule="auto"/>
              <w:jc w:val="center"/>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2022</w:t>
            </w:r>
          </w:p>
        </w:tc>
        <w:tc>
          <w:tcPr>
            <w:tcW w:w="1276" w:type="dxa"/>
            <w:tcBorders>
              <w:top w:val="nil"/>
              <w:left w:val="nil"/>
              <w:bottom w:val="single" w:sz="4" w:space="0" w:color="auto"/>
              <w:right w:val="single" w:sz="4" w:space="0" w:color="auto"/>
            </w:tcBorders>
            <w:shd w:val="clear" w:color="auto" w:fill="auto"/>
            <w:noWrap/>
            <w:vAlign w:val="bottom"/>
            <w:hideMark/>
          </w:tcPr>
          <w:p w14:paraId="6C12255D"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0F305766"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14:paraId="4C95AC36"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14:paraId="24FC6A63"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color w:val="000000"/>
                <w:lang w:eastAsia="el-GR"/>
              </w:rPr>
            </w:pPr>
            <w:r w:rsidRPr="00172CD7">
              <w:rPr>
                <w:rFonts w:ascii="Calibri" w:eastAsia="Times New Roman" w:hAnsi="Calibri" w:cs="Times New Roman"/>
                <w:color w:val="000000"/>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028A187B" w14:textId="16A9AADE" w:rsidR="00172CD7" w:rsidRPr="00172CD7" w:rsidRDefault="00CB70F0" w:rsidP="00172CD7">
            <w:pPr>
              <w:autoSpaceDE/>
              <w:autoSpaceDN/>
              <w:adjustRightInd/>
              <w:spacing w:before="0" w:after="0" w:line="240" w:lineRule="auto"/>
              <w:jc w:val="right"/>
              <w:rPr>
                <w:rFonts w:ascii="Calibri" w:eastAsia="Times New Roman" w:hAnsi="Calibri" w:cs="Times New Roman"/>
                <w:color w:val="000000"/>
                <w:lang w:eastAsia="el-GR"/>
              </w:rPr>
            </w:pPr>
            <w:r>
              <w:rPr>
                <w:rFonts w:ascii="Calibri" w:eastAsia="Times New Roman" w:hAnsi="Calibri" w:cs="Times New Roman"/>
                <w:color w:val="000000"/>
                <w:lang w:eastAsia="el-GR"/>
              </w:rPr>
              <w:t>1.482</w:t>
            </w:r>
          </w:p>
        </w:tc>
        <w:tc>
          <w:tcPr>
            <w:tcW w:w="1418" w:type="dxa"/>
            <w:tcBorders>
              <w:top w:val="nil"/>
              <w:left w:val="nil"/>
              <w:bottom w:val="single" w:sz="4" w:space="0" w:color="auto"/>
              <w:right w:val="single" w:sz="4" w:space="0" w:color="auto"/>
            </w:tcBorders>
            <w:shd w:val="clear" w:color="auto" w:fill="auto"/>
            <w:noWrap/>
            <w:vAlign w:val="bottom"/>
            <w:hideMark/>
          </w:tcPr>
          <w:p w14:paraId="06D9E939" w14:textId="353ABC6F" w:rsidR="00172CD7" w:rsidRPr="00172CD7" w:rsidRDefault="00CB70F0" w:rsidP="00172CD7">
            <w:pPr>
              <w:autoSpaceDE/>
              <w:autoSpaceDN/>
              <w:adjustRightInd/>
              <w:spacing w:before="0" w:after="0" w:line="240" w:lineRule="auto"/>
              <w:jc w:val="right"/>
              <w:rPr>
                <w:rFonts w:ascii="Calibri" w:eastAsia="Times New Roman" w:hAnsi="Calibri" w:cs="Times New Roman"/>
                <w:color w:val="000000"/>
                <w:lang w:eastAsia="el-GR"/>
              </w:rPr>
            </w:pPr>
            <w:r>
              <w:rPr>
                <w:rFonts w:ascii="Calibri" w:eastAsia="Times New Roman" w:hAnsi="Calibri" w:cs="Times New Roman"/>
                <w:color w:val="000000"/>
                <w:lang w:eastAsia="el-GR"/>
              </w:rPr>
              <w:t>1.482</w:t>
            </w:r>
          </w:p>
        </w:tc>
      </w:tr>
      <w:tr w:rsidR="00172CD7" w:rsidRPr="00172CD7" w14:paraId="3DA8AF8E" w14:textId="77777777" w:rsidTr="00172CD7">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3D15715" w14:textId="77777777" w:rsidR="00172CD7" w:rsidRPr="00172CD7" w:rsidRDefault="00172CD7" w:rsidP="00172CD7">
            <w:pPr>
              <w:autoSpaceDE/>
              <w:autoSpaceDN/>
              <w:adjustRightInd/>
              <w:spacing w:before="0" w:after="0" w:line="240" w:lineRule="auto"/>
              <w:jc w:val="left"/>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Σύνολο</w:t>
            </w:r>
          </w:p>
        </w:tc>
        <w:tc>
          <w:tcPr>
            <w:tcW w:w="1276" w:type="dxa"/>
            <w:tcBorders>
              <w:top w:val="nil"/>
              <w:left w:val="nil"/>
              <w:bottom w:val="single" w:sz="4" w:space="0" w:color="auto"/>
              <w:right w:val="single" w:sz="4" w:space="0" w:color="auto"/>
            </w:tcBorders>
            <w:shd w:val="clear" w:color="auto" w:fill="auto"/>
            <w:noWrap/>
            <w:vAlign w:val="bottom"/>
            <w:hideMark/>
          </w:tcPr>
          <w:p w14:paraId="01069B85"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44.840</w:t>
            </w:r>
          </w:p>
        </w:tc>
        <w:tc>
          <w:tcPr>
            <w:tcW w:w="1134" w:type="dxa"/>
            <w:tcBorders>
              <w:top w:val="nil"/>
              <w:left w:val="nil"/>
              <w:bottom w:val="single" w:sz="4" w:space="0" w:color="auto"/>
              <w:right w:val="single" w:sz="4" w:space="0" w:color="auto"/>
            </w:tcBorders>
            <w:shd w:val="clear" w:color="auto" w:fill="auto"/>
            <w:noWrap/>
            <w:vAlign w:val="bottom"/>
            <w:hideMark/>
          </w:tcPr>
          <w:p w14:paraId="7588FD74"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6.305</w:t>
            </w:r>
          </w:p>
        </w:tc>
        <w:tc>
          <w:tcPr>
            <w:tcW w:w="1134" w:type="dxa"/>
            <w:tcBorders>
              <w:top w:val="nil"/>
              <w:left w:val="nil"/>
              <w:bottom w:val="single" w:sz="4" w:space="0" w:color="auto"/>
              <w:right w:val="single" w:sz="4" w:space="0" w:color="auto"/>
            </w:tcBorders>
            <w:shd w:val="clear" w:color="auto" w:fill="auto"/>
            <w:noWrap/>
            <w:vAlign w:val="bottom"/>
            <w:hideMark/>
          </w:tcPr>
          <w:p w14:paraId="23703791"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5.314</w:t>
            </w:r>
          </w:p>
        </w:tc>
        <w:tc>
          <w:tcPr>
            <w:tcW w:w="1276" w:type="dxa"/>
            <w:tcBorders>
              <w:top w:val="nil"/>
              <w:left w:val="nil"/>
              <w:bottom w:val="single" w:sz="4" w:space="0" w:color="auto"/>
              <w:right w:val="single" w:sz="4" w:space="0" w:color="auto"/>
            </w:tcBorders>
            <w:shd w:val="clear" w:color="auto" w:fill="auto"/>
            <w:noWrap/>
            <w:vAlign w:val="bottom"/>
            <w:hideMark/>
          </w:tcPr>
          <w:p w14:paraId="23106E66" w14:textId="77777777" w:rsidR="00172CD7" w:rsidRPr="00172CD7" w:rsidRDefault="00172CD7" w:rsidP="00172CD7">
            <w:pPr>
              <w:autoSpaceDE/>
              <w:autoSpaceDN/>
              <w:adjustRightInd/>
              <w:spacing w:before="0" w:after="0" w:line="240" w:lineRule="auto"/>
              <w:jc w:val="right"/>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38.920</w:t>
            </w:r>
          </w:p>
        </w:tc>
        <w:tc>
          <w:tcPr>
            <w:tcW w:w="1275" w:type="dxa"/>
            <w:tcBorders>
              <w:top w:val="nil"/>
              <w:left w:val="nil"/>
              <w:bottom w:val="single" w:sz="4" w:space="0" w:color="auto"/>
              <w:right w:val="single" w:sz="4" w:space="0" w:color="auto"/>
            </w:tcBorders>
            <w:shd w:val="clear" w:color="auto" w:fill="auto"/>
            <w:noWrap/>
            <w:vAlign w:val="bottom"/>
            <w:hideMark/>
          </w:tcPr>
          <w:p w14:paraId="486805C9" w14:textId="5DE42B0A" w:rsidR="00172CD7" w:rsidRPr="00172CD7" w:rsidRDefault="00CB70F0" w:rsidP="00172CD7">
            <w:pPr>
              <w:autoSpaceDE/>
              <w:autoSpaceDN/>
              <w:adjustRightInd/>
              <w:spacing w:before="0" w:after="0" w:line="240" w:lineRule="auto"/>
              <w:jc w:val="right"/>
              <w:rPr>
                <w:rFonts w:ascii="Calibri" w:eastAsia="Times New Roman" w:hAnsi="Calibri" w:cs="Times New Roman"/>
                <w:b/>
                <w:bCs/>
                <w:i/>
                <w:iCs/>
                <w:color w:val="000000"/>
                <w:lang w:eastAsia="el-GR"/>
              </w:rPr>
            </w:pPr>
            <w:r>
              <w:rPr>
                <w:rFonts w:ascii="Calibri" w:eastAsia="Times New Roman" w:hAnsi="Calibri" w:cs="Times New Roman"/>
                <w:b/>
                <w:bCs/>
                <w:i/>
                <w:iCs/>
                <w:color w:val="000000"/>
                <w:lang w:eastAsia="el-GR"/>
              </w:rPr>
              <w:t>21.482</w:t>
            </w:r>
          </w:p>
        </w:tc>
        <w:tc>
          <w:tcPr>
            <w:tcW w:w="1418" w:type="dxa"/>
            <w:tcBorders>
              <w:top w:val="nil"/>
              <w:left w:val="nil"/>
              <w:bottom w:val="single" w:sz="4" w:space="0" w:color="auto"/>
              <w:right w:val="single" w:sz="4" w:space="0" w:color="auto"/>
            </w:tcBorders>
            <w:shd w:val="clear" w:color="auto" w:fill="auto"/>
            <w:noWrap/>
            <w:vAlign w:val="bottom"/>
            <w:hideMark/>
          </w:tcPr>
          <w:p w14:paraId="59B2DBD7" w14:textId="035CD934" w:rsidR="00172CD7" w:rsidRPr="00172CD7" w:rsidRDefault="00172CD7" w:rsidP="00CB70F0">
            <w:pPr>
              <w:autoSpaceDE/>
              <w:autoSpaceDN/>
              <w:adjustRightInd/>
              <w:spacing w:before="0" w:after="0" w:line="240" w:lineRule="auto"/>
              <w:jc w:val="right"/>
              <w:rPr>
                <w:rFonts w:ascii="Calibri" w:eastAsia="Times New Roman" w:hAnsi="Calibri" w:cs="Times New Roman"/>
                <w:b/>
                <w:bCs/>
                <w:i/>
                <w:iCs/>
                <w:color w:val="000000"/>
                <w:lang w:eastAsia="el-GR"/>
              </w:rPr>
            </w:pPr>
            <w:r w:rsidRPr="00172CD7">
              <w:rPr>
                <w:rFonts w:ascii="Calibri" w:eastAsia="Times New Roman" w:hAnsi="Calibri" w:cs="Times New Roman"/>
                <w:b/>
                <w:bCs/>
                <w:i/>
                <w:iCs/>
                <w:color w:val="000000"/>
                <w:lang w:eastAsia="el-GR"/>
              </w:rPr>
              <w:t>11</w:t>
            </w:r>
            <w:r w:rsidR="00CB70F0">
              <w:rPr>
                <w:rFonts w:ascii="Calibri" w:eastAsia="Times New Roman" w:hAnsi="Calibri" w:cs="Times New Roman"/>
                <w:b/>
                <w:bCs/>
                <w:i/>
                <w:iCs/>
                <w:color w:val="000000"/>
                <w:lang w:eastAsia="el-GR"/>
              </w:rPr>
              <w:t>6</w:t>
            </w:r>
            <w:r w:rsidRPr="00172CD7">
              <w:rPr>
                <w:rFonts w:ascii="Calibri" w:eastAsia="Times New Roman" w:hAnsi="Calibri" w:cs="Times New Roman"/>
                <w:b/>
                <w:bCs/>
                <w:i/>
                <w:iCs/>
                <w:color w:val="000000"/>
                <w:lang w:eastAsia="el-GR"/>
              </w:rPr>
              <w:t>.</w:t>
            </w:r>
            <w:r w:rsidR="00CB70F0">
              <w:rPr>
                <w:rFonts w:ascii="Calibri" w:eastAsia="Times New Roman" w:hAnsi="Calibri" w:cs="Times New Roman"/>
                <w:b/>
                <w:bCs/>
                <w:i/>
                <w:iCs/>
                <w:color w:val="000000"/>
                <w:lang w:eastAsia="el-GR"/>
              </w:rPr>
              <w:t>86</w:t>
            </w:r>
            <w:r w:rsidRPr="00172CD7">
              <w:rPr>
                <w:rFonts w:ascii="Calibri" w:eastAsia="Times New Roman" w:hAnsi="Calibri" w:cs="Times New Roman"/>
                <w:b/>
                <w:bCs/>
                <w:i/>
                <w:iCs/>
                <w:color w:val="000000"/>
                <w:lang w:eastAsia="el-GR"/>
              </w:rPr>
              <w:t>1</w:t>
            </w:r>
          </w:p>
        </w:tc>
      </w:tr>
    </w:tbl>
    <w:p w14:paraId="3E37C7A7" w14:textId="482A9CE7" w:rsidR="00F23ADB" w:rsidRDefault="00F23ADB" w:rsidP="00172CD7">
      <w:r>
        <w:br w:type="page"/>
      </w:r>
    </w:p>
    <w:p w14:paraId="7CF32FA0" w14:textId="77777777" w:rsidR="00F23ADB" w:rsidRPr="00C11A76" w:rsidRDefault="00F23ADB" w:rsidP="00F23ADB">
      <w:pPr>
        <w:pStyle w:val="1"/>
        <w:spacing w:line="240" w:lineRule="auto"/>
        <w:rPr>
          <w:color w:val="auto"/>
        </w:rPr>
      </w:pPr>
      <w:bookmarkStart w:id="47" w:name="_Toc464038682"/>
      <w:bookmarkStart w:id="48" w:name="_Toc36639225"/>
      <w:r w:rsidRPr="00C11A76">
        <w:rPr>
          <w:color w:val="auto"/>
        </w:rPr>
        <w:lastRenderedPageBreak/>
        <w:t>Δεύτερο Μέρος:</w:t>
      </w:r>
      <w:bookmarkEnd w:id="47"/>
      <w:r w:rsidRPr="00C11A76">
        <w:rPr>
          <w:color w:val="auto"/>
        </w:rPr>
        <w:t xml:space="preserve"> </w:t>
      </w:r>
      <w:bookmarkStart w:id="49" w:name="_Toc464038683"/>
      <w:r w:rsidRPr="00C11A76">
        <w:rPr>
          <w:color w:val="auto"/>
        </w:rPr>
        <w:t xml:space="preserve">Αξιολόγηση της πιθανής προστιθέμενης αξίας και της </w:t>
      </w:r>
      <w:proofErr w:type="spellStart"/>
      <w:r w:rsidRPr="00C11A76">
        <w:rPr>
          <w:color w:val="auto"/>
        </w:rPr>
        <w:t>μόχλευσης</w:t>
      </w:r>
      <w:bookmarkEnd w:id="48"/>
      <w:bookmarkEnd w:id="49"/>
      <w:proofErr w:type="spellEnd"/>
    </w:p>
    <w:p w14:paraId="187704CA" w14:textId="77777777" w:rsidR="00F23ADB" w:rsidRDefault="00F23ADB" w:rsidP="00F23ADB">
      <w:pPr>
        <w:pStyle w:val="Default"/>
        <w:spacing w:before="40" w:after="120" w:line="300" w:lineRule="atLeast"/>
        <w:jc w:val="both"/>
        <w:rPr>
          <w:rFonts w:asciiTheme="minorHAnsi" w:hAnsiTheme="minorHAnsi" w:cs="Arial"/>
          <w:sz w:val="22"/>
          <w:szCs w:val="22"/>
        </w:rPr>
      </w:pPr>
    </w:p>
    <w:p w14:paraId="28FF7002" w14:textId="77777777" w:rsidR="00F23ADB" w:rsidRPr="00C11A76" w:rsidRDefault="00F23ADB" w:rsidP="00F23ADB">
      <w:pPr>
        <w:spacing w:line="360" w:lineRule="auto"/>
      </w:pPr>
      <w:r w:rsidRPr="00C11A76">
        <w:t xml:space="preserve">Η προσδιορισμένη </w:t>
      </w:r>
      <w:r w:rsidR="00BF38E8">
        <w:t>“Ανεπάρκεια της αγοράς”</w:t>
      </w:r>
      <w:r w:rsidRPr="00C11A76">
        <w:t xml:space="preserve"> </w:t>
      </w:r>
      <w:r w:rsidR="00BF38E8">
        <w:t>(</w:t>
      </w:r>
      <w:r w:rsidR="00BF38E8" w:rsidRPr="00BF38E8">
        <w:t>“</w:t>
      </w:r>
      <w:proofErr w:type="spellStart"/>
      <w:r w:rsidR="00BF38E8" w:rsidRPr="00BF38E8">
        <w:t>market</w:t>
      </w:r>
      <w:proofErr w:type="spellEnd"/>
      <w:r w:rsidR="00BF38E8" w:rsidRPr="00BF38E8">
        <w:t xml:space="preserve"> </w:t>
      </w:r>
      <w:proofErr w:type="spellStart"/>
      <w:r w:rsidR="00BF38E8" w:rsidRPr="00BF38E8">
        <w:t>failure</w:t>
      </w:r>
      <w:proofErr w:type="spellEnd"/>
      <w:r w:rsidR="00BF38E8" w:rsidRPr="00BF38E8">
        <w:t>”</w:t>
      </w:r>
      <w:r w:rsidR="00BF38E8">
        <w:t>)</w:t>
      </w:r>
      <w:r w:rsidR="00BF38E8" w:rsidRPr="00BF38E8">
        <w:t xml:space="preserve"> </w:t>
      </w:r>
      <w:r w:rsidRPr="00C11A76">
        <w:t>και οι μη ιδανικές επενδυτικές</w:t>
      </w:r>
      <w:r w:rsidR="002743FE">
        <w:t xml:space="preserve"> </w:t>
      </w:r>
      <w:r w:rsidRPr="00C11A76">
        <w:t>καταστάσεις</w:t>
      </w:r>
      <w:r w:rsidR="00BF38E8">
        <w:t xml:space="preserve"> που οδηγούν </w:t>
      </w:r>
      <w:r w:rsidR="00BF38E8" w:rsidRPr="00BF38E8">
        <w:t xml:space="preserve">σε </w:t>
      </w:r>
      <w:r w:rsidR="00BF38E8">
        <w:t xml:space="preserve">μη </w:t>
      </w:r>
      <w:proofErr w:type="spellStart"/>
      <w:r w:rsidR="00BF38E8" w:rsidRPr="00BF38E8">
        <w:t>οικονοµικά</w:t>
      </w:r>
      <w:proofErr w:type="spellEnd"/>
      <w:r w:rsidR="00BF38E8" w:rsidRPr="00BF38E8">
        <w:t xml:space="preserve"> αποδοτικά </w:t>
      </w:r>
      <w:proofErr w:type="spellStart"/>
      <w:r w:rsidR="00BF38E8" w:rsidRPr="00BF38E8">
        <w:t>αποτελέσµατα</w:t>
      </w:r>
      <w:proofErr w:type="spellEnd"/>
      <w:r w:rsidR="00BF38E8">
        <w:t>,</w:t>
      </w:r>
      <w:r w:rsidRPr="00BF38E8">
        <w:t xml:space="preserve"> </w:t>
      </w:r>
      <w:r w:rsidR="00AB63BB">
        <w:t xml:space="preserve">εφόσον προσδιοριστούν ποσοτικά και ποιοτικά, </w:t>
      </w:r>
      <w:r w:rsidRPr="00C11A76">
        <w:t xml:space="preserve">μπορούν να αντιμετωπισθούν με </w:t>
      </w:r>
      <w:r w:rsidR="00BF38E8">
        <w:t>διάφορους</w:t>
      </w:r>
      <w:r w:rsidRPr="00C11A76">
        <w:t xml:space="preserve"> τρόπους</w:t>
      </w:r>
      <w:r w:rsidR="00BF38E8">
        <w:t xml:space="preserve"> από το κράτος</w:t>
      </w:r>
      <w:r w:rsidR="00AB63BB">
        <w:t>.</w:t>
      </w:r>
      <w:r w:rsidR="00BF38E8">
        <w:t xml:space="preserve"> </w:t>
      </w:r>
      <w:r w:rsidR="009A505B">
        <w:t xml:space="preserve">Οι </w:t>
      </w:r>
      <w:r w:rsidR="00BF38E8">
        <w:t xml:space="preserve">Κρατικές Ενισχύσεις </w:t>
      </w:r>
      <w:r w:rsidR="009A505B">
        <w:t xml:space="preserve">(άμεσες ή έμμεσες) </w:t>
      </w:r>
      <w:r w:rsidR="00AB63BB">
        <w:t>αναφέρονται σε μέτρα που μπορεί να</w:t>
      </w:r>
      <w:r w:rsidR="00BF38E8" w:rsidRPr="00BF38E8">
        <w:t xml:space="preserve"> θεωρ</w:t>
      </w:r>
      <w:r w:rsidR="00AB63BB">
        <w:t>ηθούν</w:t>
      </w:r>
      <w:r w:rsidR="00BF38E8" w:rsidRPr="00BF38E8">
        <w:t xml:space="preserve"> συμβατ</w:t>
      </w:r>
      <w:r w:rsidR="00AB63BB">
        <w:t>ά</w:t>
      </w:r>
      <w:r w:rsidR="00BF38E8" w:rsidRPr="00BF38E8">
        <w:t>, εφόσον διορθών</w:t>
      </w:r>
      <w:r w:rsidR="00AB63BB">
        <w:t>ουν</w:t>
      </w:r>
      <w:r w:rsidR="00BF38E8" w:rsidRPr="00BF38E8">
        <w:t xml:space="preserve"> μία ανεπάρκεια της αγοράς, υλοποι</w:t>
      </w:r>
      <w:r w:rsidR="00AB63BB">
        <w:t>ούν</w:t>
      </w:r>
      <w:r w:rsidR="00BF38E8" w:rsidRPr="00BF38E8">
        <w:t xml:space="preserve"> σαφώς καθορισθέντες στόχους κοινού συμφέροντος και δεν στρεβλών</w:t>
      </w:r>
      <w:r w:rsidR="00AB63BB">
        <w:t>ουν</w:t>
      </w:r>
      <w:r w:rsidR="00BF38E8" w:rsidRPr="00BF38E8">
        <w:t xml:space="preserve"> τον ανταγωνισμό εντός της Ε</w:t>
      </w:r>
      <w:r w:rsidR="00AB63BB">
        <w:t>.</w:t>
      </w:r>
      <w:r w:rsidR="00BF38E8" w:rsidRPr="00BF38E8">
        <w:t>Ε</w:t>
      </w:r>
      <w:r w:rsidR="00AB63BB">
        <w:t>.</w:t>
      </w:r>
      <w:r w:rsidR="00BF38E8" w:rsidRPr="00BF38E8">
        <w:t xml:space="preserve"> και το εμπόριο κατά τρόπο αντίθετο προς το κοινό συμφέρον.</w:t>
      </w:r>
      <w:r w:rsidR="00BF38E8">
        <w:t xml:space="preserve"> </w:t>
      </w:r>
      <w:r w:rsidRPr="00BF38E8">
        <w:t>Μ</w:t>
      </w:r>
      <w:r w:rsidR="00BF38E8">
        <w:t xml:space="preserve">ε την έννοια αυτή η ανεπάρκεια της αγοράς μπορεί να καλυφθεί </w:t>
      </w:r>
      <w:r w:rsidR="00AB63BB">
        <w:t xml:space="preserve">από </w:t>
      </w:r>
      <w:r w:rsidR="00BB5CE5">
        <w:t>φ</w:t>
      </w:r>
      <w:r w:rsidR="00AB63BB">
        <w:t xml:space="preserve">ορολογικά ή άλλα δημοσιονομικά μέτρα </w:t>
      </w:r>
      <w:r w:rsidR="00AB63BB" w:rsidRPr="00C11A76">
        <w:t>όσο και με επιχορηγήσεις</w:t>
      </w:r>
      <w:r w:rsidR="00AB63BB">
        <w:t xml:space="preserve"> (</w:t>
      </w:r>
      <w:proofErr w:type="spellStart"/>
      <w:r w:rsidR="00AB63BB">
        <w:t>επιτρεπτέες</w:t>
      </w:r>
      <w:proofErr w:type="spellEnd"/>
      <w:r w:rsidR="00AB63BB">
        <w:t xml:space="preserve"> ή μη) ή και</w:t>
      </w:r>
      <w:r w:rsidR="00AB63BB" w:rsidRPr="00C11A76">
        <w:t xml:space="preserve"> </w:t>
      </w:r>
      <w:r w:rsidR="00BF38E8">
        <w:t>από ένα Μέσο</w:t>
      </w:r>
      <w:r w:rsidRPr="00C11A76">
        <w:t xml:space="preserve"> Χρηματοοικονομικής Τεχνικής (ΜΧΤ</w:t>
      </w:r>
      <w:r w:rsidR="001E5965">
        <w:t xml:space="preserve"> - </w:t>
      </w:r>
      <w:r w:rsidR="001E5965" w:rsidRPr="001E5965">
        <w:t>Χρηματοοικονομικού Εργαλείου (FI)</w:t>
      </w:r>
      <w:r w:rsidRPr="00C11A76">
        <w:t>)</w:t>
      </w:r>
      <w:r w:rsidR="00AB63BB">
        <w:t xml:space="preserve"> που παρέχει διάφορα προϊόντα (Δάνεια, κεφάλαιο, εγγυήσεις, επιδοτήσεις επιτοκίου κλπ</w:t>
      </w:r>
      <w:r w:rsidRPr="00C11A76">
        <w:t>.</w:t>
      </w:r>
      <w:r w:rsidR="00AB63BB">
        <w:t xml:space="preserve">) </w:t>
      </w:r>
      <w:r w:rsidR="00BB5CE5">
        <w:t xml:space="preserve">ή και συνδυασμό </w:t>
      </w:r>
      <w:r w:rsidR="009A505B">
        <w:t>τους αρκεί να τηρείται η βασική προϋπόθεση της μη στρέβλωσης του ανταγωνισμού</w:t>
      </w:r>
      <w:r w:rsidR="00AB63BB">
        <w:t>.</w:t>
      </w:r>
      <w:r w:rsidRPr="00C11A76">
        <w:t xml:space="preserve"> </w:t>
      </w:r>
    </w:p>
    <w:p w14:paraId="6A78C029" w14:textId="77777777" w:rsidR="00FE0F57" w:rsidRDefault="00FE0F57" w:rsidP="00677AC6">
      <w:pPr>
        <w:spacing w:line="360" w:lineRule="auto"/>
      </w:pPr>
      <w:r>
        <w:t>Υπάρχει οπωσδήπο</w:t>
      </w:r>
      <w:r>
        <w:rPr>
          <w:b/>
          <w:bCs/>
        </w:rPr>
        <w:t xml:space="preserve">τε προστιθέμενη αξία </w:t>
      </w:r>
      <w:r w:rsidRPr="00FE0F57">
        <w:rPr>
          <w:bCs/>
        </w:rPr>
        <w:t>στη</w:t>
      </w:r>
      <w:r w:rsidRPr="00FE0F57">
        <w:t>ν</w:t>
      </w:r>
      <w:r>
        <w:t xml:space="preserve"> παρουσίαση συγκεκριμένων μικροοικονομικών παραδειγμάτων περιπτώσεων όπου οι εθνικοί στόχοι επιτυγχάνονται —ή αναμένεται να επιτευχθούν— με τη συμμετοχή των κοινωνικών εταίρων και της οργανωμένης κοινωνίας των πολιτών στα κράτη μέλη</w:t>
      </w:r>
      <w:r w:rsidR="009A505B">
        <w:t xml:space="preserve"> </w:t>
      </w:r>
      <w:r w:rsidR="009A505B" w:rsidRPr="009A505B">
        <w:rPr>
          <w:bCs/>
        </w:rPr>
        <w:t xml:space="preserve">και </w:t>
      </w:r>
      <w:r w:rsidR="009A505B">
        <w:t>από την κοινοτική χρηματοδοτική συνδρομή</w:t>
      </w:r>
      <w:r>
        <w:t>.</w:t>
      </w:r>
      <w:r w:rsidR="00677AC6">
        <w:t xml:space="preserve"> Ένα τέτοιο παράδειγμα αποτέλεσε το εργαλείο «Εξοικονομώ κατ’ </w:t>
      </w:r>
      <w:proofErr w:type="spellStart"/>
      <w:r w:rsidR="00677AC6">
        <w:t>Οίκον</w:t>
      </w:r>
      <w:proofErr w:type="spellEnd"/>
      <w:r w:rsidR="00677AC6">
        <w:t>» σε σχέση με την εξοικονόμηση ενέργειας και την ευαισθητοποίηση σε θέματα κλιματικής αλλαγής.</w:t>
      </w:r>
    </w:p>
    <w:p w14:paraId="3570D104" w14:textId="77777777" w:rsidR="00F23ADB" w:rsidRPr="00C11A76" w:rsidRDefault="00AB63BB" w:rsidP="00F23ADB">
      <w:pPr>
        <w:spacing w:line="360" w:lineRule="auto"/>
      </w:pPr>
      <w:r>
        <w:t xml:space="preserve">Στην παρούσα εργασία </w:t>
      </w:r>
      <w:r w:rsidR="00BB5CE5">
        <w:t>τ</w:t>
      </w:r>
      <w:r w:rsidR="00F23ADB" w:rsidRPr="00C11A76">
        <w:t>ο δεύτερο μέρος αποτελείται από τις ακόλουθες θεματικές ενότητες:</w:t>
      </w:r>
    </w:p>
    <w:p w14:paraId="440F646A" w14:textId="77777777" w:rsidR="00F23ADB" w:rsidRPr="00C11A76" w:rsidRDefault="00F23ADB" w:rsidP="00F23ADB">
      <w:pPr>
        <w:spacing w:line="360" w:lineRule="auto"/>
        <w:ind w:left="720"/>
        <w:rPr>
          <w:b/>
          <w:color w:val="39302A" w:themeColor="text2"/>
        </w:rPr>
      </w:pPr>
      <w:r w:rsidRPr="00C11A76">
        <w:rPr>
          <w:b/>
          <w:color w:val="39302A" w:themeColor="text2"/>
        </w:rPr>
        <w:t xml:space="preserve">1. Αξιολόγηση της πιθανής προστιθέμενης αξίας του </w:t>
      </w:r>
      <w:r w:rsidR="005E65CC">
        <w:rPr>
          <w:b/>
          <w:color w:val="39302A" w:themeColor="text2"/>
        </w:rPr>
        <w:t>Χρηματοοικονομικού Εργαλείου (FI)</w:t>
      </w:r>
      <w:r w:rsidRPr="00C11A76">
        <w:rPr>
          <w:b/>
          <w:color w:val="39302A" w:themeColor="text2"/>
        </w:rPr>
        <w:t xml:space="preserve"> </w:t>
      </w:r>
    </w:p>
    <w:p w14:paraId="1D8C07CF" w14:textId="77777777" w:rsidR="00F23ADB" w:rsidRPr="00C11A76" w:rsidRDefault="00F23ADB" w:rsidP="00F23ADB">
      <w:pPr>
        <w:spacing w:line="360" w:lineRule="auto"/>
        <w:ind w:left="720"/>
      </w:pPr>
      <w:r w:rsidRPr="00C11A76">
        <w:t xml:space="preserve">- Επιβεβαίωση των ποσοτικών και ποιοτικών διαστάσεων της προστιθέμενης αξίας του  </w:t>
      </w:r>
      <w:r w:rsidR="005E65CC">
        <w:t>Χρηματοοικονομικού Εργαλείου (FI)</w:t>
      </w:r>
      <w:r w:rsidRPr="00C11A76">
        <w:t xml:space="preserve"> που έχει συσταθεί και σύγκρισή τους με την προστιθέμενη αξία εναλλακτικών επιλογών. </w:t>
      </w:r>
    </w:p>
    <w:p w14:paraId="201446C0" w14:textId="77777777" w:rsidR="00F23ADB" w:rsidRPr="00C11A76" w:rsidRDefault="00F23ADB" w:rsidP="00F23ADB">
      <w:pPr>
        <w:spacing w:line="360" w:lineRule="auto"/>
        <w:ind w:left="720"/>
      </w:pPr>
      <w:r w:rsidRPr="00C11A76">
        <w:t xml:space="preserve">- Εκτίμηση της </w:t>
      </w:r>
      <w:r w:rsidR="009A505B" w:rsidRPr="00C11A76">
        <w:t>συνέργειας</w:t>
      </w:r>
      <w:r w:rsidRPr="00C11A76">
        <w:t xml:space="preserve"> του </w:t>
      </w:r>
      <w:r w:rsidR="005E65CC">
        <w:t>Χρηματοοικονομικού Εργαλείου (FI)</w:t>
      </w:r>
      <w:r w:rsidRPr="00C11A76">
        <w:t xml:space="preserve"> με άλλους τύπους δημόσιων παρεμβάσεων. </w:t>
      </w:r>
    </w:p>
    <w:p w14:paraId="44EAF038" w14:textId="77777777" w:rsidR="00F23ADB" w:rsidRPr="00C11A76" w:rsidRDefault="00F23ADB" w:rsidP="00F23ADB">
      <w:pPr>
        <w:spacing w:line="360" w:lineRule="auto"/>
        <w:ind w:left="720"/>
      </w:pPr>
      <w:r w:rsidRPr="00C11A76">
        <w:t xml:space="preserve">- Αντιμετώπιση των επιπλοκών κρατικών ενισχύσεων του  </w:t>
      </w:r>
      <w:r w:rsidR="005E65CC">
        <w:t>Χρηματοοικονομικού Εργαλείου (FI)</w:t>
      </w:r>
      <w:r w:rsidRPr="00C11A76">
        <w:t xml:space="preserve"> και προτάσεις για διευθέτηση. </w:t>
      </w:r>
    </w:p>
    <w:p w14:paraId="040E5E3A" w14:textId="77777777" w:rsidR="00F23ADB" w:rsidRPr="00C11A76" w:rsidRDefault="00F23ADB" w:rsidP="00F23ADB">
      <w:pPr>
        <w:spacing w:line="360" w:lineRule="auto"/>
        <w:ind w:left="720"/>
        <w:rPr>
          <w:b/>
          <w:color w:val="39302A" w:themeColor="text2"/>
        </w:rPr>
      </w:pPr>
      <w:r w:rsidRPr="00C11A76">
        <w:rPr>
          <w:b/>
          <w:color w:val="39302A" w:themeColor="text2"/>
        </w:rPr>
        <w:lastRenderedPageBreak/>
        <w:t xml:space="preserve">2. Αξιολόγηση της δυνατότητας του </w:t>
      </w:r>
      <w:r w:rsidR="005E65CC">
        <w:rPr>
          <w:b/>
          <w:color w:val="39302A" w:themeColor="text2"/>
        </w:rPr>
        <w:t>Χρηματοοικονομικού Εργαλείου (FI)</w:t>
      </w:r>
      <w:r w:rsidRPr="00C11A76">
        <w:rPr>
          <w:b/>
          <w:color w:val="39302A" w:themeColor="text2"/>
        </w:rPr>
        <w:t xml:space="preserve"> να προσελκύσει πρόσθετους δημόσιους ή και ιδιωτικούς πόρους κυρίως λόγω του χαρακτήρα του ως εργαλείου επιμερισμού ρίσκου. </w:t>
      </w:r>
    </w:p>
    <w:p w14:paraId="36418E4B" w14:textId="77777777" w:rsidR="00F23ADB" w:rsidRPr="00C11A76" w:rsidRDefault="00F23ADB" w:rsidP="00F23ADB">
      <w:pPr>
        <w:spacing w:line="360" w:lineRule="auto"/>
        <w:ind w:left="720"/>
      </w:pPr>
      <w:r w:rsidRPr="00C11A76">
        <w:t xml:space="preserve">- Προσδιορισμός των πρόσθετων δημόσιων και ιδιωτικών πόρων που δύναται να συγκεντρώσει το χρηματοδοτικού μέσο και εκτίμηση ενδεικτικού συγχρονισμού εθνικής συγχρηματοδότησης και πρόσθετων ιδιωτικών ή άλλων συνεισφορών. </w:t>
      </w:r>
    </w:p>
    <w:p w14:paraId="0BFCA812" w14:textId="77777777" w:rsidR="00F23ADB" w:rsidRDefault="00F23ADB" w:rsidP="00F23ADB">
      <w:pPr>
        <w:spacing w:line="360" w:lineRule="auto"/>
        <w:ind w:left="720"/>
      </w:pPr>
      <w:r w:rsidRPr="00C11A76">
        <w:t xml:space="preserve">- Επιβεβαίωση της </w:t>
      </w:r>
      <w:proofErr w:type="spellStart"/>
      <w:r w:rsidRPr="00C11A76">
        <w:t>μόχλευσης</w:t>
      </w:r>
      <w:proofErr w:type="spellEnd"/>
      <w:r w:rsidRPr="00C11A76">
        <w:t xml:space="preserve"> του </w:t>
      </w:r>
      <w:r w:rsidR="005E65CC">
        <w:t>Χρηματοοικονομικού Εργαλείου (FI)</w:t>
      </w:r>
      <w:r w:rsidRPr="00C11A76">
        <w:t xml:space="preserve"> ιδιαίτερα στις περιπτώσεις όπου ιδιώτες επενδυτές δεν δείχνουν πρόθεση ανάληψης ρίσκου- Εκτίμηση της ανάγκης και του ύψους προνομιακής μεταχείρισης ιδιωτών με βάση την εμπειρία παρόμοιων αγορών. </w:t>
      </w:r>
    </w:p>
    <w:p w14:paraId="76C85F53" w14:textId="77777777" w:rsidR="00F23ADB" w:rsidRPr="00C11A76" w:rsidRDefault="00F23ADB" w:rsidP="00FA5CD9">
      <w:pPr>
        <w:pStyle w:val="3"/>
      </w:pPr>
      <w:bookmarkStart w:id="50" w:name="_Toc464038684"/>
      <w:bookmarkStart w:id="51" w:name="_Toc36639226"/>
      <w:r w:rsidRPr="00C11A76">
        <w:t xml:space="preserve">Αξιολόγηση της πιθανής προστιθέμενης αξίας  του </w:t>
      </w:r>
      <w:bookmarkEnd w:id="50"/>
      <w:r w:rsidR="005E65CC">
        <w:t>Χρηματοοικονομικού Εργαλείου (FI)</w:t>
      </w:r>
      <w:bookmarkEnd w:id="51"/>
    </w:p>
    <w:p w14:paraId="7FFDFA78" w14:textId="77777777" w:rsidR="00F23ADB" w:rsidRPr="00C11A76" w:rsidRDefault="00F23ADB" w:rsidP="00F23ADB">
      <w:pPr>
        <w:spacing w:line="360" w:lineRule="auto"/>
      </w:pPr>
      <w:r w:rsidRPr="00C11A76">
        <w:t xml:space="preserve">Στο πρώτο μέρος πραγματοποιήθηκε αναλυτική αξιολόγηση της αγοράς και προσδιορισμός του </w:t>
      </w:r>
      <w:r w:rsidRPr="00C11A76">
        <w:rPr>
          <w:b/>
        </w:rPr>
        <w:t>επενδυτικού κενού</w:t>
      </w:r>
      <w:r w:rsidRPr="00C11A76">
        <w:t xml:space="preserve">, μέσω μιας εκτενούς διερεύνησης της ζήτησης και της προσφοράς σε ότι αφορά την εξοικονόμηση ενέργειας. </w:t>
      </w:r>
    </w:p>
    <w:p w14:paraId="4D7ECF98" w14:textId="77777777" w:rsidR="00F23ADB" w:rsidRPr="00C11A76" w:rsidRDefault="00F23ADB" w:rsidP="00F23ADB">
      <w:pPr>
        <w:spacing w:line="360" w:lineRule="auto"/>
      </w:pPr>
      <w:r w:rsidRPr="00C11A76">
        <w:t xml:space="preserve">Τα αποτελέσματα αποτυπώνουν ένα επενδυτικό κενό το οποίο για να καλυφθεί καθίσταται απαραίτητη η αξιοποίηση όλων των πιθανών επενδυτικών πόρων. </w:t>
      </w:r>
    </w:p>
    <w:p w14:paraId="14EED9C1" w14:textId="77777777" w:rsidR="00F23ADB" w:rsidRPr="00C11A76" w:rsidRDefault="00F23ADB" w:rsidP="00F23ADB">
      <w:pPr>
        <w:spacing w:line="360" w:lineRule="auto"/>
      </w:pPr>
      <w:r w:rsidRPr="00C11A76">
        <w:t xml:space="preserve">Σημειώνεται ότι η εξοικονόμηση ενέργειας αποτελεί βασικό στόχο της χώρας και η συνδρομή των κτιρίων στην επίτευξη των επιμέρους στόχων, όπως έχουν καταγραφεί στο Εθνικό Σχέδιο Δράσης Ενεργειακής Απόδοσης, αναμένεται να έχει σημαντικό ρόλο. </w:t>
      </w:r>
    </w:p>
    <w:p w14:paraId="2A248B4B" w14:textId="77777777" w:rsidR="00F23ADB" w:rsidRPr="00C11A76" w:rsidRDefault="00F23ADB" w:rsidP="00F23ADB">
      <w:pPr>
        <w:spacing w:line="360" w:lineRule="auto"/>
      </w:pPr>
      <w:r w:rsidRPr="00C11A76">
        <w:t xml:space="preserve">Η συγκεκριμένη ενότητα πρόκειται να αναδείξει τον τρόπο αξιοποίησης των επενδυτικών πόρων μέσα από την χρήση ενός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Pr="00C11A76">
        <w:t xml:space="preserve">, το οποίο αφενός θα αντικατοπτρίζει τις προκείμενες ανάγκες της αγοράς και αφετέρου τη μέγιστη κάλυψη του επενδυτικού κενού. </w:t>
      </w:r>
    </w:p>
    <w:p w14:paraId="57008F57" w14:textId="77777777" w:rsidR="00F23ADB" w:rsidRPr="00C11A76" w:rsidRDefault="00F23ADB" w:rsidP="00F23ADB">
      <w:pPr>
        <w:spacing w:line="360" w:lineRule="auto"/>
      </w:pPr>
      <w:r w:rsidRPr="00C11A76">
        <w:t xml:space="preserve">Σύμφωνα με το άρθρο 37 (2) (β) του ΕΚ 1303/2013, η εκ των προτέρων αξιολόγηση αφορά στην εκτίμηση της προστιθέμενης αξίας των μέσων χρηματοοικονομικής τεχνικής που εξετάζονται για να λάβουν στήριξη από τα ΕΔΕΤ, της συνέπειας με άλλες μορφές δημόσιας παρέμβασης που απευθύνονται στην ίδια αγορά, των ενδεχόμενων επιπτώσεων των κρατικών ενισχύσεων, της αναλογικότητα της προβλεπόμενης παρέμβασης και των μέτρων για ελαχιστοποίηση της στρέβλωσης της αγοράς. </w:t>
      </w:r>
    </w:p>
    <w:p w14:paraId="4B87E74E" w14:textId="77777777" w:rsidR="00F23ADB" w:rsidRDefault="00F23ADB" w:rsidP="00F23ADB">
      <w:pPr>
        <w:spacing w:line="360" w:lineRule="auto"/>
      </w:pPr>
      <w:r w:rsidRPr="00C11A76">
        <w:rPr>
          <w:bCs/>
        </w:rPr>
        <w:t xml:space="preserve">Ο όρος </w:t>
      </w:r>
      <w:r>
        <w:rPr>
          <w:bCs/>
        </w:rPr>
        <w:t>«</w:t>
      </w:r>
      <w:r w:rsidRPr="003B42C3">
        <w:rPr>
          <w:b/>
          <w:bCs/>
          <w:i/>
        </w:rPr>
        <w:t>προστιθέμενη αξία</w:t>
      </w:r>
      <w:r>
        <w:rPr>
          <w:bCs/>
        </w:rPr>
        <w:t>»</w:t>
      </w:r>
      <w:r w:rsidRPr="00C11A76">
        <w:rPr>
          <w:bCs/>
        </w:rPr>
        <w:t xml:space="preserve"> αντικατοπτρίζει τη συμβολή των επενδυτικών πόρων που προήλθαν από τα ΕΔΕΤ στο σύνολο της επένδυσης, και </w:t>
      </w:r>
      <w:r>
        <w:t>προσδιορίζεται</w:t>
      </w:r>
      <w:r w:rsidRPr="00C11A76">
        <w:t xml:space="preserve"> μέσω συγκριτικής αξιολόγησης διαφορετικών σεναρίων και εναλλακτικών προσεγγίσεων για κάθε σενάριο. Η συγκριτική </w:t>
      </w:r>
      <w:r w:rsidRPr="00C11A76">
        <w:lastRenderedPageBreak/>
        <w:t xml:space="preserve">αξιολόγηση αλλά και η διαμόρφωση της προστιθέμενης αξίας λαμβάνει χώρα μέσω ποιοτικής αλλά και ποσοτικής προσέγγισης των διαφορετικών μέσων χρηματοοικονομικής τεχνικής, όπως αυτά προκύπτουν από τα σενάρια που εξετάζονται. </w:t>
      </w:r>
    </w:p>
    <w:p w14:paraId="37C167FD" w14:textId="77777777" w:rsidR="00F23ADB" w:rsidRPr="00C11A76" w:rsidRDefault="00F23ADB" w:rsidP="00F23ADB">
      <w:pPr>
        <w:spacing w:line="360" w:lineRule="auto"/>
      </w:pPr>
      <w:r w:rsidRPr="00C11A76">
        <w:t xml:space="preserve">Η επιλογή του καταλληλότερου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rsidRPr="00C11A76">
        <w:t xml:space="preserve"> μέσω της </w:t>
      </w:r>
      <w:r>
        <w:t>παρούσης</w:t>
      </w:r>
      <w:r w:rsidRPr="00C11A76">
        <w:t xml:space="preserve"> εργασίας</w:t>
      </w:r>
      <w:r>
        <w:t xml:space="preserve"> κατά την πρώτη της αναθεώρηση – τροποποίηση,</w:t>
      </w:r>
      <w:r w:rsidRPr="00C11A76">
        <w:t xml:space="preserve"> έχει οδηγήσει στην σύσταση του Ταμείου Χαρτοφυλακίου με την επωνυμία "Ταμείο ΕΞΟΙΚΟΝΟΜΩ ΙΙ".» (ΦΕΚ Β’/3905/05.12.2016).</w:t>
      </w:r>
    </w:p>
    <w:p w14:paraId="11BF27C9" w14:textId="77777777" w:rsidR="00F23ADB" w:rsidRPr="00C11A76" w:rsidRDefault="00F23ADB" w:rsidP="00F23ADB">
      <w:pPr>
        <w:spacing w:line="360" w:lineRule="auto"/>
      </w:pPr>
      <w:r w:rsidRPr="00C11A76">
        <w:t xml:space="preserve">Σκοπός της </w:t>
      </w:r>
      <w:r>
        <w:t>παρούσης</w:t>
      </w:r>
      <w:r w:rsidRPr="00C11A76">
        <w:t xml:space="preserve"> εργασίας είναι να επι</w:t>
      </w:r>
      <w:r>
        <w:t>βεβαιωθεί ότι</w:t>
      </w:r>
      <w:r w:rsidRPr="00C11A76">
        <w:t xml:space="preserve"> το</w:t>
      </w:r>
      <w:r>
        <w:t xml:space="preserve"> επιλεχθέν</w:t>
      </w:r>
      <w:r w:rsidRPr="00C11A76">
        <w:t xml:space="preserve"> μέσο χρηματοοικονομικής τεχνικής, καλύπτει </w:t>
      </w:r>
      <w:r>
        <w:t xml:space="preserve">αφενός </w:t>
      </w:r>
      <w:r w:rsidR="009B1240">
        <w:t>μέρος της ανεπάρκειας της αγοράς</w:t>
      </w:r>
      <w:r w:rsidRPr="00C11A76">
        <w:t xml:space="preserve"> και αφετέρου ικανοποιούνται</w:t>
      </w:r>
      <w:r>
        <w:t xml:space="preserve"> και</w:t>
      </w:r>
      <w:r w:rsidRPr="00C11A76">
        <w:t xml:space="preserve"> οι απαιτήσεις του Επιχειρησιακού </w:t>
      </w:r>
      <w:r w:rsidR="00971D9A">
        <w:t>Προγράμματος</w:t>
      </w:r>
      <w:r w:rsidRPr="00C11A76">
        <w:t xml:space="preserve"> «Ανταγωνιστικότητα, Επιχειρηματικότητα και Καινοτομία», σε επίπεδο δεικτών εκροής και αποτελέσματος. </w:t>
      </w:r>
    </w:p>
    <w:p w14:paraId="6D65F972" w14:textId="77777777" w:rsidR="00F23ADB" w:rsidRDefault="00F23ADB" w:rsidP="00DC12D0">
      <w:pPr>
        <w:pStyle w:val="4"/>
      </w:pPr>
      <w:r w:rsidRPr="00DC12D0">
        <w:t>Συνοπτικά</w:t>
      </w:r>
      <w:r>
        <w:t xml:space="preserve"> στοιχεία</w:t>
      </w:r>
    </w:p>
    <w:p w14:paraId="7C1F89CA" w14:textId="77777777" w:rsidR="00F23ADB" w:rsidRPr="00C11A76" w:rsidRDefault="00F23ADB" w:rsidP="00F23ADB">
      <w:pPr>
        <w:spacing w:line="360" w:lineRule="auto"/>
      </w:pPr>
      <w:r w:rsidRPr="00C11A76">
        <w:rPr>
          <w:bCs/>
        </w:rPr>
        <w:t xml:space="preserve">Η συνολική προστιθέμενη αξία ενός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DF5FE4">
        <w:t xml:space="preserve"> </w:t>
      </w:r>
      <w:r w:rsidRPr="00C11A76">
        <w:rPr>
          <w:bCs/>
        </w:rPr>
        <w:t>το οποίο χρησιμοποιείται για την εξοικονόμηση ενέργειας στον οικιακό τομέα, καθορίζεται από τα ακόλουθα στοιχεία</w:t>
      </w:r>
      <w:r w:rsidRPr="00C11A76">
        <w:t xml:space="preserve">: </w:t>
      </w:r>
    </w:p>
    <w:p w14:paraId="60F6027E" w14:textId="77777777" w:rsidR="00F23ADB" w:rsidRPr="00C11A76" w:rsidRDefault="00F23ADB" w:rsidP="00DF5FE4">
      <w:pPr>
        <w:pStyle w:val="a3"/>
        <w:numPr>
          <w:ilvl w:val="0"/>
          <w:numId w:val="44"/>
        </w:numPr>
        <w:spacing w:line="360" w:lineRule="auto"/>
      </w:pPr>
      <w:r w:rsidRPr="00C11A76">
        <w:t xml:space="preserve">Την </w:t>
      </w:r>
      <w:r w:rsidRPr="00DF5FE4">
        <w:rPr>
          <w:bCs/>
        </w:rPr>
        <w:t xml:space="preserve">κοινοτική </w:t>
      </w:r>
      <w:proofErr w:type="spellStart"/>
      <w:r w:rsidRPr="00DF5FE4">
        <w:rPr>
          <w:bCs/>
        </w:rPr>
        <w:t>μόχλευση</w:t>
      </w:r>
      <w:proofErr w:type="spellEnd"/>
      <w:r w:rsidRPr="00DF5FE4">
        <w:rPr>
          <w:b/>
          <w:bCs/>
        </w:rPr>
        <w:t xml:space="preserve"> </w:t>
      </w:r>
      <w:r w:rsidRPr="00C11A76">
        <w:t xml:space="preserve">που συνεισφέρει η </w:t>
      </w:r>
      <w:proofErr w:type="spellStart"/>
      <w:r w:rsidRPr="00C11A76">
        <w:t>ενωσιακή</w:t>
      </w:r>
      <w:proofErr w:type="spellEnd"/>
      <w:r w:rsidRPr="00C11A76">
        <w:t xml:space="preserve"> συνδρομή στη συνολική επένδυση που πραγματοποιείται ανάλογα κάθε φορά με το σενάριο που αξιολογείται. </w:t>
      </w:r>
    </w:p>
    <w:p w14:paraId="58CA7C34" w14:textId="77777777" w:rsidR="00F23ADB" w:rsidRPr="00C11A76" w:rsidRDefault="00F23ADB" w:rsidP="00DF5FE4">
      <w:pPr>
        <w:spacing w:line="360" w:lineRule="auto"/>
        <w:ind w:left="720"/>
      </w:pPr>
      <w:r w:rsidRPr="00C11A76">
        <w:t>Σύμφωνα με τις κατευθυντήριες γραμμές της Ευρωπαϊκής Επιτροπής</w:t>
      </w:r>
      <w:r w:rsidRPr="00C11A76">
        <w:rPr>
          <w:rStyle w:val="ac"/>
        </w:rPr>
        <w:footnoteReference w:id="23"/>
      </w:r>
      <w:r w:rsidRPr="00C11A76">
        <w:t xml:space="preserve">, η </w:t>
      </w:r>
      <w:proofErr w:type="spellStart"/>
      <w:r w:rsidRPr="00C11A76">
        <w:t>μόχλευση</w:t>
      </w:r>
      <w:proofErr w:type="spellEnd"/>
      <w:r w:rsidRPr="00C11A76">
        <w:t xml:space="preserve"> είναι το πηλίκο του συνολικού προϋπολογισμού των επιλέξιμων παρεμβάσεων των ιδιοκτητών ακινήτων για την εξοικονόμηση ενέργειας στον οικιακό τομέα, προς την </w:t>
      </w:r>
      <w:proofErr w:type="spellStart"/>
      <w:r w:rsidRPr="00C11A76">
        <w:t>ενωσιακή</w:t>
      </w:r>
      <w:proofErr w:type="spellEnd"/>
      <w:r w:rsidRPr="00C11A76">
        <w:t xml:space="preserve"> συνδρομή που συνεισφέρει στον προϋπολογισμό των παρεμβάσεων το επιχειρησιακό </w:t>
      </w:r>
      <w:r w:rsidR="00971D9A">
        <w:t>Πρόγραμμα</w:t>
      </w:r>
      <w:r w:rsidRPr="00C11A76">
        <w:t xml:space="preserve">. </w:t>
      </w:r>
    </w:p>
    <w:p w14:paraId="6B0BCE53" w14:textId="77777777" w:rsidR="00F23ADB" w:rsidRPr="00C11A76" w:rsidRDefault="00F23ADB" w:rsidP="00DF5FE4">
      <w:pPr>
        <w:spacing w:line="360" w:lineRule="auto"/>
        <w:ind w:left="720"/>
      </w:pPr>
      <w:r w:rsidRPr="00C11A76">
        <w:t xml:space="preserve">Η </w:t>
      </w:r>
      <w:proofErr w:type="spellStart"/>
      <w:r w:rsidRPr="00C11A76">
        <w:t>μόχλευση</w:t>
      </w:r>
      <w:proofErr w:type="spellEnd"/>
      <w:r w:rsidRPr="00C11A76">
        <w:t xml:space="preserve"> αποτελεί σημαντική παράμετρο της προστιθέμενης αξίας και είναι αποτέλεσμα του πρώτου κύκλου επενδύσεων (το πλεονέκτημα του μηχανισμού ανακύκλωσης κεφαλαίων </w:t>
      </w:r>
      <w:proofErr w:type="spellStart"/>
      <w:r w:rsidRPr="00C11A76">
        <w:t>revolving</w:t>
      </w:r>
      <w:proofErr w:type="spellEnd"/>
      <w:r w:rsidRPr="00C11A76">
        <w:t xml:space="preserve"> είναι ότι έχει παραπάνω επενδυτικούς κύκλους). Με το άρθρο 44 του κανονισμού 1303/2013 της </w:t>
      </w:r>
      <w:r w:rsidR="0062368F">
        <w:t>Ε.Ε.</w:t>
      </w:r>
      <w:r w:rsidRPr="00C11A76">
        <w:t xml:space="preserve"> επιβάλλεται η επαναχρησιμοποίηση πόρων που αποδίδονται στην συνεισφορά των ΕΔΕΤ μέχρι τη λήξη της </w:t>
      </w:r>
      <w:r w:rsidR="00EB38B3">
        <w:t>Περιόδου</w:t>
      </w:r>
      <w:r w:rsidRPr="00C11A76">
        <w:t xml:space="preserve"> </w:t>
      </w:r>
      <w:proofErr w:type="spellStart"/>
      <w:r w:rsidRPr="00C11A76">
        <w:t>επιλεξιμότητας</w:t>
      </w:r>
      <w:proofErr w:type="spellEnd"/>
      <w:r w:rsidRPr="00C11A76">
        <w:t xml:space="preserve">. Η χρήση των επανατοποθετούμενων κεφαλαίων της προηγούμενης </w:t>
      </w:r>
      <w:r w:rsidR="00E5630E">
        <w:t>Προγραμματ</w:t>
      </w:r>
      <w:r w:rsidRPr="00C11A76">
        <w:t xml:space="preserve">ικής </w:t>
      </w:r>
      <w:r w:rsidR="00EB38B3">
        <w:t>Περιόδου</w:t>
      </w:r>
      <w:r w:rsidRPr="00C11A76">
        <w:t xml:space="preserve"> στη δράση αποτελεί επιπλέον προστιθέμενη αξία και προστίθεται στον υπολογισμό της. </w:t>
      </w:r>
    </w:p>
    <w:p w14:paraId="3EF73486" w14:textId="77777777" w:rsidR="00F23ADB" w:rsidRPr="00C11A76" w:rsidRDefault="00F23ADB" w:rsidP="00DF5FE4">
      <w:pPr>
        <w:pStyle w:val="a3"/>
        <w:numPr>
          <w:ilvl w:val="0"/>
          <w:numId w:val="44"/>
        </w:numPr>
        <w:spacing w:line="360" w:lineRule="auto"/>
      </w:pPr>
      <w:r w:rsidRPr="00C11A76">
        <w:lastRenderedPageBreak/>
        <w:t xml:space="preserve">Τα </w:t>
      </w:r>
      <w:r w:rsidRPr="00DF5FE4">
        <w:rPr>
          <w:bCs/>
        </w:rPr>
        <w:t>άμεσα οικονομικά οφέλη</w:t>
      </w:r>
      <w:r w:rsidRPr="00DF5FE4">
        <w:rPr>
          <w:b/>
          <w:bCs/>
        </w:rPr>
        <w:t xml:space="preserve"> </w:t>
      </w:r>
      <w:r w:rsidRPr="00C11A76">
        <w:t>(ενεργειακή αποτελεσματικότητα, μείωση ετήσιας κατανάλωσης ενέργειας, αριθμός κατοικιών που ανακαινίστηκε, δημιουργία απασχόλησης, βαθμός μείωσης διοξειδίου του άνθρακα-CO</w:t>
      </w:r>
      <w:r w:rsidRPr="00DF5FE4">
        <w:rPr>
          <w:rFonts w:cs="Cambria Math"/>
        </w:rPr>
        <w:t>₂</w:t>
      </w:r>
      <w:r w:rsidRPr="00C11A76">
        <w:t>).</w:t>
      </w:r>
    </w:p>
    <w:p w14:paraId="2CA6C196" w14:textId="77777777" w:rsidR="00F23ADB" w:rsidRPr="00C11A76" w:rsidRDefault="00F23ADB" w:rsidP="00DC12D0">
      <w:pPr>
        <w:pStyle w:val="4"/>
      </w:pPr>
      <w:bookmarkStart w:id="52" w:name="_Toc464038685"/>
      <w:r w:rsidRPr="00C11A76">
        <w:t>Επιβεβαίωση της ποσοτικής προστιθέμενης αξίας (</w:t>
      </w:r>
      <w:proofErr w:type="spellStart"/>
      <w:r w:rsidRPr="00C11A76">
        <w:t>Quantitative</w:t>
      </w:r>
      <w:proofErr w:type="spellEnd"/>
      <w:r w:rsidRPr="00C11A76">
        <w:t xml:space="preserve"> </w:t>
      </w:r>
      <w:proofErr w:type="spellStart"/>
      <w:r w:rsidRPr="00C11A76">
        <w:t>added</w:t>
      </w:r>
      <w:proofErr w:type="spellEnd"/>
      <w:r w:rsidRPr="00C11A76">
        <w:t xml:space="preserve"> </w:t>
      </w:r>
      <w:proofErr w:type="spellStart"/>
      <w:r w:rsidRPr="00C11A76">
        <w:t>value</w:t>
      </w:r>
      <w:proofErr w:type="spellEnd"/>
      <w:r w:rsidRPr="00C11A76">
        <w:t xml:space="preserve">) του </w:t>
      </w:r>
      <w:r w:rsidR="005E65CC">
        <w:t>Χρηματοοικονομικού Εργαλείου (FI)</w:t>
      </w:r>
      <w:r w:rsidRPr="00C11A76">
        <w:t xml:space="preserve"> και συγκριτική αξιολόγηση με την προστιθέμενη αξία εναλλακτικών επιλογών.</w:t>
      </w:r>
      <w:bookmarkEnd w:id="52"/>
    </w:p>
    <w:p w14:paraId="145D6738" w14:textId="77777777" w:rsidR="00F23ADB" w:rsidRDefault="00F23ADB" w:rsidP="00F23ADB">
      <w:pPr>
        <w:spacing w:line="360" w:lineRule="auto"/>
      </w:pPr>
      <w:r w:rsidRPr="00C11A76">
        <w:t>Σύμφωνα με τις σχετικές κατευθυντήριες γραμμές της Ευρωπαϊκής Επιτροπής</w:t>
      </w:r>
      <w:r w:rsidRPr="00C11A76">
        <w:rPr>
          <w:rStyle w:val="ac"/>
        </w:rPr>
        <w:footnoteReference w:id="24"/>
      </w:r>
      <w:r w:rsidRPr="00C11A76">
        <w:t>, που έχουν αναπτυχθεί με γνώμονα τους κανονισμούς των ΕΔΕΤ της Ευρωπαϊκής Ένωσης (EΕ), για τη σωστή αξιολόγηση και ορθολογική επιλογή του πλέον κατάλληλου χρηματοοικονομικού εργαλείου χρειάζεται να απαντηθούν συγκεκριμέν</w:t>
      </w:r>
      <w:r>
        <w:t xml:space="preserve">α </w:t>
      </w:r>
      <w:r w:rsidRPr="00C11A76">
        <w:t>ερωτή</w:t>
      </w:r>
      <w:r>
        <w:t>ματα</w:t>
      </w:r>
      <w:r w:rsidRPr="00C11A76">
        <w:t xml:space="preserve">, όπως: </w:t>
      </w:r>
    </w:p>
    <w:p w14:paraId="5E4D8D02" w14:textId="77777777" w:rsidR="00F23ADB" w:rsidRPr="00C11A76" w:rsidRDefault="00F23ADB" w:rsidP="00F23ADB">
      <w:pPr>
        <w:pStyle w:val="a3"/>
        <w:numPr>
          <w:ilvl w:val="0"/>
          <w:numId w:val="30"/>
        </w:numPr>
        <w:spacing w:line="360" w:lineRule="auto"/>
      </w:pPr>
      <w:r w:rsidRPr="00C11A76">
        <w:t>Πόσο εφικτό είναι, δεδομένης της υφιστάμενης οικονομικής συγκυρίας</w:t>
      </w:r>
      <w:r>
        <w:t xml:space="preserve"> κατά την οποία παρεμβαίνουμε</w:t>
      </w:r>
      <w:r w:rsidRPr="00C11A76">
        <w:t xml:space="preserve">, να παραχθεί </w:t>
      </w:r>
      <w:proofErr w:type="spellStart"/>
      <w:r w:rsidRPr="00C11A76">
        <w:t>μόχλευση</w:t>
      </w:r>
      <w:proofErr w:type="spellEnd"/>
      <w:r w:rsidRPr="00C11A76">
        <w:t xml:space="preserve"> από δημόσιους ή και ιδιωτικούς πόρους</w:t>
      </w:r>
      <w:r>
        <w:t xml:space="preserve"> και σε ποιο βαθμό.</w:t>
      </w:r>
    </w:p>
    <w:p w14:paraId="6027725F" w14:textId="77777777" w:rsidR="00F23ADB" w:rsidRPr="00C11A76" w:rsidRDefault="00F23ADB" w:rsidP="00F23ADB">
      <w:pPr>
        <w:pStyle w:val="a3"/>
        <w:numPr>
          <w:ilvl w:val="0"/>
          <w:numId w:val="30"/>
        </w:numPr>
        <w:spacing w:line="360" w:lineRule="auto"/>
      </w:pPr>
      <w:r>
        <w:t>Αν μπορεί</w:t>
      </w:r>
      <w:r w:rsidRPr="00C11A76">
        <w:t xml:space="preserve"> η </w:t>
      </w:r>
      <w:proofErr w:type="spellStart"/>
      <w:r w:rsidRPr="00C11A76">
        <w:t>ενωσιακή</w:t>
      </w:r>
      <w:proofErr w:type="spellEnd"/>
      <w:r w:rsidRPr="00C11A76">
        <w:t xml:space="preserve"> συμμετοχή από το </w:t>
      </w:r>
      <w:r w:rsidR="00B925F9">
        <w:t>ΕΠΑνΕΚ</w:t>
      </w:r>
      <w:r w:rsidRPr="00C11A76">
        <w:t xml:space="preserve"> 2014-2020 να παρέχει μεγαλύτερη προστιθέμενη αξία</w:t>
      </w:r>
      <w:r>
        <w:t xml:space="preserve"> μέσω του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t>,</w:t>
      </w:r>
      <w:r w:rsidRPr="00C11A76">
        <w:t xml:space="preserve"> σε σχέση με τα υφιστάμενα </w:t>
      </w:r>
      <w:r>
        <w:t>χρηματοδοτικά προϊόντα</w:t>
      </w:r>
      <w:r w:rsidRPr="00C11A76">
        <w:t xml:space="preserve"> </w:t>
      </w:r>
      <w:r>
        <w:t xml:space="preserve">των τραπεζών </w:t>
      </w:r>
      <w:r w:rsidRPr="00C11A76">
        <w:t>(</w:t>
      </w:r>
      <w:r>
        <w:t xml:space="preserve">αντίστοιχα τραπεζικά προϊόντα που διατίθενται στην αγορά όπως </w:t>
      </w:r>
      <w:r w:rsidRPr="00C11A76">
        <w:t xml:space="preserve">π.χ. </w:t>
      </w:r>
      <w:r>
        <w:t>«ανακαίνιση κατοικίας», «επισκευαστικό» ή αντίστοιχο</w:t>
      </w:r>
      <w:r w:rsidRPr="00C11A76">
        <w:t>)</w:t>
      </w:r>
      <w:r>
        <w:t>.</w:t>
      </w:r>
      <w:r w:rsidRPr="00C11A76">
        <w:t xml:space="preserve"> </w:t>
      </w:r>
    </w:p>
    <w:p w14:paraId="645B8EE3" w14:textId="77777777" w:rsidR="00F23ADB" w:rsidRPr="00C11A76" w:rsidRDefault="00F23ADB" w:rsidP="00F23ADB">
      <w:pPr>
        <w:pStyle w:val="a3"/>
        <w:numPr>
          <w:ilvl w:val="0"/>
          <w:numId w:val="30"/>
        </w:numPr>
        <w:spacing w:line="360" w:lineRule="auto"/>
      </w:pPr>
      <w:r w:rsidRPr="00C11A76">
        <w:t xml:space="preserve">Ποια άλλη πρόσθετη αξία θα ήταν δυνατόν να δημιουργηθεί από το χρηματοοικονομικό μέσο που θα παρέχει άμεσα και έμμεσα κοινωνικοοικονομικά οφέλη; </w:t>
      </w:r>
    </w:p>
    <w:p w14:paraId="27857548" w14:textId="77777777" w:rsidR="00F23ADB" w:rsidRPr="00C11A76" w:rsidRDefault="00F23ADB" w:rsidP="00F23ADB">
      <w:pPr>
        <w:spacing w:line="360" w:lineRule="auto"/>
      </w:pPr>
      <w:r w:rsidRPr="00C11A76">
        <w:t xml:space="preserve">Ειδικότερα, προκειμένου για την εξεύρεση και εκτίμηση της ποσοτικής και ποιοτικής διάστασης της προστιθέμενης αξίας του μέσου χρηματοοικονομικής τεχνικής εξετάζονται: </w:t>
      </w:r>
    </w:p>
    <w:p w14:paraId="45F10454" w14:textId="77777777" w:rsidR="00F23ADB" w:rsidRPr="00C11A76" w:rsidRDefault="00F23ADB" w:rsidP="00F23ADB">
      <w:pPr>
        <w:pStyle w:val="a3"/>
        <w:numPr>
          <w:ilvl w:val="0"/>
          <w:numId w:val="29"/>
        </w:numPr>
        <w:spacing w:line="360" w:lineRule="auto"/>
      </w:pPr>
      <w:r w:rsidRPr="00C11A76">
        <w:t xml:space="preserve">Ο επιμερισμός της δημόσιας δαπάνης του επιχειρησιακού </w:t>
      </w:r>
      <w:r w:rsidR="00971D9A">
        <w:t>Προγράμματος</w:t>
      </w:r>
      <w:r w:rsidRPr="00C11A76">
        <w:t xml:space="preserve"> </w:t>
      </w:r>
      <w:r w:rsidR="00B925F9">
        <w:t>ΕΠΑΝΕΚ</w:t>
      </w:r>
      <w:r w:rsidRPr="00C11A76">
        <w:t xml:space="preserve"> σε επιχορηγήσεις για παρεμβάσεις εξοικονόμησης ενέργειας στον οικιακό τομέα και στη σύσταση Μέσου Χρηματοοικονομικής Τεχνικής για την υποστήριξη των παρεμβάσεων. </w:t>
      </w:r>
    </w:p>
    <w:p w14:paraId="4A3FD4B2" w14:textId="77777777" w:rsidR="00F23ADB" w:rsidRPr="00C11A76" w:rsidRDefault="00F23ADB" w:rsidP="00F23ADB">
      <w:pPr>
        <w:pStyle w:val="a3"/>
        <w:numPr>
          <w:ilvl w:val="0"/>
          <w:numId w:val="29"/>
        </w:numPr>
        <w:spacing w:line="360" w:lineRule="auto"/>
      </w:pPr>
      <w:r w:rsidRPr="00C11A76">
        <w:t xml:space="preserve">Η επιδότηση ή όχι του επιτοκίου του δανείου στο πλαίσιο του χρηματοοικονομικού εργαλείου. </w:t>
      </w:r>
    </w:p>
    <w:p w14:paraId="0DCF83C3" w14:textId="77777777" w:rsidR="00F23ADB" w:rsidRPr="00C11A76" w:rsidRDefault="00F23ADB" w:rsidP="00F23ADB">
      <w:pPr>
        <w:spacing w:line="360" w:lineRule="auto"/>
      </w:pPr>
      <w:r w:rsidRPr="00C11A76">
        <w:t>Τα ανωτέρω έχουν εξεταστεί στην 1</w:t>
      </w:r>
      <w:r w:rsidRPr="00C11A76">
        <w:rPr>
          <w:vertAlign w:val="superscript"/>
        </w:rPr>
        <w:t>η</w:t>
      </w:r>
      <w:r w:rsidRPr="00C11A76">
        <w:t xml:space="preserve"> αναθεώρηση της εκ των προτέρων αξιολόγησης (3</w:t>
      </w:r>
      <w:r w:rsidRPr="00C11A76">
        <w:rPr>
          <w:vertAlign w:val="superscript"/>
        </w:rPr>
        <w:t>η</w:t>
      </w:r>
      <w:r w:rsidRPr="00C11A76">
        <w:t xml:space="preserve"> έκδοση, Οκτώβριος 2016). </w:t>
      </w:r>
    </w:p>
    <w:p w14:paraId="6CFE942C" w14:textId="77777777" w:rsidR="00F23ADB" w:rsidRDefault="00F23ADB" w:rsidP="00F23ADB">
      <w:pPr>
        <w:spacing w:line="360" w:lineRule="auto"/>
      </w:pPr>
      <w:r w:rsidRPr="00C11A76">
        <w:t xml:space="preserve">Η παρούσα </w:t>
      </w:r>
      <w:r>
        <w:t>2</w:t>
      </w:r>
      <w:r w:rsidRPr="00D76197">
        <w:rPr>
          <w:vertAlign w:val="superscript"/>
        </w:rPr>
        <w:t>η</w:t>
      </w:r>
      <w:r>
        <w:t xml:space="preserve"> </w:t>
      </w:r>
      <w:r w:rsidRPr="00C11A76">
        <w:t xml:space="preserve">αναθεώρηση θα βασιστεί στην εξέταση δεδομένων που έχουν αντληθεί από την μέχρι σήμερα λειτουργία του </w:t>
      </w:r>
      <w:r w:rsidR="00971D9A">
        <w:t>Προγράμματος</w:t>
      </w:r>
      <w:r w:rsidRPr="00C11A76">
        <w:t xml:space="preserve"> «Εξοικονόμηση </w:t>
      </w:r>
      <w:r w:rsidR="00971D9A">
        <w:t xml:space="preserve">κατ’ </w:t>
      </w:r>
      <w:proofErr w:type="spellStart"/>
      <w:r w:rsidR="00971D9A">
        <w:t>Οίκον</w:t>
      </w:r>
      <w:proofErr w:type="spellEnd"/>
      <w:r w:rsidRPr="00C11A76">
        <w:t xml:space="preserve"> ΙΙ» της </w:t>
      </w:r>
      <w:r w:rsidR="00E5630E">
        <w:t>Προγραμματ</w:t>
      </w:r>
      <w:r w:rsidRPr="00C11A76">
        <w:t xml:space="preserve">ικής </w:t>
      </w:r>
      <w:r w:rsidR="00EB38B3">
        <w:lastRenderedPageBreak/>
        <w:t>Περιόδου</w:t>
      </w:r>
      <w:r w:rsidRPr="00C11A76">
        <w:t xml:space="preserve"> 2014-2020. Ειδικότερα αντλούνται στοιχεία από τον </w:t>
      </w:r>
      <w:r w:rsidR="00B925F9">
        <w:t>Α’ Κύκλο</w:t>
      </w:r>
      <w:r w:rsidRPr="00C11A76">
        <w:t xml:space="preserve"> (3/2018) </w:t>
      </w:r>
      <w:r>
        <w:t xml:space="preserve">καθώς </w:t>
      </w:r>
      <w:r w:rsidRPr="00C11A76">
        <w:t>και</w:t>
      </w:r>
      <w:r>
        <w:t xml:space="preserve"> τα στοιχεία από τις υποβληθείσες αιτήσεις</w:t>
      </w:r>
      <w:r w:rsidRPr="00C11A76">
        <w:t xml:space="preserve"> το</w:t>
      </w:r>
      <w:r>
        <w:t>υ</w:t>
      </w:r>
      <w:r w:rsidRPr="00C11A76">
        <w:t xml:space="preserve"> </w:t>
      </w:r>
      <w:r w:rsidR="00B925F9">
        <w:t>Β’ Κύκλο</w:t>
      </w:r>
      <w:r>
        <w:t>υ</w:t>
      </w:r>
      <w:r w:rsidRPr="00C11A76">
        <w:t xml:space="preserve"> (9/2019)</w:t>
      </w:r>
      <w:r>
        <w:t>. Τα δεδομένα αυτά,</w:t>
      </w:r>
      <w:r w:rsidRPr="00C11A76">
        <w:t xml:space="preserve"> αξιολογούνται έτσι ώστε να εκτιμηθεί κατά πόσο είναι σκόπιμη και αναγκαία η </w:t>
      </w:r>
      <w:r>
        <w:t xml:space="preserve">περαιτέρω αλλά και ο βαθμός ενίσχυσης </w:t>
      </w:r>
      <w:r w:rsidRPr="00C11A76">
        <w:t xml:space="preserve">του υφιστάμενου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rsidRPr="00C11A76">
        <w:t xml:space="preserve">ώστε το </w:t>
      </w:r>
      <w:r w:rsidR="00971D9A">
        <w:t>Πρόγραμμα</w:t>
      </w:r>
      <w:r w:rsidRPr="00C11A76">
        <w:t xml:space="preserve"> να ανταποκριθεί σε μελλοντικές ανάγκες.</w:t>
      </w:r>
    </w:p>
    <w:p w14:paraId="7D874EFF" w14:textId="77777777" w:rsidR="00F23ADB" w:rsidRPr="00C11A76" w:rsidRDefault="00F23ADB" w:rsidP="00F23ADB">
      <w:pPr>
        <w:spacing w:line="360" w:lineRule="auto"/>
      </w:pPr>
      <w:r w:rsidRPr="00C11A76">
        <w:t xml:space="preserve">Στο </w:t>
      </w:r>
      <w:r w:rsidR="00B925F9">
        <w:t>ΕΠΑνΕΚ</w:t>
      </w:r>
      <w:r w:rsidRPr="00C11A76">
        <w:t xml:space="preserve"> </w:t>
      </w:r>
      <w:r>
        <w:t xml:space="preserve">–κατά το χρόνο σύνταξης και έγκρισής του από την </w:t>
      </w:r>
      <w:r w:rsidR="0062368F">
        <w:t>Ε.Ε.</w:t>
      </w:r>
      <w:r>
        <w:t xml:space="preserve"> -</w:t>
      </w:r>
      <w:r w:rsidRPr="00C11A76">
        <w:t xml:space="preserve">δηλώθηκε ως δείκτης εκροών η τιμή των 21.000 κατοικιών που θα επιτύχουν εξοικονόμηση ενέργειας μέσω της χρηματοδότησης του εν λόγω επιχειρησιακού </w:t>
      </w:r>
      <w:r w:rsidR="00971D9A">
        <w:t>Προγράμματος</w:t>
      </w:r>
      <w:r w:rsidRPr="00C11A76">
        <w:t xml:space="preserve">. </w:t>
      </w:r>
      <w:r>
        <w:t>Προφανώς ο συγκεκριμένος στόχος αναθεωρείται στο πλαίσιο της παρούσης εργασίας σε τιμή που θα συμπεριλαμβάνει τα συμπεράσματα από τα αποτελέσματα των Α και Β κύκλων.</w:t>
      </w:r>
    </w:p>
    <w:p w14:paraId="4AEE85F2" w14:textId="77777777" w:rsidR="00F23ADB" w:rsidRPr="00C11A76" w:rsidRDefault="00F23ADB" w:rsidP="00DC12D0">
      <w:pPr>
        <w:pStyle w:val="4"/>
      </w:pPr>
      <w:proofErr w:type="spellStart"/>
      <w:r>
        <w:t>Μόχλευση</w:t>
      </w:r>
      <w:proofErr w:type="spellEnd"/>
    </w:p>
    <w:p w14:paraId="3B9571C0" w14:textId="77777777" w:rsidR="00F23ADB" w:rsidRPr="00C11A76" w:rsidRDefault="00DC12D0" w:rsidP="00F23ADB">
      <w:pPr>
        <w:spacing w:line="360" w:lineRule="auto"/>
      </w:pPr>
      <w:r>
        <w:t>Διευκρινίζεται ότι</w:t>
      </w:r>
      <w:r w:rsidR="00F23ADB" w:rsidRPr="00C11A76">
        <w:t xml:space="preserve"> η αξιολόγηση </w:t>
      </w:r>
      <w:r>
        <w:t xml:space="preserve">του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t xml:space="preserve"> </w:t>
      </w:r>
      <w:r w:rsidR="00F23ADB" w:rsidRPr="00C11A76">
        <w:t xml:space="preserve">αναφέρεται σε δύο είδη δεικτών </w:t>
      </w:r>
      <w:proofErr w:type="spellStart"/>
      <w:r w:rsidR="00F23ADB" w:rsidRPr="00C11A76">
        <w:t>μόχλευσης</w:t>
      </w:r>
      <w:proofErr w:type="spellEnd"/>
      <w:r w:rsidR="00F23ADB" w:rsidRPr="00C11A76">
        <w:t xml:space="preserve">. </w:t>
      </w:r>
    </w:p>
    <w:p w14:paraId="6F39AE9C" w14:textId="77777777" w:rsidR="00F23ADB" w:rsidRPr="00C11A76" w:rsidRDefault="00F23ADB" w:rsidP="00F23ADB">
      <w:pPr>
        <w:spacing w:line="360" w:lineRule="auto"/>
      </w:pPr>
      <w:r w:rsidRPr="00C11A76">
        <w:t xml:space="preserve">Ο πρώτος δείκτης </w:t>
      </w:r>
      <w:proofErr w:type="spellStart"/>
      <w:r w:rsidRPr="00C11A76">
        <w:t>μόχλευσης</w:t>
      </w:r>
      <w:proofErr w:type="spellEnd"/>
      <w:r w:rsidRPr="00C11A76">
        <w:t xml:space="preserve"> αφορά στη χρηματοοικονομική </w:t>
      </w:r>
      <w:proofErr w:type="spellStart"/>
      <w:r w:rsidRPr="00C11A76">
        <w:t>μόχλευση</w:t>
      </w:r>
      <w:proofErr w:type="spellEnd"/>
      <w:r w:rsidRPr="00C11A76">
        <w:t>, με τον οποίο συμμετέχουν τα χρηματοπιστωτικά ιδρύματα στο κεφάλαιο του ταμείου</w:t>
      </w:r>
      <w:r w:rsidR="00DF5FE4">
        <w:t xml:space="preserve"> </w:t>
      </w:r>
      <w:r w:rsidRPr="00C11A76">
        <w:t xml:space="preserve">και ο δεύτερος δείκτης </w:t>
      </w:r>
      <w:proofErr w:type="spellStart"/>
      <w:r w:rsidRPr="00C11A76">
        <w:t>μόχλευσης</w:t>
      </w:r>
      <w:proofErr w:type="spellEnd"/>
      <w:r w:rsidRPr="00C11A76">
        <w:t xml:space="preserve"> αφορά στη κοινοτική </w:t>
      </w:r>
      <w:proofErr w:type="spellStart"/>
      <w:r w:rsidRPr="00C11A76">
        <w:t>μόχλευση</w:t>
      </w:r>
      <w:proofErr w:type="spellEnd"/>
      <w:r w:rsidRPr="00C11A76">
        <w:t>, ο οποίος προσδιορίζει τη συμμετοχή πόρων από τα διαρθρωτικά ταμεία στον</w:t>
      </w:r>
      <w:r w:rsidR="00DC12D0">
        <w:t xml:space="preserve"> συνολικό</w:t>
      </w:r>
      <w:r w:rsidRPr="00C11A76">
        <w:t xml:space="preserve"> επιλέξιμο προϋπολογισμό των παρεμβάσεων εξοικονόμησης ενέργειας στις κατοικίες.</w:t>
      </w:r>
    </w:p>
    <w:p w14:paraId="12EC8B0A" w14:textId="77777777" w:rsidR="00F23ADB" w:rsidRPr="00C11A76" w:rsidRDefault="00F23ADB" w:rsidP="00F23ADB">
      <w:pPr>
        <w:spacing w:line="360" w:lineRule="auto"/>
      </w:pPr>
      <w:r w:rsidRPr="00C11A76">
        <w:t xml:space="preserve">Η χρηματοοικονομική </w:t>
      </w:r>
      <w:proofErr w:type="spellStart"/>
      <w:r w:rsidRPr="00C11A76">
        <w:t>μόχλευση</w:t>
      </w:r>
      <w:proofErr w:type="spellEnd"/>
      <w:r w:rsidRPr="00C11A76">
        <w:t xml:space="preserve"> (</w:t>
      </w:r>
      <w:r w:rsidRPr="00C11A76">
        <w:rPr>
          <w:lang w:val="en-US"/>
        </w:rPr>
        <w:t>leverage</w:t>
      </w:r>
      <w:r w:rsidRPr="00C11A76">
        <w:t xml:space="preserve">) σύμφωνα με τον οικονομικό κανονισμό προσδιορίζεται από το κλάσμα: επιλέξιμο ποσό χρηματοδότησης ιδιοκτητών ακινήτων προς το αντίστοιχο ποσό της </w:t>
      </w:r>
      <w:proofErr w:type="spellStart"/>
      <w:r w:rsidRPr="00C11A76">
        <w:t>ενωσιακής</w:t>
      </w:r>
      <w:proofErr w:type="spellEnd"/>
      <w:r w:rsidRPr="00C11A76">
        <w:t xml:space="preserve"> συμμετοχής</w:t>
      </w:r>
      <w:r w:rsidRPr="00C11A76">
        <w:rPr>
          <w:rStyle w:val="ac"/>
        </w:rPr>
        <w:footnoteReference w:id="25"/>
      </w:r>
      <w:r w:rsidRPr="00C11A76">
        <w:t>.</w:t>
      </w:r>
    </w:p>
    <w:p w14:paraId="179EB58F" w14:textId="77777777" w:rsidR="00F23ADB" w:rsidRPr="00C11A76" w:rsidRDefault="00F23ADB" w:rsidP="00F23ADB">
      <w:pPr>
        <w:spacing w:line="360" w:lineRule="auto"/>
      </w:pPr>
      <w:r w:rsidRPr="00C11A76">
        <w:t xml:space="preserve">Όπως και στην περίπτωση </w:t>
      </w:r>
      <w:r w:rsidR="00277CF4">
        <w:t>του Προγράμματος</w:t>
      </w:r>
      <w:r w:rsidRPr="00C11A76">
        <w:t xml:space="preserve"> «Εξοικονόμηση </w:t>
      </w:r>
      <w:proofErr w:type="spellStart"/>
      <w:r w:rsidRPr="00C11A76">
        <w:t>κατ΄οίκον</w:t>
      </w:r>
      <w:proofErr w:type="spellEnd"/>
      <w:r w:rsidR="00277CF4">
        <w:t xml:space="preserve"> Ι</w:t>
      </w:r>
      <w:r w:rsidRPr="00C11A76">
        <w:t xml:space="preserve">» της </w:t>
      </w:r>
      <w:r w:rsidR="00E5630E">
        <w:t>Προγραμματ</w:t>
      </w:r>
      <w:r w:rsidRPr="00C11A76">
        <w:t xml:space="preserve">ικής </w:t>
      </w:r>
      <w:r w:rsidR="00EB38B3">
        <w:t>Περιόδου</w:t>
      </w:r>
      <w:r w:rsidRPr="00C11A76">
        <w:t xml:space="preserve"> 2007-2013, και για την </w:t>
      </w:r>
      <w:r w:rsidR="00E5630E">
        <w:t>Προγραμματ</w:t>
      </w:r>
      <w:r w:rsidRPr="00C11A76">
        <w:t xml:space="preserve">ική </w:t>
      </w:r>
      <w:r w:rsidR="00EB38B3">
        <w:t>Περίοδο</w:t>
      </w:r>
      <w:r w:rsidRPr="00C11A76">
        <w:t xml:space="preserve"> 2014 - 2020 υφίσταται διαχωρισμός του τρόπου χρηματοδότησης μέσω πράξεων επιχορηγήσεων και επιστρεπτέων ενισχύσεων (δανείων). Η επιλογή της κάλυψης των επιχορηγήσεων από άλλη διακριτή πράξη και όχι από το </w:t>
      </w:r>
      <w:proofErr w:type="spellStart"/>
      <w:r w:rsidRPr="00C11A76">
        <w:t>συσταθέν</w:t>
      </w:r>
      <w:proofErr w:type="spellEnd"/>
      <w:r w:rsidRPr="00C11A76">
        <w:t xml:space="preserve">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rsidR="004C42EA" w:rsidRPr="00C11A76">
        <w:t xml:space="preserve"> </w:t>
      </w:r>
      <w:r w:rsidRPr="00C11A76">
        <w:t>γίνεται υποχρεωτικά καθώς σύμφωνα με την παράγραφο 7 του άρθρου 37 του κανονισμού 1303/2013:</w:t>
      </w:r>
    </w:p>
    <w:p w14:paraId="3EA7E7E5" w14:textId="77777777" w:rsidR="00F23ADB" w:rsidRPr="00C11A76" w:rsidRDefault="00F23ADB" w:rsidP="00F23ADB">
      <w:pPr>
        <w:spacing w:line="360" w:lineRule="auto"/>
        <w:ind w:left="720"/>
        <w:rPr>
          <w:i/>
        </w:rPr>
      </w:pPr>
      <w:r w:rsidRPr="00C11A76">
        <w:rPr>
          <w:i/>
        </w:rPr>
        <w:t xml:space="preserve">«7. Τα μέσα χρηματοοικονομικής τεχνικής μπορούν να συνδυάζονται με επιχορηγήσεις, επιδοτήσεις επιτοκίου και επιδοτήσεις προμηθειών εγγύησης. Σε περίπτωση που η υποστήριξη από τα ΕΔΕΤ παρέχεται από μέσα χρηματοοικονομικής τεχνικής και </w:t>
      </w:r>
      <w:r w:rsidRPr="00C11A76">
        <w:rPr>
          <w:i/>
        </w:rPr>
        <w:lastRenderedPageBreak/>
        <w:t>συνδυάζεται σε μία ενιαία πράξη με άλλες μορφές στήριξης οι οποίες συνδέονται άμεσα με τα μέσα χρηματοοικονομικής τεχνικής που έχουν στόχο τους ίδιους τελικούς αποδέκτες, συμπεριλαμβανομένης της τεχνικής υποστήριξης, των επιδοτήσεων επιτοκίου και των επιδοτήσεων με προμήθεια εγγύησης, οι διατάξεις που ισχύουν για τα μέσα χρηματοοικονομικής τεχνικής εφαρμόζονται σε όλες τις μορφές στήριξης στο πλαίσιο της εν λόγω πράξης. Στις περιπτώσεις αυτές, πρέπει να τηρούνται οι ισχύοντες κανόνες της Ένωσης περί κρατικών ενισχύσεων και να διενεργούνται χωριστές λογιστικές εγγραφές για την κάθε μορφή στήριξης.»</w:t>
      </w:r>
    </w:p>
    <w:p w14:paraId="4A7817D4" w14:textId="77777777" w:rsidR="00F23ADB" w:rsidRPr="00C11A76" w:rsidRDefault="00F23ADB" w:rsidP="00F23ADB">
      <w:pPr>
        <w:spacing w:line="360" w:lineRule="auto"/>
      </w:pPr>
      <w:r w:rsidRPr="00C11A76">
        <w:t>και όπως εξειδικεύεται στο άρθρο 5 του κανονισμού 480/2014:</w:t>
      </w:r>
    </w:p>
    <w:p w14:paraId="7C36FF79" w14:textId="77777777" w:rsidR="00F23ADB" w:rsidRDefault="00F23ADB" w:rsidP="00F23ADB">
      <w:pPr>
        <w:spacing w:line="360" w:lineRule="auto"/>
        <w:ind w:left="720"/>
        <w:rPr>
          <w:i/>
        </w:rPr>
      </w:pPr>
      <w:r w:rsidRPr="00C11A76">
        <w:rPr>
          <w:i/>
        </w:rPr>
        <w:t>«Οι επιχορηγήσεις για τεχνική υποστήριξη μπορούν να συνδυάζονται με μέσα χρηματοοικονομικής τεχνικής σε μία ενιαία πράξη, σύμφωνα με το άρθρο 37 παράγραφος 7 του κανονισμού (</w:t>
      </w:r>
      <w:r w:rsidR="0062368F">
        <w:rPr>
          <w:i/>
        </w:rPr>
        <w:t>Ε.Ε.</w:t>
      </w:r>
      <w:r w:rsidRPr="00C11A76">
        <w:rPr>
          <w:i/>
        </w:rPr>
        <w:t xml:space="preserve">) αριθ. 1303/2013, μόνο για την τεχνική προετοιμασία της </w:t>
      </w:r>
      <w:r w:rsidR="00E5630E">
        <w:rPr>
          <w:i/>
        </w:rPr>
        <w:t>Προγραμματ</w:t>
      </w:r>
      <w:r w:rsidRPr="00C11A76">
        <w:rPr>
          <w:i/>
        </w:rPr>
        <w:t>ιζόμενης επένδυσης προς όφελος του τελικού αποδέκτη που θα στηριχθεί από την πράξη αυτή.»</w:t>
      </w:r>
    </w:p>
    <w:p w14:paraId="64F3AE87" w14:textId="77777777" w:rsidR="00F23ADB" w:rsidRDefault="00F23ADB" w:rsidP="00F23ADB">
      <w:pPr>
        <w:spacing w:line="360" w:lineRule="auto"/>
      </w:pPr>
      <w:r w:rsidRPr="00C11A76">
        <w:t xml:space="preserve">Για την υλοποίηση των δεδομένων που αναλύονται λήφθηκαν υπόψη ορισμένες παράμετροι σχεδιασμού για το υφιστάμενο μέσο. Βασική μεταβλητή σχεδιασμού αποτελεί το διαθέσιμο ποσό του </w:t>
      </w:r>
      <w:r w:rsidR="00B925F9">
        <w:t>ΕΠΑνΕΚ</w:t>
      </w:r>
      <w:r w:rsidRPr="00C11A76">
        <w:t xml:space="preserve"> για δράσεις εξοικονόμησης ενέργειας στον οικιακό τομέα. </w:t>
      </w:r>
    </w:p>
    <w:p w14:paraId="737B6EB2" w14:textId="77777777" w:rsidR="00F23ADB" w:rsidRPr="00C11A76" w:rsidRDefault="00F23ADB" w:rsidP="00F23ADB">
      <w:pPr>
        <w:spacing w:line="360" w:lineRule="auto"/>
      </w:pPr>
      <w:r w:rsidRPr="00C11A76">
        <w:t>Σχετικά με τον τύπο του προϊόντος του ισχύοντος μέσου και τη δυνατότητα να παρέχονται εγγυήσεις ή δάνεια στους ιδιοκτήτες ακινήτων, στην προηγούμενη αναθεώρηση έχει ήδη εκτιμηθεί ότι η καλύτερη επιλογή είναι τα δάνεια.</w:t>
      </w:r>
      <w:r w:rsidRPr="00C11A76">
        <w:rPr>
          <w:color w:val="000000"/>
        </w:rPr>
        <w:t xml:space="preserve"> </w:t>
      </w:r>
    </w:p>
    <w:p w14:paraId="615293F4" w14:textId="77777777" w:rsidR="00F23ADB" w:rsidRPr="00C11A76" w:rsidRDefault="00F23ADB" w:rsidP="00F23ADB">
      <w:pPr>
        <w:spacing w:line="360" w:lineRule="auto"/>
      </w:pPr>
      <w:r w:rsidRPr="00C11A76">
        <w:t xml:space="preserve">Σύμφωνα με την αρχική εξειδίκευση του Επιχειρησιακού </w:t>
      </w:r>
      <w:r w:rsidR="00971D9A">
        <w:t>Προγράμματος</w:t>
      </w:r>
      <w:r w:rsidRPr="00C11A76">
        <w:t xml:space="preserve"> «Ανταγωνιστικότητα, Επιχειρηματικότητα και Καινοτομία» ο συνολικός προϋπολογισμός (δημόσια δαπάνη) προς διάθεση από το </w:t>
      </w:r>
      <w:r w:rsidR="00971D9A">
        <w:t>Πρόγραμμα</w:t>
      </w:r>
      <w:r w:rsidRPr="00C11A76">
        <w:t xml:space="preserve"> για αυτές τις παρεμβάσεις – ανεξάρτητα από την μορφή ενίσχυσης – ανέρχονταν στο ποσό των 248 εκ. €. Μετά την τροποποίηση της εξειδίκευσης της δράσης, ο προϋπολογισμός ανέρχεται, πλέον, στα </w:t>
      </w:r>
      <w:r>
        <w:t>~</w:t>
      </w:r>
      <w:r w:rsidRPr="00C11A76">
        <w:t xml:space="preserve">602 εκ. € (δημόσια δαπάνη). Το ποσό αυτό επιμερίζεται σε </w:t>
      </w:r>
      <w:r>
        <w:t>Ταμείο (</w:t>
      </w:r>
      <w:r w:rsidRPr="00C11A76">
        <w:t>δάνεια</w:t>
      </w:r>
      <w:r>
        <w:t xml:space="preserve"> + επιδότηση επιτοκίου)</w:t>
      </w:r>
      <w:r w:rsidRPr="00C11A76">
        <w:t xml:space="preserve"> και επιχορηγήσεις.</w:t>
      </w:r>
    </w:p>
    <w:p w14:paraId="3802EA0F" w14:textId="77777777" w:rsidR="00F23ADB" w:rsidRPr="00C11A76" w:rsidRDefault="00F23ADB" w:rsidP="00F23ADB">
      <w:pPr>
        <w:spacing w:line="360" w:lineRule="auto"/>
      </w:pPr>
      <w:r w:rsidRPr="00C11A76">
        <w:t xml:space="preserve">Ο μέσος όρος του συνολικού επιλέξιμου προϋπολογισμού των παρεμβάσεων για ενεργειακή αναβάθμιση στον Α΄ Κύκλο του </w:t>
      </w:r>
      <w:r w:rsidR="00971D9A">
        <w:t>Προγράμματος</w:t>
      </w:r>
      <w:r w:rsidRPr="00C11A76">
        <w:t xml:space="preserve"> Εξοικονόμηση </w:t>
      </w:r>
      <w:r w:rsidR="00971D9A">
        <w:t xml:space="preserve">Κατ’ </w:t>
      </w:r>
      <w:proofErr w:type="spellStart"/>
      <w:r w:rsidR="00971D9A">
        <w:t>Οίκον</w:t>
      </w:r>
      <w:proofErr w:type="spellEnd"/>
      <w:r w:rsidRPr="00C11A76">
        <w:t xml:space="preserve"> ΙΙ  του ΕΣΠΑ 2014-2020 στις κατοικίες, σύμφωνα με τα μέχρι τώρα στοιχεία υπολογίζεται στις 14.931€.</w:t>
      </w:r>
      <w:r w:rsidRPr="00C11A76">
        <w:rPr>
          <w:rStyle w:val="ac"/>
          <w:color w:val="000000"/>
        </w:rPr>
        <w:footnoteReference w:id="26"/>
      </w:r>
    </w:p>
    <w:p w14:paraId="62DA02EF" w14:textId="77777777" w:rsidR="00F23ADB" w:rsidRPr="00C11A76" w:rsidRDefault="00F23ADB" w:rsidP="00F23ADB">
      <w:pPr>
        <w:spacing w:line="360" w:lineRule="auto"/>
      </w:pPr>
      <w:r w:rsidRPr="00C11A76">
        <w:lastRenderedPageBreak/>
        <w:t xml:space="preserve">Από τα στοιχεία του ταμείου «Εξοικονομώ ΙΙ» που αφορούν στον Α΄ Κύκλο του </w:t>
      </w:r>
      <w:r w:rsidR="00971D9A">
        <w:t>Προγράμματος</w:t>
      </w:r>
      <w:r w:rsidRPr="00C11A76">
        <w:t xml:space="preserve">, είναι εφικτή η χαρτογράφηση των βασικών χαρακτηριστικών των δανείων που δόθηκαν την τρέχουσα </w:t>
      </w:r>
      <w:r w:rsidR="00E5630E">
        <w:t>Προγραμματ</w:t>
      </w:r>
      <w:r w:rsidRPr="00C11A76">
        <w:t xml:space="preserve">ική </w:t>
      </w:r>
      <w:r w:rsidR="00EB38B3">
        <w:t>Περίοδο</w:t>
      </w:r>
      <w:r w:rsidRPr="00C11A76">
        <w:t xml:space="preserve"> 2014 – 2020. Στις περισσότερες περιπτώσεις, οι ιδιοκτήτες προτίμησαν να συνάψουν δάνεια χωρίς </w:t>
      </w:r>
      <w:r w:rsidR="00EB38B3">
        <w:t>Περίοδο</w:t>
      </w:r>
      <w:r w:rsidRPr="00C11A76">
        <w:t xml:space="preserve"> χάριτος με διάρκεια αποπληρωμής 72 μήνες. Στους πίνακες που ακολουθούν παρουσιάζονται αναλυτικά τα βασικά χαρακτηριστικά των δανείων ανά φορέα υλοποίησης για τον </w:t>
      </w:r>
      <w:r w:rsidR="00B925F9">
        <w:t>Α’ Κύκλο</w:t>
      </w:r>
      <w:r w:rsidRPr="000B4C6F">
        <w:t xml:space="preserve"> </w:t>
      </w:r>
      <w:r w:rsidRPr="00C11A76">
        <w:t xml:space="preserve">του </w:t>
      </w:r>
      <w:r w:rsidR="00971D9A">
        <w:t>Προγράμματος</w:t>
      </w:r>
      <w:r w:rsidRPr="00C11A76">
        <w:t xml:space="preserve"> «Εξοικονόμηση </w:t>
      </w:r>
      <w:proofErr w:type="spellStart"/>
      <w:r w:rsidRPr="00C11A76">
        <w:t>κατ΄οίκον</w:t>
      </w:r>
      <w:proofErr w:type="spellEnd"/>
      <w:r w:rsidRPr="00C11A76">
        <w:t xml:space="preserve"> ΙΙ» της </w:t>
      </w:r>
      <w:r w:rsidR="00E5630E">
        <w:t>Προγραμματ</w:t>
      </w:r>
      <w:r w:rsidRPr="00C11A76">
        <w:t xml:space="preserve">ικής </w:t>
      </w:r>
      <w:r w:rsidR="00EB38B3">
        <w:t>Περιόδου</w:t>
      </w:r>
      <w:r w:rsidRPr="00C11A76">
        <w:t xml:space="preserve"> 2014-2020.</w:t>
      </w:r>
    </w:p>
    <w:p w14:paraId="60AF8195" w14:textId="77777777" w:rsidR="00F23ADB" w:rsidRPr="00C11A76" w:rsidRDefault="00F23ADB" w:rsidP="00F23ADB">
      <w:pPr>
        <w:spacing w:line="360" w:lineRule="auto"/>
        <w:rPr>
          <w:b/>
        </w:rPr>
      </w:pP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240"/>
        <w:gridCol w:w="1240"/>
        <w:gridCol w:w="1240"/>
        <w:gridCol w:w="1241"/>
      </w:tblGrid>
      <w:tr w:rsidR="00F23ADB" w:rsidRPr="00F378BF" w14:paraId="54E68C66" w14:textId="77777777" w:rsidTr="00E5630E">
        <w:trPr>
          <w:trHeight w:val="300"/>
        </w:trPr>
        <w:tc>
          <w:tcPr>
            <w:tcW w:w="3730" w:type="dxa"/>
            <w:shd w:val="clear" w:color="DCE6F1" w:fill="DCE6F1"/>
            <w:noWrap/>
            <w:vAlign w:val="center"/>
            <w:hideMark/>
          </w:tcPr>
          <w:p w14:paraId="480B2D82" w14:textId="77777777" w:rsidR="00F23ADB" w:rsidRPr="00F378BF" w:rsidRDefault="00F23ADB" w:rsidP="00E5630E">
            <w:pPr>
              <w:spacing w:line="360" w:lineRule="auto"/>
              <w:jc w:val="center"/>
              <w:rPr>
                <w:b/>
                <w:sz w:val="18"/>
                <w:szCs w:val="18"/>
                <w:lang w:eastAsia="el-GR"/>
              </w:rPr>
            </w:pPr>
            <w:r w:rsidRPr="00F378BF">
              <w:rPr>
                <w:b/>
                <w:sz w:val="18"/>
                <w:szCs w:val="18"/>
                <w:lang w:eastAsia="el-GR"/>
              </w:rPr>
              <w:t>Φορέας υλοποίησης</w:t>
            </w:r>
          </w:p>
        </w:tc>
        <w:tc>
          <w:tcPr>
            <w:tcW w:w="1240" w:type="dxa"/>
            <w:shd w:val="clear" w:color="DCE6F1" w:fill="DCE6F1"/>
            <w:noWrap/>
            <w:vAlign w:val="center"/>
            <w:hideMark/>
          </w:tcPr>
          <w:p w14:paraId="6FDDC225" w14:textId="77777777" w:rsidR="00F23ADB" w:rsidRPr="00F378BF" w:rsidRDefault="00F23ADB" w:rsidP="00E5630E">
            <w:pPr>
              <w:spacing w:line="360" w:lineRule="auto"/>
              <w:jc w:val="center"/>
              <w:rPr>
                <w:b/>
                <w:sz w:val="18"/>
                <w:szCs w:val="18"/>
                <w:lang w:eastAsia="el-GR"/>
              </w:rPr>
            </w:pPr>
            <w:r w:rsidRPr="00F378BF">
              <w:rPr>
                <w:b/>
                <w:sz w:val="18"/>
                <w:szCs w:val="18"/>
                <w:lang w:eastAsia="el-GR"/>
              </w:rPr>
              <w:t>Διάρκεια δανείου 48</w:t>
            </w:r>
          </w:p>
        </w:tc>
        <w:tc>
          <w:tcPr>
            <w:tcW w:w="1240" w:type="dxa"/>
            <w:shd w:val="clear" w:color="DCE6F1" w:fill="DCE6F1"/>
            <w:noWrap/>
            <w:vAlign w:val="center"/>
            <w:hideMark/>
          </w:tcPr>
          <w:p w14:paraId="296DF131" w14:textId="77777777" w:rsidR="00F23ADB" w:rsidRPr="00F378BF" w:rsidRDefault="00F23ADB" w:rsidP="00E5630E">
            <w:pPr>
              <w:spacing w:line="360" w:lineRule="auto"/>
              <w:jc w:val="center"/>
              <w:rPr>
                <w:b/>
                <w:sz w:val="18"/>
                <w:szCs w:val="18"/>
                <w:lang w:eastAsia="el-GR"/>
              </w:rPr>
            </w:pPr>
            <w:r w:rsidRPr="00F378BF">
              <w:rPr>
                <w:b/>
                <w:sz w:val="18"/>
                <w:szCs w:val="18"/>
                <w:lang w:eastAsia="el-GR"/>
              </w:rPr>
              <w:t>Διάρκεια δανείου 60</w:t>
            </w:r>
          </w:p>
        </w:tc>
        <w:tc>
          <w:tcPr>
            <w:tcW w:w="1240" w:type="dxa"/>
            <w:shd w:val="clear" w:color="DCE6F1" w:fill="DCE6F1"/>
            <w:noWrap/>
            <w:vAlign w:val="center"/>
            <w:hideMark/>
          </w:tcPr>
          <w:p w14:paraId="79CAA011" w14:textId="77777777" w:rsidR="00F23ADB" w:rsidRPr="00F378BF" w:rsidRDefault="00F23ADB" w:rsidP="00E5630E">
            <w:pPr>
              <w:spacing w:line="360" w:lineRule="auto"/>
              <w:jc w:val="center"/>
              <w:rPr>
                <w:b/>
                <w:sz w:val="18"/>
                <w:szCs w:val="18"/>
                <w:lang w:eastAsia="el-GR"/>
              </w:rPr>
            </w:pPr>
            <w:r w:rsidRPr="00F378BF">
              <w:rPr>
                <w:b/>
                <w:sz w:val="18"/>
                <w:szCs w:val="18"/>
                <w:lang w:eastAsia="el-GR"/>
              </w:rPr>
              <w:t>Διάρκεια δανείου 72</w:t>
            </w:r>
          </w:p>
        </w:tc>
        <w:tc>
          <w:tcPr>
            <w:tcW w:w="1241" w:type="dxa"/>
            <w:shd w:val="clear" w:color="DCE6F1" w:fill="DCE6F1"/>
            <w:noWrap/>
            <w:vAlign w:val="center"/>
            <w:hideMark/>
          </w:tcPr>
          <w:p w14:paraId="6D6BA003" w14:textId="77777777" w:rsidR="00F23ADB" w:rsidRPr="00F378BF" w:rsidRDefault="00F23ADB" w:rsidP="00E5630E">
            <w:pPr>
              <w:spacing w:line="360" w:lineRule="auto"/>
              <w:jc w:val="center"/>
              <w:rPr>
                <w:b/>
                <w:sz w:val="18"/>
                <w:szCs w:val="18"/>
                <w:lang w:eastAsia="el-GR"/>
              </w:rPr>
            </w:pPr>
            <w:r w:rsidRPr="00F378BF">
              <w:rPr>
                <w:b/>
                <w:sz w:val="18"/>
                <w:szCs w:val="18"/>
                <w:lang w:eastAsia="el-GR"/>
              </w:rPr>
              <w:t>Σύνολο</w:t>
            </w:r>
          </w:p>
        </w:tc>
      </w:tr>
      <w:tr w:rsidR="00F23ADB" w:rsidRPr="00F378BF" w14:paraId="1332F929" w14:textId="77777777" w:rsidTr="00E5630E">
        <w:trPr>
          <w:trHeight w:val="300"/>
        </w:trPr>
        <w:tc>
          <w:tcPr>
            <w:tcW w:w="3730" w:type="dxa"/>
            <w:shd w:val="clear" w:color="auto" w:fill="auto"/>
            <w:noWrap/>
            <w:vAlign w:val="center"/>
          </w:tcPr>
          <w:p w14:paraId="2BA501E4" w14:textId="77777777" w:rsidR="00F23ADB" w:rsidRPr="00F378BF" w:rsidRDefault="00F23ADB" w:rsidP="00E5630E">
            <w:pPr>
              <w:spacing w:line="360" w:lineRule="auto"/>
              <w:rPr>
                <w:sz w:val="18"/>
                <w:szCs w:val="18"/>
                <w:lang w:eastAsia="el-GR"/>
              </w:rPr>
            </w:pPr>
            <w:r>
              <w:rPr>
                <w:rFonts w:ascii="Calibri" w:hAnsi="Calibri"/>
                <w:color w:val="000000"/>
                <w:sz w:val="18"/>
                <w:szCs w:val="18"/>
              </w:rPr>
              <w:t>ΤΡΑΠΕΖΑ ΠΕΙΡΑΙΩΣ Α.Ε.</w:t>
            </w:r>
          </w:p>
        </w:tc>
        <w:tc>
          <w:tcPr>
            <w:tcW w:w="1240" w:type="dxa"/>
            <w:shd w:val="clear" w:color="auto" w:fill="auto"/>
            <w:noWrap/>
            <w:vAlign w:val="center"/>
          </w:tcPr>
          <w:p w14:paraId="744663B0"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1.710</w:t>
            </w:r>
          </w:p>
        </w:tc>
        <w:tc>
          <w:tcPr>
            <w:tcW w:w="1240" w:type="dxa"/>
            <w:shd w:val="clear" w:color="auto" w:fill="auto"/>
            <w:noWrap/>
            <w:vAlign w:val="center"/>
          </w:tcPr>
          <w:p w14:paraId="4B6B4B4D"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1.143</w:t>
            </w:r>
          </w:p>
        </w:tc>
        <w:tc>
          <w:tcPr>
            <w:tcW w:w="1240" w:type="dxa"/>
            <w:shd w:val="clear" w:color="auto" w:fill="auto"/>
            <w:noWrap/>
            <w:vAlign w:val="center"/>
          </w:tcPr>
          <w:p w14:paraId="6E34A642"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5.018</w:t>
            </w:r>
          </w:p>
        </w:tc>
        <w:tc>
          <w:tcPr>
            <w:tcW w:w="1241" w:type="dxa"/>
            <w:shd w:val="clear" w:color="auto" w:fill="auto"/>
            <w:noWrap/>
            <w:vAlign w:val="center"/>
          </w:tcPr>
          <w:p w14:paraId="74DB1148"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7.871</w:t>
            </w:r>
          </w:p>
        </w:tc>
      </w:tr>
      <w:tr w:rsidR="00F23ADB" w:rsidRPr="00F378BF" w14:paraId="19EC36D9" w14:textId="77777777" w:rsidTr="00E5630E">
        <w:trPr>
          <w:trHeight w:val="300"/>
        </w:trPr>
        <w:tc>
          <w:tcPr>
            <w:tcW w:w="3730" w:type="dxa"/>
            <w:shd w:val="clear" w:color="auto" w:fill="auto"/>
            <w:noWrap/>
            <w:vAlign w:val="center"/>
          </w:tcPr>
          <w:p w14:paraId="258D5311" w14:textId="77777777" w:rsidR="00F23ADB" w:rsidRPr="00F378BF" w:rsidRDefault="00F23ADB" w:rsidP="00E5630E">
            <w:pPr>
              <w:spacing w:line="360" w:lineRule="auto"/>
              <w:rPr>
                <w:sz w:val="18"/>
                <w:szCs w:val="18"/>
                <w:lang w:eastAsia="el-GR"/>
              </w:rPr>
            </w:pPr>
            <w:r>
              <w:rPr>
                <w:rFonts w:ascii="Calibri" w:hAnsi="Calibri"/>
                <w:color w:val="000000"/>
                <w:sz w:val="18"/>
                <w:szCs w:val="18"/>
              </w:rPr>
              <w:t>ΕΘΝΙΚΗ ΤΡΑΠΕΖΑ ΤΗΣ ΕΛΛΑΔΟΣ Α.Ε.</w:t>
            </w:r>
          </w:p>
        </w:tc>
        <w:tc>
          <w:tcPr>
            <w:tcW w:w="1240" w:type="dxa"/>
            <w:shd w:val="clear" w:color="auto" w:fill="auto"/>
            <w:noWrap/>
            <w:vAlign w:val="center"/>
          </w:tcPr>
          <w:p w14:paraId="39B87D5B"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1.158</w:t>
            </w:r>
          </w:p>
        </w:tc>
        <w:tc>
          <w:tcPr>
            <w:tcW w:w="1240" w:type="dxa"/>
            <w:shd w:val="clear" w:color="auto" w:fill="auto"/>
            <w:noWrap/>
            <w:vAlign w:val="center"/>
          </w:tcPr>
          <w:p w14:paraId="75ADDF27"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761</w:t>
            </w:r>
          </w:p>
        </w:tc>
        <w:tc>
          <w:tcPr>
            <w:tcW w:w="1240" w:type="dxa"/>
            <w:shd w:val="clear" w:color="auto" w:fill="auto"/>
            <w:noWrap/>
            <w:vAlign w:val="center"/>
          </w:tcPr>
          <w:p w14:paraId="2A56C5DE"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3.100</w:t>
            </w:r>
          </w:p>
        </w:tc>
        <w:tc>
          <w:tcPr>
            <w:tcW w:w="1241" w:type="dxa"/>
            <w:shd w:val="clear" w:color="auto" w:fill="auto"/>
            <w:noWrap/>
            <w:vAlign w:val="center"/>
          </w:tcPr>
          <w:p w14:paraId="5DF1A24C"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5.019</w:t>
            </w:r>
          </w:p>
        </w:tc>
      </w:tr>
      <w:tr w:rsidR="00F23ADB" w:rsidRPr="00F378BF" w14:paraId="4CA44331" w14:textId="77777777" w:rsidTr="00E5630E">
        <w:trPr>
          <w:trHeight w:val="300"/>
        </w:trPr>
        <w:tc>
          <w:tcPr>
            <w:tcW w:w="3730" w:type="dxa"/>
            <w:shd w:val="clear" w:color="auto" w:fill="auto"/>
            <w:noWrap/>
            <w:vAlign w:val="center"/>
          </w:tcPr>
          <w:p w14:paraId="1600D244" w14:textId="77777777" w:rsidR="00F23ADB" w:rsidRPr="00F378BF" w:rsidRDefault="00F23ADB" w:rsidP="00E5630E">
            <w:pPr>
              <w:spacing w:line="360" w:lineRule="auto"/>
              <w:rPr>
                <w:sz w:val="18"/>
                <w:szCs w:val="18"/>
                <w:lang w:val="en-US" w:eastAsia="el-GR"/>
              </w:rPr>
            </w:pPr>
            <w:r>
              <w:rPr>
                <w:rFonts w:ascii="Calibri" w:hAnsi="Calibri"/>
                <w:color w:val="000000"/>
                <w:sz w:val="18"/>
                <w:szCs w:val="18"/>
              </w:rPr>
              <w:t>ΤΡΑΠΕΖΑ</w:t>
            </w:r>
            <w:r w:rsidRPr="00F378BF">
              <w:rPr>
                <w:rFonts w:ascii="Calibri" w:hAnsi="Calibri"/>
                <w:color w:val="000000"/>
                <w:sz w:val="18"/>
                <w:szCs w:val="18"/>
                <w:lang w:val="en-US"/>
              </w:rPr>
              <w:t xml:space="preserve"> EUROBANK ERGASIAS </w:t>
            </w:r>
            <w:r>
              <w:rPr>
                <w:rFonts w:ascii="Calibri" w:hAnsi="Calibri"/>
                <w:color w:val="000000"/>
                <w:sz w:val="18"/>
                <w:szCs w:val="18"/>
              </w:rPr>
              <w:t>Α</w:t>
            </w:r>
            <w:r w:rsidRPr="00F378BF">
              <w:rPr>
                <w:rFonts w:ascii="Calibri" w:hAnsi="Calibri"/>
                <w:color w:val="000000"/>
                <w:sz w:val="18"/>
                <w:szCs w:val="18"/>
                <w:lang w:val="en-US"/>
              </w:rPr>
              <w:t>.</w:t>
            </w:r>
            <w:r>
              <w:rPr>
                <w:rFonts w:ascii="Calibri" w:hAnsi="Calibri"/>
                <w:color w:val="000000"/>
                <w:sz w:val="18"/>
                <w:szCs w:val="18"/>
              </w:rPr>
              <w:t>Ε</w:t>
            </w:r>
            <w:r w:rsidRPr="00F378BF">
              <w:rPr>
                <w:rFonts w:ascii="Calibri" w:hAnsi="Calibri"/>
                <w:color w:val="000000"/>
                <w:sz w:val="18"/>
                <w:szCs w:val="18"/>
                <w:lang w:val="en-US"/>
              </w:rPr>
              <w:t>.</w:t>
            </w:r>
          </w:p>
        </w:tc>
        <w:tc>
          <w:tcPr>
            <w:tcW w:w="1240" w:type="dxa"/>
            <w:shd w:val="clear" w:color="auto" w:fill="auto"/>
            <w:noWrap/>
            <w:vAlign w:val="center"/>
          </w:tcPr>
          <w:p w14:paraId="388F2D5B"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530</w:t>
            </w:r>
          </w:p>
        </w:tc>
        <w:tc>
          <w:tcPr>
            <w:tcW w:w="1240" w:type="dxa"/>
            <w:shd w:val="clear" w:color="auto" w:fill="auto"/>
            <w:noWrap/>
            <w:vAlign w:val="center"/>
          </w:tcPr>
          <w:p w14:paraId="67CBCDCE"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352</w:t>
            </w:r>
          </w:p>
        </w:tc>
        <w:tc>
          <w:tcPr>
            <w:tcW w:w="1240" w:type="dxa"/>
            <w:shd w:val="clear" w:color="auto" w:fill="auto"/>
            <w:noWrap/>
            <w:vAlign w:val="center"/>
          </w:tcPr>
          <w:p w14:paraId="10A33832"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1.697</w:t>
            </w:r>
          </w:p>
        </w:tc>
        <w:tc>
          <w:tcPr>
            <w:tcW w:w="1241" w:type="dxa"/>
            <w:shd w:val="clear" w:color="auto" w:fill="auto"/>
            <w:noWrap/>
            <w:vAlign w:val="center"/>
          </w:tcPr>
          <w:p w14:paraId="60AFA044"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2.579</w:t>
            </w:r>
          </w:p>
        </w:tc>
      </w:tr>
      <w:tr w:rsidR="00F23ADB" w:rsidRPr="00F378BF" w14:paraId="164E12A4" w14:textId="77777777" w:rsidTr="00E5630E">
        <w:trPr>
          <w:trHeight w:val="300"/>
        </w:trPr>
        <w:tc>
          <w:tcPr>
            <w:tcW w:w="3730" w:type="dxa"/>
            <w:shd w:val="clear" w:color="auto" w:fill="auto"/>
            <w:noWrap/>
            <w:vAlign w:val="center"/>
          </w:tcPr>
          <w:p w14:paraId="54B29D9E" w14:textId="77777777" w:rsidR="00F23ADB" w:rsidRPr="00F378BF" w:rsidRDefault="00F23ADB" w:rsidP="00E5630E">
            <w:pPr>
              <w:spacing w:line="360" w:lineRule="auto"/>
              <w:rPr>
                <w:sz w:val="18"/>
                <w:szCs w:val="18"/>
                <w:lang w:eastAsia="el-GR"/>
              </w:rPr>
            </w:pPr>
            <w:r>
              <w:rPr>
                <w:rFonts w:ascii="Calibri" w:hAnsi="Calibri"/>
                <w:color w:val="000000"/>
                <w:sz w:val="18"/>
                <w:szCs w:val="18"/>
              </w:rPr>
              <w:t>ΑΛΦΑ ΤΡΑΠΕΖΑ Α.Ε.</w:t>
            </w:r>
          </w:p>
        </w:tc>
        <w:tc>
          <w:tcPr>
            <w:tcW w:w="1240" w:type="dxa"/>
            <w:shd w:val="clear" w:color="auto" w:fill="auto"/>
            <w:noWrap/>
            <w:vAlign w:val="center"/>
          </w:tcPr>
          <w:p w14:paraId="6355A909"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519</w:t>
            </w:r>
          </w:p>
        </w:tc>
        <w:tc>
          <w:tcPr>
            <w:tcW w:w="1240" w:type="dxa"/>
            <w:shd w:val="clear" w:color="auto" w:fill="auto"/>
            <w:noWrap/>
            <w:vAlign w:val="center"/>
          </w:tcPr>
          <w:p w14:paraId="6842BB06"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356</w:t>
            </w:r>
          </w:p>
        </w:tc>
        <w:tc>
          <w:tcPr>
            <w:tcW w:w="1240" w:type="dxa"/>
            <w:shd w:val="clear" w:color="auto" w:fill="auto"/>
            <w:noWrap/>
            <w:vAlign w:val="center"/>
          </w:tcPr>
          <w:p w14:paraId="630DBF93"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1.424</w:t>
            </w:r>
          </w:p>
        </w:tc>
        <w:tc>
          <w:tcPr>
            <w:tcW w:w="1241" w:type="dxa"/>
            <w:shd w:val="clear" w:color="auto" w:fill="auto"/>
            <w:noWrap/>
            <w:vAlign w:val="center"/>
          </w:tcPr>
          <w:p w14:paraId="217B67E9"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2.299</w:t>
            </w:r>
          </w:p>
        </w:tc>
      </w:tr>
      <w:tr w:rsidR="00F23ADB" w:rsidRPr="00F378BF" w14:paraId="41416FE4" w14:textId="77777777" w:rsidTr="00E5630E">
        <w:trPr>
          <w:trHeight w:val="300"/>
        </w:trPr>
        <w:tc>
          <w:tcPr>
            <w:tcW w:w="3730" w:type="dxa"/>
            <w:shd w:val="clear" w:color="auto" w:fill="auto"/>
            <w:noWrap/>
            <w:vAlign w:val="center"/>
          </w:tcPr>
          <w:p w14:paraId="4C2DCB82" w14:textId="77777777" w:rsidR="00F23ADB" w:rsidRPr="00F378BF" w:rsidRDefault="00F23ADB" w:rsidP="00E5630E">
            <w:pPr>
              <w:spacing w:line="360" w:lineRule="auto"/>
              <w:rPr>
                <w:sz w:val="18"/>
                <w:szCs w:val="18"/>
                <w:lang w:eastAsia="el-GR"/>
              </w:rPr>
            </w:pPr>
            <w:r>
              <w:rPr>
                <w:rFonts w:ascii="Calibri" w:hAnsi="Calibri"/>
                <w:color w:val="000000"/>
                <w:sz w:val="18"/>
                <w:szCs w:val="18"/>
              </w:rPr>
              <w:t>ATTICA BANK, ΑΝΩΝΥΜΗ ΤΡΑΠΕΖΙΚΗ ΕΤΑΙΡΕΙΑ</w:t>
            </w:r>
          </w:p>
        </w:tc>
        <w:tc>
          <w:tcPr>
            <w:tcW w:w="1240" w:type="dxa"/>
            <w:shd w:val="clear" w:color="auto" w:fill="auto"/>
            <w:noWrap/>
            <w:vAlign w:val="center"/>
          </w:tcPr>
          <w:p w14:paraId="13E52155" w14:textId="77777777" w:rsidR="00F23ADB" w:rsidRPr="00F378BF" w:rsidRDefault="00F23ADB" w:rsidP="00E5630E">
            <w:pPr>
              <w:spacing w:line="360" w:lineRule="auto"/>
              <w:jc w:val="right"/>
              <w:rPr>
                <w:sz w:val="18"/>
                <w:szCs w:val="18"/>
                <w:lang w:val="en-US" w:eastAsia="el-GR"/>
              </w:rPr>
            </w:pPr>
            <w:r>
              <w:rPr>
                <w:rFonts w:ascii="Calibri" w:hAnsi="Calibri"/>
                <w:color w:val="000000"/>
                <w:sz w:val="18"/>
                <w:szCs w:val="18"/>
              </w:rPr>
              <w:t>37</w:t>
            </w:r>
          </w:p>
        </w:tc>
        <w:tc>
          <w:tcPr>
            <w:tcW w:w="1240" w:type="dxa"/>
            <w:shd w:val="clear" w:color="auto" w:fill="auto"/>
            <w:noWrap/>
            <w:vAlign w:val="center"/>
          </w:tcPr>
          <w:p w14:paraId="583C6AF5" w14:textId="77777777" w:rsidR="00F23ADB" w:rsidRPr="00F378BF" w:rsidRDefault="00F23ADB" w:rsidP="00E5630E">
            <w:pPr>
              <w:spacing w:line="360" w:lineRule="auto"/>
              <w:jc w:val="right"/>
              <w:rPr>
                <w:sz w:val="18"/>
                <w:szCs w:val="18"/>
                <w:lang w:val="en-US" w:eastAsia="el-GR"/>
              </w:rPr>
            </w:pPr>
            <w:r>
              <w:rPr>
                <w:rFonts w:ascii="Calibri" w:hAnsi="Calibri"/>
                <w:color w:val="000000"/>
                <w:sz w:val="18"/>
                <w:szCs w:val="18"/>
              </w:rPr>
              <w:t>36</w:t>
            </w:r>
          </w:p>
        </w:tc>
        <w:tc>
          <w:tcPr>
            <w:tcW w:w="1240" w:type="dxa"/>
            <w:shd w:val="clear" w:color="auto" w:fill="auto"/>
            <w:noWrap/>
            <w:vAlign w:val="center"/>
          </w:tcPr>
          <w:p w14:paraId="20E011DF" w14:textId="77777777" w:rsidR="00F23ADB" w:rsidRPr="00F378BF" w:rsidRDefault="00F23ADB" w:rsidP="00E5630E">
            <w:pPr>
              <w:spacing w:line="360" w:lineRule="auto"/>
              <w:jc w:val="right"/>
              <w:rPr>
                <w:sz w:val="18"/>
                <w:szCs w:val="18"/>
                <w:lang w:val="en-US" w:eastAsia="el-GR"/>
              </w:rPr>
            </w:pPr>
            <w:r>
              <w:rPr>
                <w:rFonts w:ascii="Calibri" w:hAnsi="Calibri"/>
                <w:color w:val="000000"/>
                <w:sz w:val="18"/>
                <w:szCs w:val="18"/>
              </w:rPr>
              <w:t>143</w:t>
            </w:r>
          </w:p>
        </w:tc>
        <w:tc>
          <w:tcPr>
            <w:tcW w:w="1241" w:type="dxa"/>
            <w:shd w:val="clear" w:color="auto" w:fill="auto"/>
            <w:noWrap/>
            <w:vAlign w:val="center"/>
          </w:tcPr>
          <w:p w14:paraId="4F1A5BD2" w14:textId="77777777" w:rsidR="00F23ADB" w:rsidRPr="00F378BF" w:rsidRDefault="00F23ADB" w:rsidP="00E5630E">
            <w:pPr>
              <w:spacing w:line="360" w:lineRule="auto"/>
              <w:jc w:val="right"/>
              <w:rPr>
                <w:sz w:val="18"/>
                <w:szCs w:val="18"/>
                <w:lang w:val="en-US" w:eastAsia="el-GR"/>
              </w:rPr>
            </w:pPr>
            <w:r>
              <w:rPr>
                <w:rFonts w:ascii="Calibri" w:hAnsi="Calibri"/>
                <w:color w:val="000000"/>
                <w:sz w:val="18"/>
                <w:szCs w:val="18"/>
              </w:rPr>
              <w:t>216</w:t>
            </w:r>
          </w:p>
        </w:tc>
      </w:tr>
      <w:tr w:rsidR="00F23ADB" w:rsidRPr="00F378BF" w14:paraId="233D32E6" w14:textId="77777777" w:rsidTr="00E5630E">
        <w:trPr>
          <w:trHeight w:val="300"/>
        </w:trPr>
        <w:tc>
          <w:tcPr>
            <w:tcW w:w="3730" w:type="dxa"/>
            <w:shd w:val="clear" w:color="auto" w:fill="auto"/>
            <w:noWrap/>
            <w:vAlign w:val="center"/>
          </w:tcPr>
          <w:p w14:paraId="066E4730" w14:textId="77777777" w:rsidR="00F23ADB" w:rsidRPr="00F378BF" w:rsidRDefault="00F23ADB" w:rsidP="00E5630E">
            <w:pPr>
              <w:spacing w:line="360" w:lineRule="auto"/>
              <w:rPr>
                <w:sz w:val="18"/>
                <w:szCs w:val="18"/>
                <w:lang w:eastAsia="el-GR"/>
              </w:rPr>
            </w:pPr>
            <w:r>
              <w:rPr>
                <w:rFonts w:ascii="Calibri" w:hAnsi="Calibri"/>
                <w:color w:val="000000"/>
                <w:sz w:val="18"/>
                <w:szCs w:val="18"/>
              </w:rPr>
              <w:t>ΣΥΝΕΤΑΙΡΙΣΤΙΚΗ ΤΡΑΠΕΖΑ ΚΑΡΔΙΤΣΑΣ ΣΥΝ.Π.Ε.</w:t>
            </w:r>
          </w:p>
        </w:tc>
        <w:tc>
          <w:tcPr>
            <w:tcW w:w="1240" w:type="dxa"/>
            <w:shd w:val="clear" w:color="auto" w:fill="auto"/>
            <w:noWrap/>
            <w:vAlign w:val="center"/>
          </w:tcPr>
          <w:p w14:paraId="4FADA93E"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20</w:t>
            </w:r>
          </w:p>
        </w:tc>
        <w:tc>
          <w:tcPr>
            <w:tcW w:w="1240" w:type="dxa"/>
            <w:shd w:val="clear" w:color="auto" w:fill="auto"/>
            <w:noWrap/>
            <w:vAlign w:val="center"/>
          </w:tcPr>
          <w:p w14:paraId="5442A130"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14</w:t>
            </w:r>
          </w:p>
        </w:tc>
        <w:tc>
          <w:tcPr>
            <w:tcW w:w="1240" w:type="dxa"/>
            <w:shd w:val="clear" w:color="auto" w:fill="auto"/>
            <w:noWrap/>
            <w:vAlign w:val="center"/>
          </w:tcPr>
          <w:p w14:paraId="1B2E9D55"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107</w:t>
            </w:r>
          </w:p>
        </w:tc>
        <w:tc>
          <w:tcPr>
            <w:tcW w:w="1241" w:type="dxa"/>
            <w:shd w:val="clear" w:color="auto" w:fill="auto"/>
            <w:noWrap/>
            <w:vAlign w:val="center"/>
          </w:tcPr>
          <w:p w14:paraId="6656991F"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141</w:t>
            </w:r>
          </w:p>
        </w:tc>
      </w:tr>
      <w:tr w:rsidR="00F23ADB" w:rsidRPr="00F378BF" w14:paraId="00F19E45" w14:textId="77777777" w:rsidTr="00E5630E">
        <w:trPr>
          <w:trHeight w:val="300"/>
        </w:trPr>
        <w:tc>
          <w:tcPr>
            <w:tcW w:w="3730" w:type="dxa"/>
            <w:shd w:val="clear" w:color="auto" w:fill="auto"/>
            <w:noWrap/>
            <w:vAlign w:val="center"/>
          </w:tcPr>
          <w:p w14:paraId="7DD665F6" w14:textId="77777777" w:rsidR="00F23ADB" w:rsidRPr="00F378BF" w:rsidRDefault="00F23ADB" w:rsidP="00E5630E">
            <w:pPr>
              <w:spacing w:line="360" w:lineRule="auto"/>
              <w:rPr>
                <w:sz w:val="18"/>
                <w:szCs w:val="18"/>
                <w:lang w:eastAsia="el-GR"/>
              </w:rPr>
            </w:pPr>
            <w:r>
              <w:rPr>
                <w:rFonts w:ascii="Calibri" w:hAnsi="Calibri"/>
                <w:color w:val="000000"/>
                <w:sz w:val="18"/>
                <w:szCs w:val="18"/>
              </w:rPr>
              <w:t>ΠΑΓΚΡΗΤΙΑ ΣΥΝΕΤΑΙΡΙΣΤΙΚΗ ΤΡΑΠΕΖΑ ΣΥΝ.ΠΕ.</w:t>
            </w:r>
          </w:p>
        </w:tc>
        <w:tc>
          <w:tcPr>
            <w:tcW w:w="1240" w:type="dxa"/>
            <w:shd w:val="clear" w:color="auto" w:fill="auto"/>
            <w:noWrap/>
            <w:vAlign w:val="center"/>
          </w:tcPr>
          <w:p w14:paraId="2512885A"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23</w:t>
            </w:r>
          </w:p>
        </w:tc>
        <w:tc>
          <w:tcPr>
            <w:tcW w:w="1240" w:type="dxa"/>
            <w:shd w:val="clear" w:color="auto" w:fill="auto"/>
            <w:noWrap/>
            <w:vAlign w:val="center"/>
          </w:tcPr>
          <w:p w14:paraId="5305B372"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45</w:t>
            </w:r>
          </w:p>
        </w:tc>
        <w:tc>
          <w:tcPr>
            <w:tcW w:w="1240" w:type="dxa"/>
            <w:shd w:val="clear" w:color="auto" w:fill="auto"/>
            <w:noWrap/>
            <w:vAlign w:val="center"/>
          </w:tcPr>
          <w:p w14:paraId="1CC1F296"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19</w:t>
            </w:r>
          </w:p>
        </w:tc>
        <w:tc>
          <w:tcPr>
            <w:tcW w:w="1241" w:type="dxa"/>
            <w:shd w:val="clear" w:color="auto" w:fill="auto"/>
            <w:noWrap/>
            <w:vAlign w:val="center"/>
          </w:tcPr>
          <w:p w14:paraId="5784139F"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87</w:t>
            </w:r>
          </w:p>
        </w:tc>
      </w:tr>
      <w:tr w:rsidR="00F23ADB" w:rsidRPr="00F378BF" w14:paraId="763D4E1A" w14:textId="77777777" w:rsidTr="00E5630E">
        <w:trPr>
          <w:trHeight w:val="300"/>
        </w:trPr>
        <w:tc>
          <w:tcPr>
            <w:tcW w:w="3730" w:type="dxa"/>
            <w:shd w:val="clear" w:color="auto" w:fill="auto"/>
            <w:noWrap/>
            <w:vAlign w:val="center"/>
          </w:tcPr>
          <w:p w14:paraId="505178EF" w14:textId="77777777" w:rsidR="00F23ADB" w:rsidRPr="00F378BF" w:rsidRDefault="00F23ADB" w:rsidP="00E5630E">
            <w:pPr>
              <w:spacing w:line="360" w:lineRule="auto"/>
              <w:rPr>
                <w:sz w:val="18"/>
                <w:szCs w:val="18"/>
                <w:lang w:eastAsia="el-GR"/>
              </w:rPr>
            </w:pPr>
            <w:r>
              <w:rPr>
                <w:rFonts w:ascii="Calibri" w:hAnsi="Calibri"/>
                <w:color w:val="000000"/>
                <w:sz w:val="18"/>
                <w:szCs w:val="18"/>
              </w:rPr>
              <w:t>ΣΥΝΕΤΑΙΡΙΣΤΙΚΗ ΤΡΑΠΕΖΑ ΘΕΣΣΑΛΙΑΣ ΣΥΝ.Π.Ε.</w:t>
            </w:r>
          </w:p>
        </w:tc>
        <w:tc>
          <w:tcPr>
            <w:tcW w:w="1240" w:type="dxa"/>
            <w:shd w:val="clear" w:color="auto" w:fill="auto"/>
            <w:noWrap/>
            <w:vAlign w:val="center"/>
          </w:tcPr>
          <w:p w14:paraId="609947AF"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14</w:t>
            </w:r>
          </w:p>
        </w:tc>
        <w:tc>
          <w:tcPr>
            <w:tcW w:w="1240" w:type="dxa"/>
            <w:shd w:val="clear" w:color="auto" w:fill="auto"/>
            <w:noWrap/>
            <w:vAlign w:val="center"/>
          </w:tcPr>
          <w:p w14:paraId="735FE83A"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6</w:t>
            </w:r>
          </w:p>
        </w:tc>
        <w:tc>
          <w:tcPr>
            <w:tcW w:w="1240" w:type="dxa"/>
            <w:shd w:val="clear" w:color="auto" w:fill="auto"/>
            <w:noWrap/>
            <w:vAlign w:val="center"/>
          </w:tcPr>
          <w:p w14:paraId="415CE93D"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56</w:t>
            </w:r>
          </w:p>
        </w:tc>
        <w:tc>
          <w:tcPr>
            <w:tcW w:w="1241" w:type="dxa"/>
            <w:shd w:val="clear" w:color="auto" w:fill="auto"/>
            <w:noWrap/>
            <w:vAlign w:val="center"/>
          </w:tcPr>
          <w:p w14:paraId="246C9FDB"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76</w:t>
            </w:r>
          </w:p>
        </w:tc>
      </w:tr>
      <w:tr w:rsidR="00F23ADB" w:rsidRPr="00F378BF" w14:paraId="13350502" w14:textId="77777777" w:rsidTr="00E5630E">
        <w:trPr>
          <w:trHeight w:val="300"/>
        </w:trPr>
        <w:tc>
          <w:tcPr>
            <w:tcW w:w="3730" w:type="dxa"/>
            <w:shd w:val="clear" w:color="auto" w:fill="auto"/>
            <w:noWrap/>
            <w:vAlign w:val="center"/>
          </w:tcPr>
          <w:p w14:paraId="28EA2878" w14:textId="77777777" w:rsidR="00F23ADB" w:rsidRPr="00F378BF" w:rsidRDefault="00F23ADB" w:rsidP="00E5630E">
            <w:pPr>
              <w:spacing w:line="360" w:lineRule="auto"/>
              <w:rPr>
                <w:sz w:val="18"/>
                <w:szCs w:val="18"/>
                <w:lang w:eastAsia="el-GR"/>
              </w:rPr>
            </w:pPr>
            <w:r>
              <w:rPr>
                <w:rFonts w:ascii="Calibri" w:hAnsi="Calibri"/>
                <w:color w:val="000000"/>
                <w:sz w:val="18"/>
                <w:szCs w:val="18"/>
              </w:rPr>
              <w:t>ΣΥΝΕΤΑΙΡΙΣΤΙΚΗ ΤΡΑΠΕΖΑ ΗΠΕΙΡΟΥ ΣΥΝ.ΠΕ.</w:t>
            </w:r>
          </w:p>
        </w:tc>
        <w:tc>
          <w:tcPr>
            <w:tcW w:w="1240" w:type="dxa"/>
            <w:shd w:val="clear" w:color="auto" w:fill="auto"/>
            <w:noWrap/>
            <w:vAlign w:val="center"/>
          </w:tcPr>
          <w:p w14:paraId="3A1F4229"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14</w:t>
            </w:r>
          </w:p>
        </w:tc>
        <w:tc>
          <w:tcPr>
            <w:tcW w:w="1240" w:type="dxa"/>
            <w:shd w:val="clear" w:color="auto" w:fill="auto"/>
            <w:noWrap/>
            <w:vAlign w:val="center"/>
          </w:tcPr>
          <w:p w14:paraId="5C39EC12"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12</w:t>
            </w:r>
          </w:p>
        </w:tc>
        <w:tc>
          <w:tcPr>
            <w:tcW w:w="1240" w:type="dxa"/>
            <w:shd w:val="clear" w:color="auto" w:fill="auto"/>
            <w:noWrap/>
            <w:vAlign w:val="center"/>
          </w:tcPr>
          <w:p w14:paraId="35224BD3"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42</w:t>
            </w:r>
          </w:p>
        </w:tc>
        <w:tc>
          <w:tcPr>
            <w:tcW w:w="1241" w:type="dxa"/>
            <w:shd w:val="clear" w:color="auto" w:fill="auto"/>
            <w:noWrap/>
            <w:vAlign w:val="center"/>
          </w:tcPr>
          <w:p w14:paraId="7FC3BCF5"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68</w:t>
            </w:r>
          </w:p>
        </w:tc>
      </w:tr>
      <w:tr w:rsidR="00F23ADB" w:rsidRPr="00F378BF" w14:paraId="5E1B0F2E" w14:textId="77777777" w:rsidTr="00E5630E">
        <w:trPr>
          <w:trHeight w:val="300"/>
        </w:trPr>
        <w:tc>
          <w:tcPr>
            <w:tcW w:w="3730" w:type="dxa"/>
            <w:tcBorders>
              <w:bottom w:val="single" w:sz="4" w:space="0" w:color="auto"/>
            </w:tcBorders>
            <w:shd w:val="clear" w:color="auto" w:fill="auto"/>
            <w:noWrap/>
            <w:vAlign w:val="center"/>
          </w:tcPr>
          <w:p w14:paraId="740DD6E5" w14:textId="77777777" w:rsidR="00F23ADB" w:rsidRPr="00F378BF" w:rsidRDefault="00F23ADB" w:rsidP="00E5630E">
            <w:pPr>
              <w:spacing w:line="360" w:lineRule="auto"/>
              <w:rPr>
                <w:sz w:val="18"/>
                <w:szCs w:val="18"/>
                <w:lang w:eastAsia="el-GR"/>
              </w:rPr>
            </w:pPr>
            <w:r>
              <w:rPr>
                <w:rFonts w:ascii="Calibri" w:hAnsi="Calibri"/>
                <w:color w:val="000000"/>
                <w:sz w:val="18"/>
                <w:szCs w:val="18"/>
              </w:rPr>
              <w:t>ΣΥΝΕΤΑΙΡΙΣΤΙΚΗ ΤΡΑΠΕΖΑ ΧΑΝΙΩΝ ΣΥΝ.Π.Ε.</w:t>
            </w:r>
          </w:p>
        </w:tc>
        <w:tc>
          <w:tcPr>
            <w:tcW w:w="1240" w:type="dxa"/>
            <w:tcBorders>
              <w:bottom w:val="single" w:sz="4" w:space="0" w:color="auto"/>
            </w:tcBorders>
            <w:shd w:val="clear" w:color="auto" w:fill="auto"/>
            <w:noWrap/>
            <w:vAlign w:val="center"/>
          </w:tcPr>
          <w:p w14:paraId="51F9FFBC"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13</w:t>
            </w:r>
          </w:p>
        </w:tc>
        <w:tc>
          <w:tcPr>
            <w:tcW w:w="1240" w:type="dxa"/>
            <w:tcBorders>
              <w:bottom w:val="single" w:sz="4" w:space="0" w:color="auto"/>
            </w:tcBorders>
            <w:shd w:val="clear" w:color="auto" w:fill="auto"/>
            <w:noWrap/>
            <w:vAlign w:val="center"/>
          </w:tcPr>
          <w:p w14:paraId="7ED4A28A"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8</w:t>
            </w:r>
          </w:p>
        </w:tc>
        <w:tc>
          <w:tcPr>
            <w:tcW w:w="1240" w:type="dxa"/>
            <w:tcBorders>
              <w:bottom w:val="single" w:sz="4" w:space="0" w:color="auto"/>
            </w:tcBorders>
            <w:shd w:val="clear" w:color="auto" w:fill="auto"/>
            <w:noWrap/>
            <w:vAlign w:val="center"/>
          </w:tcPr>
          <w:p w14:paraId="3E6C80C5"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19</w:t>
            </w:r>
          </w:p>
        </w:tc>
        <w:tc>
          <w:tcPr>
            <w:tcW w:w="1241" w:type="dxa"/>
            <w:tcBorders>
              <w:bottom w:val="single" w:sz="4" w:space="0" w:color="auto"/>
            </w:tcBorders>
            <w:shd w:val="clear" w:color="auto" w:fill="auto"/>
            <w:noWrap/>
            <w:vAlign w:val="center"/>
          </w:tcPr>
          <w:p w14:paraId="6394CA20" w14:textId="77777777" w:rsidR="00F23ADB" w:rsidRPr="00F378BF" w:rsidRDefault="00F23ADB" w:rsidP="00E5630E">
            <w:pPr>
              <w:spacing w:line="360" w:lineRule="auto"/>
              <w:jc w:val="right"/>
              <w:rPr>
                <w:sz w:val="18"/>
                <w:szCs w:val="18"/>
                <w:lang w:eastAsia="el-GR"/>
              </w:rPr>
            </w:pPr>
            <w:r>
              <w:rPr>
                <w:rFonts w:ascii="Calibri" w:hAnsi="Calibri"/>
                <w:color w:val="000000"/>
                <w:sz w:val="18"/>
                <w:szCs w:val="18"/>
              </w:rPr>
              <w:t>40</w:t>
            </w:r>
          </w:p>
        </w:tc>
      </w:tr>
      <w:tr w:rsidR="00F23ADB" w:rsidRPr="00F378BF" w14:paraId="7AFA2CAA" w14:textId="77777777" w:rsidTr="00E5630E">
        <w:trPr>
          <w:trHeight w:val="300"/>
        </w:trPr>
        <w:tc>
          <w:tcPr>
            <w:tcW w:w="3730" w:type="dxa"/>
            <w:shd w:val="clear" w:color="DCE6F1" w:fill="DCE6F1"/>
            <w:noWrap/>
            <w:vAlign w:val="bottom"/>
            <w:hideMark/>
          </w:tcPr>
          <w:p w14:paraId="4F224495" w14:textId="77777777" w:rsidR="00F23ADB" w:rsidRPr="00F378BF" w:rsidRDefault="00F23ADB" w:rsidP="00E5630E">
            <w:pPr>
              <w:spacing w:line="360" w:lineRule="auto"/>
              <w:rPr>
                <w:b/>
                <w:sz w:val="18"/>
                <w:szCs w:val="18"/>
                <w:lang w:eastAsia="el-GR"/>
              </w:rPr>
            </w:pPr>
            <w:r w:rsidRPr="00F378BF">
              <w:rPr>
                <w:b/>
                <w:sz w:val="18"/>
                <w:szCs w:val="18"/>
                <w:lang w:eastAsia="el-GR"/>
              </w:rPr>
              <w:t>Σύνολο</w:t>
            </w:r>
          </w:p>
        </w:tc>
        <w:tc>
          <w:tcPr>
            <w:tcW w:w="1240" w:type="dxa"/>
            <w:shd w:val="clear" w:color="DCE6F1" w:fill="DCE6F1"/>
            <w:noWrap/>
            <w:vAlign w:val="bottom"/>
            <w:hideMark/>
          </w:tcPr>
          <w:p w14:paraId="70ADDF0B" w14:textId="77777777" w:rsidR="00F23ADB" w:rsidRPr="00F378BF" w:rsidRDefault="00F23ADB" w:rsidP="00E5630E">
            <w:pPr>
              <w:spacing w:line="360" w:lineRule="auto"/>
              <w:jc w:val="right"/>
              <w:rPr>
                <w:b/>
                <w:sz w:val="18"/>
                <w:szCs w:val="18"/>
                <w:lang w:eastAsia="el-GR"/>
              </w:rPr>
            </w:pPr>
            <w:r w:rsidRPr="00F378BF">
              <w:rPr>
                <w:b/>
                <w:sz w:val="18"/>
                <w:szCs w:val="18"/>
              </w:rPr>
              <w:fldChar w:fldCharType="begin"/>
            </w:r>
            <w:r w:rsidRPr="00F378BF">
              <w:rPr>
                <w:b/>
                <w:sz w:val="18"/>
                <w:szCs w:val="18"/>
              </w:rPr>
              <w:instrText xml:space="preserve"> =SUM(ABOVE) </w:instrText>
            </w:r>
            <w:r w:rsidRPr="00F378BF">
              <w:rPr>
                <w:b/>
                <w:sz w:val="18"/>
                <w:szCs w:val="18"/>
              </w:rPr>
              <w:fldChar w:fldCharType="separate"/>
            </w:r>
            <w:r w:rsidRPr="00F378BF">
              <w:rPr>
                <w:b/>
                <w:noProof/>
                <w:sz w:val="18"/>
                <w:szCs w:val="18"/>
              </w:rPr>
              <w:t>4.038</w:t>
            </w:r>
            <w:r w:rsidRPr="00F378BF">
              <w:rPr>
                <w:b/>
                <w:sz w:val="18"/>
                <w:szCs w:val="18"/>
              </w:rPr>
              <w:fldChar w:fldCharType="end"/>
            </w:r>
          </w:p>
        </w:tc>
        <w:tc>
          <w:tcPr>
            <w:tcW w:w="1240" w:type="dxa"/>
            <w:shd w:val="clear" w:color="DCE6F1" w:fill="DCE6F1"/>
            <w:noWrap/>
            <w:vAlign w:val="bottom"/>
            <w:hideMark/>
          </w:tcPr>
          <w:p w14:paraId="59529DCF" w14:textId="77777777" w:rsidR="00F23ADB" w:rsidRPr="00F378BF" w:rsidRDefault="00F23ADB" w:rsidP="00E5630E">
            <w:pPr>
              <w:spacing w:line="360" w:lineRule="auto"/>
              <w:jc w:val="right"/>
              <w:rPr>
                <w:b/>
                <w:sz w:val="18"/>
                <w:szCs w:val="18"/>
                <w:lang w:eastAsia="el-GR"/>
              </w:rPr>
            </w:pPr>
            <w:r w:rsidRPr="00F378BF">
              <w:rPr>
                <w:b/>
                <w:sz w:val="18"/>
                <w:szCs w:val="18"/>
              </w:rPr>
              <w:fldChar w:fldCharType="begin"/>
            </w:r>
            <w:r w:rsidRPr="00F378BF">
              <w:rPr>
                <w:b/>
                <w:sz w:val="18"/>
                <w:szCs w:val="18"/>
              </w:rPr>
              <w:instrText xml:space="preserve"> =SUM(ABOVE) </w:instrText>
            </w:r>
            <w:r w:rsidRPr="00F378BF">
              <w:rPr>
                <w:b/>
                <w:sz w:val="18"/>
                <w:szCs w:val="18"/>
              </w:rPr>
              <w:fldChar w:fldCharType="separate"/>
            </w:r>
            <w:r w:rsidRPr="00F378BF">
              <w:rPr>
                <w:b/>
                <w:noProof/>
                <w:sz w:val="18"/>
                <w:szCs w:val="18"/>
              </w:rPr>
              <w:t>2.733</w:t>
            </w:r>
            <w:r w:rsidRPr="00F378BF">
              <w:rPr>
                <w:b/>
                <w:sz w:val="18"/>
                <w:szCs w:val="18"/>
              </w:rPr>
              <w:fldChar w:fldCharType="end"/>
            </w:r>
          </w:p>
        </w:tc>
        <w:tc>
          <w:tcPr>
            <w:tcW w:w="1240" w:type="dxa"/>
            <w:shd w:val="clear" w:color="DCE6F1" w:fill="DCE6F1"/>
            <w:noWrap/>
            <w:vAlign w:val="bottom"/>
            <w:hideMark/>
          </w:tcPr>
          <w:p w14:paraId="517CEEEE" w14:textId="77777777" w:rsidR="00F23ADB" w:rsidRPr="00F378BF" w:rsidRDefault="00F23ADB" w:rsidP="00E5630E">
            <w:pPr>
              <w:spacing w:line="360" w:lineRule="auto"/>
              <w:jc w:val="right"/>
              <w:rPr>
                <w:b/>
                <w:sz w:val="18"/>
                <w:szCs w:val="18"/>
                <w:lang w:eastAsia="el-GR"/>
              </w:rPr>
            </w:pPr>
            <w:r w:rsidRPr="00F378BF">
              <w:rPr>
                <w:b/>
                <w:sz w:val="18"/>
                <w:szCs w:val="18"/>
              </w:rPr>
              <w:fldChar w:fldCharType="begin"/>
            </w:r>
            <w:r w:rsidRPr="00F378BF">
              <w:rPr>
                <w:b/>
                <w:sz w:val="18"/>
                <w:szCs w:val="18"/>
              </w:rPr>
              <w:instrText xml:space="preserve"> =SUM(ABOVE) </w:instrText>
            </w:r>
            <w:r w:rsidRPr="00F378BF">
              <w:rPr>
                <w:b/>
                <w:sz w:val="18"/>
                <w:szCs w:val="18"/>
              </w:rPr>
              <w:fldChar w:fldCharType="separate"/>
            </w:r>
            <w:r w:rsidRPr="00F378BF">
              <w:rPr>
                <w:b/>
                <w:noProof/>
                <w:sz w:val="18"/>
                <w:szCs w:val="18"/>
              </w:rPr>
              <w:t>11.625</w:t>
            </w:r>
            <w:r w:rsidRPr="00F378BF">
              <w:rPr>
                <w:b/>
                <w:sz w:val="18"/>
                <w:szCs w:val="18"/>
              </w:rPr>
              <w:fldChar w:fldCharType="end"/>
            </w:r>
          </w:p>
        </w:tc>
        <w:tc>
          <w:tcPr>
            <w:tcW w:w="1241" w:type="dxa"/>
            <w:shd w:val="clear" w:color="DCE6F1" w:fill="DCE6F1"/>
            <w:noWrap/>
            <w:vAlign w:val="bottom"/>
            <w:hideMark/>
          </w:tcPr>
          <w:p w14:paraId="40E70D68" w14:textId="77777777" w:rsidR="00F23ADB" w:rsidRPr="00F378BF" w:rsidRDefault="00F23ADB" w:rsidP="00E5630E">
            <w:pPr>
              <w:spacing w:line="360" w:lineRule="auto"/>
              <w:jc w:val="right"/>
              <w:rPr>
                <w:b/>
                <w:sz w:val="18"/>
                <w:szCs w:val="18"/>
                <w:lang w:eastAsia="el-GR"/>
              </w:rPr>
            </w:pPr>
            <w:r w:rsidRPr="00F378BF">
              <w:rPr>
                <w:b/>
                <w:sz w:val="18"/>
                <w:szCs w:val="18"/>
              </w:rPr>
              <w:fldChar w:fldCharType="begin"/>
            </w:r>
            <w:r w:rsidRPr="00F378BF">
              <w:rPr>
                <w:b/>
                <w:sz w:val="18"/>
                <w:szCs w:val="18"/>
              </w:rPr>
              <w:instrText xml:space="preserve"> =SUM(ABOVE) </w:instrText>
            </w:r>
            <w:r w:rsidRPr="00F378BF">
              <w:rPr>
                <w:b/>
                <w:sz w:val="18"/>
                <w:szCs w:val="18"/>
              </w:rPr>
              <w:fldChar w:fldCharType="separate"/>
            </w:r>
            <w:r w:rsidRPr="00F378BF">
              <w:rPr>
                <w:b/>
                <w:noProof/>
                <w:sz w:val="18"/>
                <w:szCs w:val="18"/>
              </w:rPr>
              <w:t>18.396</w:t>
            </w:r>
            <w:r w:rsidRPr="00F378BF">
              <w:rPr>
                <w:b/>
                <w:sz w:val="18"/>
                <w:szCs w:val="18"/>
              </w:rPr>
              <w:fldChar w:fldCharType="end"/>
            </w:r>
          </w:p>
        </w:tc>
      </w:tr>
    </w:tbl>
    <w:p w14:paraId="6A906673" w14:textId="77777777" w:rsidR="00F23ADB" w:rsidRPr="00C11A76" w:rsidRDefault="00F23ADB" w:rsidP="00F23ADB">
      <w:pPr>
        <w:spacing w:line="360" w:lineRule="auto"/>
      </w:pPr>
      <w:r>
        <w:t>Όπως</w:t>
      </w:r>
      <w:r w:rsidRPr="00C11A76">
        <w:t xml:space="preserve"> φαίνεται</w:t>
      </w:r>
      <w:r>
        <w:t>, υπάρχει σαφής</w:t>
      </w:r>
      <w:r w:rsidRPr="00C11A76">
        <w:t xml:space="preserve"> η προτίμηση στη χρονική διάρκεια δανείου έξι ετών</w:t>
      </w:r>
      <w:r>
        <w:t>.</w:t>
      </w:r>
      <w:r w:rsidRPr="00C11A76">
        <w:t xml:space="preserve"> </w:t>
      </w:r>
    </w:p>
    <w:p w14:paraId="40B72ACF" w14:textId="77777777" w:rsidR="00F23ADB" w:rsidRPr="00C11A76" w:rsidRDefault="00F23ADB" w:rsidP="00F23ADB">
      <w:pPr>
        <w:spacing w:line="360" w:lineRule="auto"/>
        <w:rPr>
          <w:b/>
        </w:rPr>
      </w:pPr>
    </w:p>
    <w:p w14:paraId="4DF229A8" w14:textId="77777777" w:rsidR="00F23ADB" w:rsidRDefault="00F23ADB" w:rsidP="00F23ADB">
      <w:pPr>
        <w:spacing w:line="360" w:lineRule="auto"/>
      </w:pPr>
      <w:r w:rsidRPr="00C11A76">
        <w:t xml:space="preserve">Όσον αφορά στον Β΄ Κύκλο του </w:t>
      </w:r>
      <w:r w:rsidR="00971D9A">
        <w:t>Προγράμματος</w:t>
      </w:r>
      <w:r w:rsidRPr="00C11A76">
        <w:t>, το ποσοστό των αιτήσεων που ζήτησαν δάνειο ανέρχεται σε 64%. Σύμφωνα με στοιχεία των τραπεζών</w:t>
      </w:r>
      <w:r>
        <w:rPr>
          <w:rStyle w:val="ac"/>
        </w:rPr>
        <w:footnoteReference w:id="27"/>
      </w:r>
      <w:r w:rsidRPr="00C11A76">
        <w:t xml:space="preserve"> εγκρίνεται το 65% αυτών.</w:t>
      </w:r>
    </w:p>
    <w:p w14:paraId="5E34DF6E" w14:textId="77777777" w:rsidR="00F23ADB" w:rsidRPr="00C11A76" w:rsidRDefault="00F23ADB" w:rsidP="00F23ADB">
      <w:pPr>
        <w:spacing w:line="360" w:lineRule="auto"/>
      </w:pPr>
      <w:r w:rsidRPr="00C11A76">
        <w:t xml:space="preserve">Αναφορικά με τα </w:t>
      </w:r>
      <w:r w:rsidRPr="00C11A76">
        <w:rPr>
          <w:bCs/>
        </w:rPr>
        <w:t>βασικά χαρακτηριστικά του δανείου</w:t>
      </w:r>
      <w:r w:rsidRPr="00C11A76">
        <w:rPr>
          <w:b/>
          <w:bCs/>
        </w:rPr>
        <w:t xml:space="preserve"> </w:t>
      </w:r>
      <w:r w:rsidRPr="00C11A76">
        <w:t xml:space="preserve">που λαμβάνει χώρα, οι όροι του (διάρκεια δανείου, ύψος επιτοκίου, </w:t>
      </w:r>
      <w:r w:rsidR="00DC12D0">
        <w:t>π</w:t>
      </w:r>
      <w:r w:rsidR="00EB38B3">
        <w:t>ερίοδος</w:t>
      </w:r>
      <w:r w:rsidRPr="00C11A76">
        <w:t xml:space="preserve"> χάριτος </w:t>
      </w:r>
      <w:proofErr w:type="spellStart"/>
      <w:r w:rsidRPr="00C11A76">
        <w:t>κλπ</w:t>
      </w:r>
      <w:proofErr w:type="spellEnd"/>
      <w:r w:rsidRPr="00C11A76">
        <w:t xml:space="preserve">) έχουν συμπεριληφθεί αναλυτικά στις </w:t>
      </w:r>
      <w:r w:rsidRPr="00C11A76">
        <w:lastRenderedPageBreak/>
        <w:t xml:space="preserve">Επιχειρησιακές Συμφωνίες που έχει πλέον συνάψει ο διαχειριστής του Ταμείου, με τους χρηματοπιστωτικούς οργανισμούς. </w:t>
      </w:r>
    </w:p>
    <w:p w14:paraId="2D6C7127" w14:textId="77777777" w:rsidR="00F23ADB" w:rsidRPr="00C11A76" w:rsidRDefault="00F23ADB" w:rsidP="00F23ADB">
      <w:pPr>
        <w:spacing w:line="360" w:lineRule="auto"/>
      </w:pPr>
      <w:r w:rsidRPr="00C11A76">
        <w:t>Αναφορικά με τα διαχειριστικά κόστη του διαχειριστή του Ταμείου</w:t>
      </w:r>
      <w:r w:rsidRPr="00C11A76">
        <w:rPr>
          <w:b/>
          <w:bCs/>
          <w:i/>
          <w:iCs/>
        </w:rPr>
        <w:t xml:space="preserve">, </w:t>
      </w:r>
      <w:r w:rsidRPr="00C11A76">
        <w:t xml:space="preserve">αυτά δύναται να καλύπτουν </w:t>
      </w:r>
      <w:r w:rsidRPr="00D57E35">
        <w:t>όλες τις πραγματικές δαπάνες που πραγματοποι</w:t>
      </w:r>
      <w:r>
        <w:t xml:space="preserve">ούν οι φορείς υλοποίησης του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rsidR="004C42EA" w:rsidRPr="00C11A76">
        <w:t xml:space="preserve"> </w:t>
      </w:r>
      <w:r w:rsidRPr="00D57E35">
        <w:t xml:space="preserve">και είναι απαραίτητες για υλοποίηση </w:t>
      </w:r>
      <w:r>
        <w:t xml:space="preserve">του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t xml:space="preserve">. </w:t>
      </w:r>
      <w:r w:rsidRPr="00D57E35">
        <w:t xml:space="preserve">Ενδεικτικές μορφές </w:t>
      </w:r>
      <w:r w:rsidRPr="00C47201">
        <w:t>τέτοιων δαπανών είναι οι παρακάτω</w:t>
      </w:r>
      <w:r>
        <w:rPr>
          <w:rStyle w:val="ac"/>
        </w:rPr>
        <w:footnoteReference w:id="28"/>
      </w:r>
      <w:r w:rsidRPr="00C47201">
        <w:t>:</w:t>
      </w:r>
      <w:r w:rsidRPr="00C11A76">
        <w:t xml:space="preserve"> </w:t>
      </w:r>
    </w:p>
    <w:p w14:paraId="343DB81D" w14:textId="77777777" w:rsidR="00F23ADB" w:rsidRPr="00C11A76" w:rsidRDefault="00F23ADB" w:rsidP="00F23ADB">
      <w:pPr>
        <w:pStyle w:val="a3"/>
        <w:numPr>
          <w:ilvl w:val="0"/>
          <w:numId w:val="31"/>
        </w:numPr>
        <w:spacing w:line="360" w:lineRule="auto"/>
      </w:pPr>
      <w:r w:rsidRPr="00C11A76">
        <w:t xml:space="preserve">αμοιβές προσωπικού που εμπλέκεται στην αξιολόγηση, υπαγωγή, παρακολούθηση, διαχείριση και διενέργεια διοικητικών και επιτόπιων επαληθεύσεων των παρεμβάσεων εξοικονόμησης ενέργειας στις κατοικίες. </w:t>
      </w:r>
    </w:p>
    <w:p w14:paraId="3ECD0D4C" w14:textId="77777777" w:rsidR="00F23ADB" w:rsidRPr="00C11A76" w:rsidRDefault="00F23ADB" w:rsidP="00F23ADB">
      <w:pPr>
        <w:pStyle w:val="a3"/>
        <w:numPr>
          <w:ilvl w:val="0"/>
          <w:numId w:val="31"/>
        </w:numPr>
        <w:spacing w:line="360" w:lineRule="auto"/>
      </w:pPr>
      <w:r w:rsidRPr="00C11A76">
        <w:t xml:space="preserve">αμοιβές προς τρίτους που αφορούν τη διαχείριση του Ταμείου, </w:t>
      </w:r>
      <w:r w:rsidRPr="000B4C6F">
        <w:t>που αποδεδειγμένα απαιτούνται για την απρόσκοπτη υλοποίηση των χρηματοδοτικών προϊόντων και οι οποίες δεν δύνανται να υλοποιηθούν με ίδια μέσα από την Ε.Τ.Ε.ΑΝ. Α.Ε.</w:t>
      </w:r>
      <w:r>
        <w:t xml:space="preserve"> </w:t>
      </w:r>
      <w:r w:rsidRPr="00C11A76">
        <w:t xml:space="preserve">όπως η ανάπτυξη ενός ολοκληρωμένου πληροφοριακού συστήματος. </w:t>
      </w:r>
    </w:p>
    <w:p w14:paraId="5B83F180" w14:textId="77777777" w:rsidR="00F23ADB" w:rsidRPr="00C11A76" w:rsidRDefault="00F23ADB" w:rsidP="00F23ADB">
      <w:pPr>
        <w:pStyle w:val="a3"/>
        <w:numPr>
          <w:ilvl w:val="0"/>
          <w:numId w:val="31"/>
        </w:numPr>
        <w:spacing w:line="360" w:lineRule="auto"/>
      </w:pPr>
      <w:r w:rsidRPr="00C11A76">
        <w:t>δαπάνες αναλωσίμων απαραίτητων για τη διαχείριση του Ταμείου, δαπάνες ταξιδιών, διαμονής αλλά και</w:t>
      </w:r>
      <w:r w:rsidR="00277CF4">
        <w:t xml:space="preserve"> έξοδα άμεσα συνδεδεμένα με το Πρόγραμμα </w:t>
      </w:r>
      <w:r w:rsidRPr="00C11A76">
        <w:t xml:space="preserve">(π.χ. συμμετοχή σε συνέδρια για </w:t>
      </w:r>
      <w:r w:rsidR="004C42EA" w:rsidRPr="004C42EA">
        <w:t>Χρηματοοικονομικ</w:t>
      </w:r>
      <w:r w:rsidR="004C42EA">
        <w:t>ά</w:t>
      </w:r>
      <w:r w:rsidR="004C42EA" w:rsidRPr="004C42EA">
        <w:t xml:space="preserve"> Εργαλεί</w:t>
      </w:r>
      <w:r w:rsidR="004C42EA">
        <w:t>α</w:t>
      </w:r>
      <w:r w:rsidR="004C42EA" w:rsidRPr="004C42EA">
        <w:t xml:space="preserve"> (FI)</w:t>
      </w:r>
      <w:r w:rsidR="004C42EA">
        <w:t xml:space="preserve"> </w:t>
      </w:r>
      <w:r w:rsidR="004C42EA" w:rsidRPr="00C11A76">
        <w:t xml:space="preserve"> </w:t>
      </w:r>
      <w:r w:rsidRPr="00C11A76">
        <w:t xml:space="preserve">, διενέργεια επιτόπιων ελέγχων </w:t>
      </w:r>
      <w:proofErr w:type="spellStart"/>
      <w:r w:rsidRPr="00C11A76">
        <w:t>κτλ</w:t>
      </w:r>
      <w:proofErr w:type="spellEnd"/>
      <w:r w:rsidRPr="00C11A76">
        <w:t xml:space="preserve">). </w:t>
      </w:r>
    </w:p>
    <w:p w14:paraId="6FD4B3FB" w14:textId="77777777" w:rsidR="00F23ADB" w:rsidRDefault="00F23ADB" w:rsidP="00F23ADB">
      <w:pPr>
        <w:pStyle w:val="a3"/>
        <w:numPr>
          <w:ilvl w:val="0"/>
          <w:numId w:val="31"/>
        </w:numPr>
        <w:spacing w:line="360" w:lineRule="auto"/>
      </w:pPr>
      <w:r>
        <w:t>γ</w:t>
      </w:r>
      <w:r w:rsidRPr="00D57E35">
        <w:t xml:space="preserve">ενικά (έμμεσα) έξοδα </w:t>
      </w:r>
      <w:r>
        <w:t xml:space="preserve">για την υλοποίηση του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rsidR="004C42EA" w:rsidRPr="00C11A76">
        <w:t xml:space="preserve"> </w:t>
      </w:r>
      <w:r>
        <w:t>(</w:t>
      </w:r>
      <w:r w:rsidRPr="00D57E35">
        <w:t>όπως π.χ. ενοίκια, ηλεκτρικό,</w:t>
      </w:r>
      <w:r>
        <w:t xml:space="preserve"> θέρμανση, έξοδα διοίκησης) , υπό την προϋπόθεση ότι βασίζονται σε πραγματικά κόστη και κατανέμονται</w:t>
      </w:r>
      <w:r w:rsidRPr="00D57E35">
        <w:t xml:space="preserve"> κατ’</w:t>
      </w:r>
      <w:r>
        <w:t xml:space="preserve"> </w:t>
      </w:r>
      <w:r w:rsidRPr="00D57E35">
        <w:t>αναλογία</w:t>
      </w:r>
      <w:r>
        <w:t xml:space="preserve"> στο </w:t>
      </w:r>
      <w:r w:rsidR="004C42EA">
        <w:rPr>
          <w:lang w:val="en-US"/>
        </w:rPr>
        <w:t>FI</w:t>
      </w:r>
      <w:r w:rsidRPr="00D57E35">
        <w:t>, σύμφωνα με δίκαιη και δεόντως αιτιολογημένη μέθοδο κατανομής.</w:t>
      </w:r>
    </w:p>
    <w:p w14:paraId="4E09A762" w14:textId="77777777" w:rsidR="00F23ADB" w:rsidRPr="00C11A76" w:rsidRDefault="00F23ADB" w:rsidP="00F23ADB">
      <w:pPr>
        <w:spacing w:line="360" w:lineRule="auto"/>
      </w:pPr>
      <w:r w:rsidRPr="00C11A76">
        <w:t>Τα κόστη αυτά υπολογίζονται</w:t>
      </w:r>
      <w:r>
        <w:t xml:space="preserve"> ως ποσοστό του κεφαλαίου του Ταμείου κατά το χρόνο λειτουργίας του ταμείου έως </w:t>
      </w:r>
      <w:r w:rsidRPr="0012763C">
        <w:t>το όριο του 7% (</w:t>
      </w:r>
      <w:proofErr w:type="spellStart"/>
      <w:r w:rsidRPr="0012763C">
        <w:t>general</w:t>
      </w:r>
      <w:proofErr w:type="spellEnd"/>
      <w:r w:rsidRPr="0012763C">
        <w:t xml:space="preserve"> </w:t>
      </w:r>
      <w:proofErr w:type="spellStart"/>
      <w:r w:rsidRPr="0012763C">
        <w:t>cap</w:t>
      </w:r>
      <w:proofErr w:type="spellEnd"/>
      <w:r w:rsidRPr="0012763C">
        <w:t xml:space="preserve"> </w:t>
      </w:r>
      <w:proofErr w:type="spellStart"/>
      <w:r w:rsidRPr="0012763C">
        <w:t>rate</w:t>
      </w:r>
      <w:proofErr w:type="spellEnd"/>
      <w:r w:rsidRPr="0012763C">
        <w:t>) που τίθεται στους σχετικούς Κανονισμούς (</w:t>
      </w:r>
      <w:r w:rsidR="0062368F">
        <w:t>Ε.Ε.</w:t>
      </w:r>
      <w:r w:rsidRPr="0012763C">
        <w:t>)</w:t>
      </w:r>
      <w:r>
        <w:t>. Η εκτίμηση για τα διαχειριστικά κόστη στην</w:t>
      </w:r>
      <w:r w:rsidRPr="00C11A76">
        <w:t xml:space="preserve"> χρονική </w:t>
      </w:r>
      <w:r w:rsidR="00EB38B3">
        <w:t>Περίοδο</w:t>
      </w:r>
      <w:r w:rsidRPr="00C11A76">
        <w:t xml:space="preserve"> 2014 – 2020 </w:t>
      </w:r>
      <w:r>
        <w:t xml:space="preserve">είναι </w:t>
      </w:r>
      <w:r w:rsidRPr="00C11A76">
        <w:t xml:space="preserve">πως θα ανέλθουν στα </w:t>
      </w:r>
      <w:r>
        <w:t>~</w:t>
      </w:r>
      <w:r w:rsidRPr="00C11A76">
        <w:t xml:space="preserve">2 εκατ.€. </w:t>
      </w:r>
    </w:p>
    <w:p w14:paraId="63673689" w14:textId="77777777" w:rsidR="00F23ADB" w:rsidRPr="00C11A76" w:rsidRDefault="00F23ADB" w:rsidP="00DC12D0">
      <w:pPr>
        <w:pStyle w:val="4"/>
      </w:pPr>
      <w:bookmarkStart w:id="53" w:name="_Toc464038686"/>
      <w:r w:rsidRPr="00C11A76">
        <w:t xml:space="preserve">Χρηματοπιστωτικά Ιδρύματα - </w:t>
      </w:r>
      <w:proofErr w:type="spellStart"/>
      <w:r w:rsidRPr="00C11A76">
        <w:t>Μόχλευση</w:t>
      </w:r>
      <w:bookmarkEnd w:id="53"/>
      <w:proofErr w:type="spellEnd"/>
      <w:r w:rsidRPr="00C11A76">
        <w:t xml:space="preserve"> </w:t>
      </w:r>
    </w:p>
    <w:p w14:paraId="09A4211B" w14:textId="77777777" w:rsidR="00F23ADB" w:rsidRPr="00C11A76" w:rsidRDefault="00F23ADB" w:rsidP="00F23ADB">
      <w:pPr>
        <w:spacing w:line="360" w:lineRule="auto"/>
      </w:pPr>
      <w:r w:rsidRPr="00C11A76">
        <w:t xml:space="preserve">Το ζήτημα της </w:t>
      </w:r>
      <w:proofErr w:type="spellStart"/>
      <w:r w:rsidRPr="00C11A76">
        <w:t>μόχλευσης</w:t>
      </w:r>
      <w:proofErr w:type="spellEnd"/>
      <w:r w:rsidRPr="00C11A76">
        <w:t xml:space="preserve"> έχει αναλυθεί στην προηγούμενη </w:t>
      </w:r>
      <w:proofErr w:type="spellStart"/>
      <w:r w:rsidRPr="00C11A76">
        <w:t>επικαιροποίηση</w:t>
      </w:r>
      <w:proofErr w:type="spellEnd"/>
      <w:r w:rsidRPr="00C11A76">
        <w:t xml:space="preserve"> της παρούσας έκθεσης. Το </w:t>
      </w:r>
      <w:r w:rsidR="00971D9A">
        <w:t>Πρόγραμμα</w:t>
      </w:r>
      <w:r w:rsidRPr="00C11A76">
        <w:t xml:space="preserve"> της τρέχουσας </w:t>
      </w:r>
      <w:r w:rsidR="00E5630E">
        <w:t>Προγραμματ</w:t>
      </w:r>
      <w:r w:rsidRPr="00C11A76">
        <w:t xml:space="preserve">ικής </w:t>
      </w:r>
      <w:r w:rsidR="00EB38B3">
        <w:t>Περιόδου</w:t>
      </w:r>
      <w:r w:rsidRPr="00C11A76">
        <w:t xml:space="preserve">, με την ως τώρα πορεία του, έδειξε ότι δείκτης </w:t>
      </w:r>
      <w:proofErr w:type="spellStart"/>
      <w:r w:rsidRPr="00C11A76">
        <w:t>μόχλευσης</w:t>
      </w:r>
      <w:proofErr w:type="spellEnd"/>
      <w:r w:rsidRPr="00C11A76">
        <w:t xml:space="preserve"> 2 (δηλαδή 1-ταμείο/2-χρηματοπιστωτικά ιδρύματα) διαμόρφωσε σημαντική συνεισφορά των χρηματοπιστωτικών ιδρυμάτων. </w:t>
      </w:r>
    </w:p>
    <w:p w14:paraId="7896BB88" w14:textId="77777777" w:rsidR="00F23ADB" w:rsidRPr="00C11A76" w:rsidRDefault="00F23ADB" w:rsidP="00F23ADB">
      <w:pPr>
        <w:spacing w:line="360" w:lineRule="auto"/>
      </w:pPr>
      <w:r w:rsidRPr="00C11A76">
        <w:lastRenderedPageBreak/>
        <w:t xml:space="preserve">Λαμβάνεται υπόψη ότι στο </w:t>
      </w:r>
      <w:proofErr w:type="spellStart"/>
      <w:r w:rsidRPr="00C11A76">
        <w:t>συσταθέν</w:t>
      </w:r>
      <w:proofErr w:type="spellEnd"/>
      <w:r w:rsidRPr="00C11A76">
        <w:t xml:space="preserve"> «Ταμείο Εξοικονομώ ΙΙ» συμβάλλει και το «Ταμείο Εξοικονομώ» με πόρους από τις επιστροφές των ενισχύσεων του αντίστοιχου </w:t>
      </w:r>
      <w:r w:rsidR="00971D9A">
        <w:t>Προγράμματος</w:t>
      </w:r>
      <w:r w:rsidRPr="00C11A76">
        <w:t xml:space="preserve"> του ΕΣΠΑ 2007-2013.</w:t>
      </w:r>
      <w:r w:rsidRPr="00C11A76">
        <w:rPr>
          <w:rStyle w:val="ac"/>
        </w:rPr>
        <w:footnoteReference w:id="29"/>
      </w:r>
    </w:p>
    <w:p w14:paraId="49A54F7C" w14:textId="77777777" w:rsidR="00F23ADB" w:rsidRPr="00C11A76" w:rsidRDefault="00F23ADB" w:rsidP="00F23ADB">
      <w:pPr>
        <w:spacing w:line="360" w:lineRule="auto"/>
      </w:pPr>
      <w:bookmarkStart w:id="54" w:name="_Toc464038687"/>
      <w:r w:rsidRPr="00C11A76">
        <w:t>Ενίσχυση του  υφιστάμενου Ταμείου για την εξοικονόμηση ενέργειας στον οικιακό τομέα με πόρους ΕΔΕΤ.</w:t>
      </w:r>
    </w:p>
    <w:bookmarkEnd w:id="54"/>
    <w:p w14:paraId="65E72448" w14:textId="77777777" w:rsidR="00F23ADB" w:rsidRPr="00C11A76" w:rsidRDefault="00F23ADB" w:rsidP="00F23ADB">
      <w:pPr>
        <w:spacing w:line="360" w:lineRule="auto"/>
      </w:pPr>
      <w:r w:rsidRPr="00C11A76">
        <w:t xml:space="preserve">Η </w:t>
      </w:r>
      <w:r w:rsidRPr="00C11A76">
        <w:rPr>
          <w:bCs/>
        </w:rPr>
        <w:t>κεντρική προσέγγιση</w:t>
      </w:r>
      <w:r w:rsidRPr="00C11A76">
        <w:rPr>
          <w:b/>
          <w:bCs/>
        </w:rPr>
        <w:t xml:space="preserve"> </w:t>
      </w:r>
      <w:r w:rsidRPr="00C11A76">
        <w:t xml:space="preserve">αφορά στην ενίσχυση του ισχύοντος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rsidRPr="00C11A76">
        <w:t xml:space="preserve"> με πόρους της </w:t>
      </w:r>
      <w:r w:rsidR="00E5630E">
        <w:t>Προγραμματ</w:t>
      </w:r>
      <w:r w:rsidRPr="00C11A76">
        <w:t xml:space="preserve">ικής </w:t>
      </w:r>
      <w:r w:rsidR="00EB38B3">
        <w:t>Περιόδου</w:t>
      </w:r>
      <w:r w:rsidRPr="00C11A76">
        <w:t xml:space="preserve"> 2014 - 2020. Σε αυτή την περίπτωση, οι πηγές χρηματοδότησης για την ενίσχυση του </w:t>
      </w:r>
      <w:proofErr w:type="spellStart"/>
      <w:r w:rsidRPr="00C11A76">
        <w:t>συσταθέντος</w:t>
      </w:r>
      <w:proofErr w:type="spellEnd"/>
      <w:r w:rsidRPr="00C11A76">
        <w:t xml:space="preserve"> Ταμείου για τις παρεμβάσεις εξοικονόμησης ενέργειας στον οικιακό τομέα, καθορίζονται από τους διαθέσιμους πόρους του Επιχειρησιακού </w:t>
      </w:r>
      <w:r w:rsidR="00971D9A">
        <w:t>Προγράμματος</w:t>
      </w:r>
      <w:r w:rsidRPr="00C11A76">
        <w:t xml:space="preserve"> «Ανταγωνιστικότητα, Επιχειρηματικότητα και Καινοτομία», καθώς υπάρχει σχετική πρόβλεψη στο εν λόγω Επιχειρησιακό </w:t>
      </w:r>
      <w:r w:rsidR="00971D9A">
        <w:t>Πρόγραμμα</w:t>
      </w:r>
      <w:r w:rsidRPr="00C11A76">
        <w:t>.</w:t>
      </w:r>
    </w:p>
    <w:p w14:paraId="6F67CEFF" w14:textId="77777777" w:rsidR="00F23ADB" w:rsidRPr="00C11A76" w:rsidRDefault="00F23ADB" w:rsidP="00F23ADB">
      <w:pPr>
        <w:spacing w:line="360" w:lineRule="auto"/>
      </w:pPr>
      <w:r w:rsidRPr="00C11A76">
        <w:t xml:space="preserve">Διατηρείται η λογική ότι οι ενισχύσεις για την ενεργειακή αναβάθμιση των κατοικιών καταβάλλονται από δύο διακριτές συγχρηματοδοτούμενες πράξεις (δεν λαμβάνεται υπόψη η οικονομική ενίσχυση του από τα Περιφερειακά Επιχειρησιακά </w:t>
      </w:r>
      <w:r w:rsidR="00E5630E">
        <w:t>Προγράμματ</w:t>
      </w:r>
      <w:r w:rsidRPr="00C11A76">
        <w:t xml:space="preserve">α (ΠΕΠ) της </w:t>
      </w:r>
      <w:r w:rsidR="00E5630E">
        <w:t>Προγραμματ</w:t>
      </w:r>
      <w:r w:rsidRPr="00C11A76">
        <w:t xml:space="preserve">ικής </w:t>
      </w:r>
      <w:r w:rsidR="00EB38B3">
        <w:t>Περιόδου</w:t>
      </w:r>
      <w:r w:rsidRPr="00C11A76">
        <w:t xml:space="preserve"> 2014–2020, καθώς αυτή η εκχώρηση πόρων στην ΕΥΔ </w:t>
      </w:r>
      <w:r w:rsidR="00B925F9">
        <w:t>ΕΠΑΝΕΚ</w:t>
      </w:r>
      <w:r w:rsidRPr="00C11A76">
        <w:t xml:space="preserve"> από τις αντίστοιχες επενδυτικές προτεραιότητες των ΠΕΠ δεν προβλέπεται από τις διατάξεις του άρθρου 13 του Ν4314/2014): </w:t>
      </w:r>
    </w:p>
    <w:p w14:paraId="7C7CFB9A" w14:textId="77777777" w:rsidR="00F23ADB" w:rsidRPr="003E53D4" w:rsidRDefault="00F23ADB" w:rsidP="00F23ADB">
      <w:pPr>
        <w:pStyle w:val="a3"/>
        <w:numPr>
          <w:ilvl w:val="0"/>
          <w:numId w:val="32"/>
        </w:numPr>
        <w:spacing w:line="360" w:lineRule="auto"/>
        <w:rPr>
          <w:bCs/>
        </w:rPr>
      </w:pPr>
      <w:r w:rsidRPr="00C11A76">
        <w:t>Η 1</w:t>
      </w:r>
      <w:r w:rsidRPr="003E53D4">
        <w:rPr>
          <w:vertAlign w:val="superscript"/>
        </w:rPr>
        <w:t>η</w:t>
      </w:r>
      <w:r w:rsidRPr="00C11A76">
        <w:t xml:space="preserve"> πράξη αφορά στην παροχή </w:t>
      </w:r>
      <w:r w:rsidRPr="003E53D4">
        <w:rPr>
          <w:bCs/>
        </w:rPr>
        <w:t xml:space="preserve">Άμεσης Επιχορήγησης Δημόσιας Δαπάνης για παρεμβάσεις εξοικονόμησης ενέργειας σε κατοικίες. </w:t>
      </w:r>
    </w:p>
    <w:p w14:paraId="61CD4398" w14:textId="77777777" w:rsidR="00F23ADB" w:rsidRPr="00C11A76" w:rsidRDefault="00F23ADB" w:rsidP="00F23ADB">
      <w:pPr>
        <w:pStyle w:val="a3"/>
        <w:numPr>
          <w:ilvl w:val="0"/>
          <w:numId w:val="32"/>
        </w:numPr>
        <w:spacing w:line="360" w:lineRule="auto"/>
      </w:pPr>
      <w:r w:rsidRPr="00C11A76">
        <w:t>Η 2η Πράξη αφορά στην ενίσχυση του υφιστάμενου μέσου χρηματοοικονομικής τεχνικής («Ταμείο Εξοικονομώ ΙΙ»), το οποίο δύναται να χρηματοδοτηθεί από :</w:t>
      </w:r>
    </w:p>
    <w:p w14:paraId="1AA719C7" w14:textId="77777777" w:rsidR="00F23ADB" w:rsidRPr="00C11A76" w:rsidRDefault="00F23ADB" w:rsidP="00F23ADB">
      <w:pPr>
        <w:pStyle w:val="a3"/>
        <w:numPr>
          <w:ilvl w:val="1"/>
          <w:numId w:val="33"/>
        </w:numPr>
        <w:spacing w:line="360" w:lineRule="auto"/>
      </w:pPr>
      <w:r w:rsidRPr="00C11A76">
        <w:t xml:space="preserve">πόρους που θα διατεθούν από τα ΕΔΕΤ της </w:t>
      </w:r>
      <w:r w:rsidR="00E5630E">
        <w:t>Προγραμματ</w:t>
      </w:r>
      <w:r w:rsidRPr="00C11A76">
        <w:t xml:space="preserve">ικής </w:t>
      </w:r>
      <w:r w:rsidR="00EB38B3">
        <w:t>Περιόδου</w:t>
      </w:r>
      <w:r w:rsidRPr="00C11A76">
        <w:t xml:space="preserve"> 2014-2020 (το ύψος των πόρων αυτών μεταβάλλεται ανά Κύκλο) και </w:t>
      </w:r>
    </w:p>
    <w:p w14:paraId="1794AEED" w14:textId="77777777" w:rsidR="00F23ADB" w:rsidRPr="00C11A76" w:rsidRDefault="00F23ADB" w:rsidP="00F23ADB">
      <w:pPr>
        <w:pStyle w:val="a3"/>
        <w:numPr>
          <w:ilvl w:val="1"/>
          <w:numId w:val="33"/>
        </w:numPr>
        <w:spacing w:line="360" w:lineRule="auto"/>
      </w:pPr>
      <w:r w:rsidRPr="00C11A76">
        <w:t xml:space="preserve">πόρους που προέρχονται από την επανατοποθέτηση κεφαλαίων από το ταμείο «Εξοικονομώ» της </w:t>
      </w:r>
      <w:r w:rsidR="00E5630E">
        <w:t>Προγραμματ</w:t>
      </w:r>
      <w:r w:rsidRPr="00C11A76">
        <w:t xml:space="preserve">ικής </w:t>
      </w:r>
      <w:r w:rsidR="00EB38B3">
        <w:t>Περιόδου</w:t>
      </w:r>
      <w:r w:rsidRPr="00C11A76">
        <w:t xml:space="preserve"> 2007-2013, όπως προβλέπεται από το άρθρο 9 της ΚΥΑ 31654/ΕΥΘΥ1415 (ΦΕΚ 1262/Β/2010). </w:t>
      </w:r>
    </w:p>
    <w:p w14:paraId="3E078673" w14:textId="77777777" w:rsidR="00F23ADB" w:rsidRPr="00C11A76" w:rsidRDefault="00F23ADB" w:rsidP="00F23ADB">
      <w:pPr>
        <w:pStyle w:val="a3"/>
        <w:numPr>
          <w:ilvl w:val="1"/>
          <w:numId w:val="33"/>
        </w:numPr>
        <w:spacing w:line="360" w:lineRule="auto"/>
      </w:pPr>
      <w:r w:rsidRPr="00C11A76">
        <w:t xml:space="preserve">από Εθνικούς πόρους του επιχειρησιακού </w:t>
      </w:r>
      <w:r w:rsidR="00971D9A">
        <w:t>Προγράμματος</w:t>
      </w:r>
      <w:r w:rsidRPr="00C11A76">
        <w:t xml:space="preserve"> </w:t>
      </w:r>
      <w:r w:rsidR="00B925F9">
        <w:t>ΕΠΑνΕΚ</w:t>
      </w:r>
    </w:p>
    <w:p w14:paraId="41BDC723" w14:textId="77777777" w:rsidR="00F23ADB" w:rsidRPr="00C11A76" w:rsidRDefault="00F23ADB" w:rsidP="00F23ADB">
      <w:pPr>
        <w:spacing w:line="360" w:lineRule="auto"/>
      </w:pPr>
      <w:r w:rsidRPr="00C11A76">
        <w:t xml:space="preserve">Στη συνολική χρηματοδότηση των ενισχύσεων θα πρέπει να συνυπολογισθεί και η </w:t>
      </w:r>
      <w:r w:rsidRPr="00C11A76">
        <w:rPr>
          <w:bCs/>
        </w:rPr>
        <w:t>συμμετοχή των δανειακών κεφαλαίων που προέρχονται από τα πιστωτικά ιδρύματα,</w:t>
      </w:r>
      <w:r w:rsidRPr="00C11A76">
        <w:rPr>
          <w:b/>
          <w:bCs/>
        </w:rPr>
        <w:t xml:space="preserve"> </w:t>
      </w:r>
      <w:r w:rsidRPr="00C11A76">
        <w:rPr>
          <w:bCs/>
        </w:rPr>
        <w:t>σύμφωνα με τον ήδη διαμορφωμένο</w:t>
      </w:r>
      <w:r w:rsidRPr="00C11A76">
        <w:rPr>
          <w:b/>
          <w:bCs/>
        </w:rPr>
        <w:t xml:space="preserve"> </w:t>
      </w:r>
      <w:r w:rsidRPr="00C11A76">
        <w:t xml:space="preserve">δείκτη </w:t>
      </w:r>
      <w:proofErr w:type="spellStart"/>
      <w:r w:rsidRPr="00C11A76">
        <w:t>μόχλευσης</w:t>
      </w:r>
      <w:proofErr w:type="spellEnd"/>
      <w:r w:rsidRPr="00C11A76">
        <w:t xml:space="preserve">. </w:t>
      </w:r>
    </w:p>
    <w:p w14:paraId="288D6FFE" w14:textId="77777777" w:rsidR="00F23ADB" w:rsidRPr="00C11A76" w:rsidRDefault="00F23ADB" w:rsidP="00F23ADB">
      <w:pPr>
        <w:spacing w:line="360" w:lineRule="auto"/>
      </w:pPr>
      <w:r w:rsidRPr="00C11A76">
        <w:lastRenderedPageBreak/>
        <w:t>Με βάση, λοιπόν, ότι:</w:t>
      </w:r>
    </w:p>
    <w:p w14:paraId="550E3ACA" w14:textId="77777777" w:rsidR="00F23ADB" w:rsidRPr="00C11A76" w:rsidRDefault="00F23ADB" w:rsidP="00DF5FE4">
      <w:pPr>
        <w:pStyle w:val="a3"/>
        <w:numPr>
          <w:ilvl w:val="0"/>
          <w:numId w:val="34"/>
        </w:numPr>
        <w:spacing w:before="60" w:line="360" w:lineRule="auto"/>
        <w:ind w:left="1134" w:hanging="357"/>
      </w:pPr>
      <w:r w:rsidRPr="00C11A76">
        <w:t xml:space="preserve">Το </w:t>
      </w:r>
      <w:r w:rsidR="00971D9A">
        <w:t>Πρόγραμμα</w:t>
      </w:r>
      <w:r w:rsidRPr="00C11A76">
        <w:t xml:space="preserve"> «Εξοικονόμηση </w:t>
      </w:r>
      <w:proofErr w:type="spellStart"/>
      <w:r w:rsidR="00EB38B3">
        <w:t>Κατ</w:t>
      </w:r>
      <w:proofErr w:type="spellEnd"/>
      <w:r w:rsidR="00EB38B3">
        <w:t xml:space="preserve">΄ </w:t>
      </w:r>
      <w:proofErr w:type="spellStart"/>
      <w:r w:rsidR="00EB38B3">
        <w:t>Οίκον</w:t>
      </w:r>
      <w:proofErr w:type="spellEnd"/>
      <w:r w:rsidRPr="00C11A76">
        <w:t xml:space="preserve"> ΙΙ» της </w:t>
      </w:r>
      <w:r w:rsidR="00E5630E">
        <w:t>Προγραμματ</w:t>
      </w:r>
      <w:r w:rsidRPr="00C11A76">
        <w:t xml:space="preserve">ικής </w:t>
      </w:r>
      <w:r w:rsidR="00EB38B3">
        <w:t>Περιόδου</w:t>
      </w:r>
      <w:r w:rsidRPr="00C11A76">
        <w:t xml:space="preserve"> 2014-2020 μέχρι σήμερα υλοποιείται σε δύο διακριτούς Κύκλους υποβολής αιτήσεων, τον Α΄ Κύκλο (έναρξη 3/2018) και τον </w:t>
      </w:r>
      <w:r w:rsidR="00B925F9">
        <w:t>Β’ Κύκλο</w:t>
      </w:r>
      <w:r w:rsidRPr="00C11A76">
        <w:t xml:space="preserve"> (έναρξη 9/2019).</w:t>
      </w:r>
    </w:p>
    <w:p w14:paraId="1DF23738" w14:textId="77777777" w:rsidR="00F23ADB" w:rsidRPr="00C11A76" w:rsidRDefault="00F23ADB" w:rsidP="00DF5FE4">
      <w:pPr>
        <w:pStyle w:val="a3"/>
        <w:numPr>
          <w:ilvl w:val="0"/>
          <w:numId w:val="34"/>
        </w:numPr>
        <w:spacing w:before="60" w:line="360" w:lineRule="auto"/>
        <w:ind w:left="1134" w:hanging="357"/>
      </w:pPr>
      <w:r w:rsidRPr="00C11A76">
        <w:t xml:space="preserve">Η δημόσια δαπάνη του </w:t>
      </w:r>
      <w:r w:rsidR="00B925F9">
        <w:t>ΕΠΑνΕΚ</w:t>
      </w:r>
      <w:r w:rsidRPr="00C11A76">
        <w:t xml:space="preserve"> για δράσεις εξοικονόμησης ενέργειας στον οικιακό τομέα ανέρχεται συνολικά για το </w:t>
      </w:r>
      <w:r w:rsidR="00971D9A">
        <w:t>Πρόγραμμα</w:t>
      </w:r>
      <w:r w:rsidRPr="00C11A76">
        <w:t xml:space="preserve"> στο ποσό των 602 εκ. €.</w:t>
      </w:r>
    </w:p>
    <w:p w14:paraId="703D1F08" w14:textId="77777777" w:rsidR="00F23ADB" w:rsidRPr="00C11A76" w:rsidRDefault="00F23ADB" w:rsidP="00DF5FE4">
      <w:pPr>
        <w:pStyle w:val="a3"/>
        <w:numPr>
          <w:ilvl w:val="0"/>
          <w:numId w:val="34"/>
        </w:numPr>
        <w:spacing w:before="60" w:line="360" w:lineRule="auto"/>
        <w:ind w:left="1134" w:hanging="357"/>
      </w:pPr>
      <w:r w:rsidRPr="00C11A76">
        <w:t xml:space="preserve">Η δημόσια δαπάνη είναι διακριτή για το </w:t>
      </w:r>
      <w:r w:rsidR="00971D9A">
        <w:t>Πρόγραμμα</w:t>
      </w:r>
      <w:r w:rsidRPr="00C11A76">
        <w:t xml:space="preserve"> </w:t>
      </w:r>
      <w:r w:rsidR="00B925F9">
        <w:t>ΕΠΑνΕΚ</w:t>
      </w:r>
      <w:r w:rsidRPr="00C11A76">
        <w:t xml:space="preserve"> και τα Περιφερειακά Ε.Π.</w:t>
      </w:r>
    </w:p>
    <w:p w14:paraId="73DC5EE1" w14:textId="77777777" w:rsidR="00F23ADB" w:rsidRPr="00C11A76" w:rsidRDefault="00F23ADB" w:rsidP="00DF5FE4">
      <w:pPr>
        <w:pStyle w:val="a3"/>
        <w:numPr>
          <w:ilvl w:val="0"/>
          <w:numId w:val="34"/>
        </w:numPr>
        <w:spacing w:before="60" w:line="360" w:lineRule="auto"/>
        <w:ind w:left="1134" w:hanging="357"/>
      </w:pPr>
      <w:r w:rsidRPr="00C11A76">
        <w:t xml:space="preserve">Στον </w:t>
      </w:r>
      <w:r w:rsidR="00B925F9">
        <w:t>Β’ Κύκλο</w:t>
      </w:r>
      <w:r w:rsidRPr="00C11A76">
        <w:t xml:space="preserve">, </w:t>
      </w:r>
      <w:r>
        <w:t>σ</w:t>
      </w:r>
      <w:r w:rsidRPr="00C11A76">
        <w:t xml:space="preserve">το </w:t>
      </w:r>
      <w:r w:rsidR="00971D9A">
        <w:t>Πρόγραμμα</w:t>
      </w:r>
      <w:r w:rsidRPr="00C11A76">
        <w:t xml:space="preserve"> Άμεσης Ενίσχυσης </w:t>
      </w:r>
      <w:r>
        <w:t xml:space="preserve">εκτός της ενίσχυσης με πόρους από τα συγχρηματοδοτούμενα Επιχειρησιακά </w:t>
      </w:r>
      <w:r w:rsidR="00E5630E">
        <w:t>Προγράμματ</w:t>
      </w:r>
      <w:r>
        <w:t>α, υπάρχει ενίσχυση και</w:t>
      </w:r>
      <w:r w:rsidRPr="00C11A76">
        <w:t xml:space="preserve"> με διακριτούς Εθνικούς Πόρους</w:t>
      </w:r>
      <w:r>
        <w:t xml:space="preserve"> που προέρχονται από το ταμείο ρύπων</w:t>
      </w:r>
      <w:r w:rsidRPr="00C11A76">
        <w:t>.</w:t>
      </w:r>
    </w:p>
    <w:p w14:paraId="6830CA02" w14:textId="77777777" w:rsidR="00F23ADB" w:rsidRDefault="00F23ADB" w:rsidP="00DF5FE4">
      <w:pPr>
        <w:pStyle w:val="a3"/>
        <w:numPr>
          <w:ilvl w:val="0"/>
          <w:numId w:val="34"/>
        </w:numPr>
        <w:spacing w:before="60" w:line="360" w:lineRule="auto"/>
        <w:ind w:left="1134" w:hanging="357"/>
      </w:pPr>
      <w:r w:rsidRPr="00C11A76">
        <w:t xml:space="preserve">Λαμβάνονται υπόψη τα έξοδα Διαχείρισης του Δικαιούχου του </w:t>
      </w:r>
      <w:r w:rsidR="00971D9A">
        <w:t>Προγράμματος</w:t>
      </w:r>
      <w:r>
        <w:t xml:space="preserve">, τα οποία </w:t>
      </w:r>
      <w:proofErr w:type="spellStart"/>
      <w:r>
        <w:t>διαμερίζονται</w:t>
      </w:r>
      <w:proofErr w:type="spellEnd"/>
      <w:r>
        <w:t xml:space="preserve"> διακριτά σε δαπάνες που αφορούν στο ταμείο και δαπάνες που χρεώνονται στα έργα της άμεσης ενίσχυσης.</w:t>
      </w:r>
    </w:p>
    <w:p w14:paraId="32C29AB3" w14:textId="77777777" w:rsidR="00F23ADB" w:rsidRPr="00C11A76" w:rsidRDefault="00F23ADB" w:rsidP="00DF5FE4">
      <w:pPr>
        <w:pStyle w:val="a3"/>
        <w:numPr>
          <w:ilvl w:val="0"/>
          <w:numId w:val="34"/>
        </w:numPr>
        <w:spacing w:before="60" w:line="360" w:lineRule="auto"/>
        <w:ind w:left="1134" w:hanging="357"/>
      </w:pPr>
      <w:r>
        <w:t xml:space="preserve">Ο διαχωρισμός της δαπάνης των αυτεπιστασιών και έμμεσων εξόδων υπολογίζεται επί πραγματικών δαπανών </w:t>
      </w:r>
      <w:r>
        <w:rPr>
          <w:lang w:val="en-US"/>
        </w:rPr>
        <w:t>global</w:t>
      </w:r>
      <w:r w:rsidRPr="00F26AD6">
        <w:t xml:space="preserve"> </w:t>
      </w:r>
      <w:r>
        <w:rPr>
          <w:lang w:val="en-US"/>
        </w:rPr>
        <w:t>timesheets</w:t>
      </w:r>
      <w:r w:rsidRPr="00F26AD6">
        <w:t xml:space="preserve">. </w:t>
      </w:r>
    </w:p>
    <w:p w14:paraId="6EB5950C" w14:textId="77777777" w:rsidR="00F23ADB" w:rsidRPr="00C11A76" w:rsidRDefault="00F23ADB" w:rsidP="00DF5FE4">
      <w:pPr>
        <w:pStyle w:val="a3"/>
        <w:numPr>
          <w:ilvl w:val="0"/>
          <w:numId w:val="34"/>
        </w:numPr>
        <w:spacing w:before="60" w:line="360" w:lineRule="auto"/>
        <w:ind w:left="1134" w:hanging="357"/>
      </w:pPr>
      <w:r w:rsidRPr="00C11A76">
        <w:t xml:space="preserve">Ο μέσος προϋπολογισμός των παρεμβάσεων ανέρχεται σε 14.931 € για τον Α΄ Κύκλο  και 16.871 € για τον </w:t>
      </w:r>
      <w:r w:rsidR="00B925F9">
        <w:t>Β’ Κύκλο</w:t>
      </w:r>
      <w:r w:rsidRPr="00C11A76">
        <w:t>.</w:t>
      </w:r>
    </w:p>
    <w:p w14:paraId="4723ED43" w14:textId="77777777" w:rsidR="00F23ADB" w:rsidRPr="00C11A76" w:rsidRDefault="00F23ADB" w:rsidP="00DF5FE4">
      <w:pPr>
        <w:pStyle w:val="a3"/>
        <w:numPr>
          <w:ilvl w:val="0"/>
          <w:numId w:val="34"/>
        </w:numPr>
        <w:spacing w:before="60" w:line="360" w:lineRule="auto"/>
        <w:ind w:left="1134" w:hanging="357"/>
      </w:pPr>
      <w:r w:rsidRPr="00C11A76">
        <w:t>Το μέσο συνολικό κόστος των ενεργειακών επιθεωρήσεων, μελετών και συμβούλου κυμαίνεται στα 846 € και θα καλυφθεί από τις επιχορηγήσεις</w:t>
      </w:r>
      <w:r>
        <w:t>.</w:t>
      </w:r>
    </w:p>
    <w:p w14:paraId="4851FF94" w14:textId="77777777" w:rsidR="00F23ADB" w:rsidRPr="00C11A76" w:rsidRDefault="00F23ADB" w:rsidP="00DF5FE4">
      <w:pPr>
        <w:pStyle w:val="a3"/>
        <w:numPr>
          <w:ilvl w:val="0"/>
          <w:numId w:val="34"/>
        </w:numPr>
        <w:spacing w:before="60" w:line="360" w:lineRule="auto"/>
        <w:ind w:left="1134" w:hanging="357"/>
      </w:pPr>
      <w:r w:rsidRPr="00C11A76">
        <w:t xml:space="preserve">Η μέση επιδότηση επιτοκίου ανά δάνειο ανέρχεται στα 781€ για τον Α΄ Κύκλο  και σε 962€ για τον </w:t>
      </w:r>
      <w:r w:rsidR="00B925F9">
        <w:t>Β’ Κύκλο</w:t>
      </w:r>
      <w:r w:rsidRPr="00C11A76">
        <w:t xml:space="preserve"> και θα καλύπτεται από το υφιστάμενο ταμείο Εξοικονομώ ΙΙ</w:t>
      </w:r>
      <w:r>
        <w:t>.</w:t>
      </w:r>
    </w:p>
    <w:p w14:paraId="0CC69B3F" w14:textId="77777777" w:rsidR="00F23ADB" w:rsidRPr="00C11A76" w:rsidRDefault="00F23ADB" w:rsidP="00DF5FE4">
      <w:pPr>
        <w:pStyle w:val="a3"/>
        <w:numPr>
          <w:ilvl w:val="0"/>
          <w:numId w:val="34"/>
        </w:numPr>
        <w:spacing w:before="60" w:line="360" w:lineRule="auto"/>
        <w:ind w:left="1134" w:hanging="357"/>
      </w:pPr>
      <w:r w:rsidRPr="00C11A76">
        <w:t xml:space="preserve">Το ποσοστό κατοικιών με δάνειο και επιχορήγηση ανέρχεται σε 44,25% στον </w:t>
      </w:r>
      <w:r w:rsidR="00B925F9">
        <w:t>Α’ Κύκλο</w:t>
      </w:r>
      <w:r w:rsidRPr="00C11A76">
        <w:t xml:space="preserve">, και </w:t>
      </w:r>
      <w:proofErr w:type="spellStart"/>
      <w:r w:rsidRPr="00C11A76">
        <w:t>κατ΄εκτίμηση</w:t>
      </w:r>
      <w:proofErr w:type="spellEnd"/>
      <w:r w:rsidRPr="00C11A76">
        <w:t xml:space="preserve"> 41,61% στον </w:t>
      </w:r>
      <w:r w:rsidR="00B925F9">
        <w:t>Β’ Κύκλο</w:t>
      </w:r>
      <w:r w:rsidRPr="00C11A76">
        <w:t>.</w:t>
      </w:r>
    </w:p>
    <w:p w14:paraId="3A3E887E" w14:textId="77777777" w:rsidR="00F23ADB" w:rsidRPr="00C11A76" w:rsidRDefault="00F23ADB" w:rsidP="00DF5FE4">
      <w:pPr>
        <w:pStyle w:val="a3"/>
        <w:numPr>
          <w:ilvl w:val="0"/>
          <w:numId w:val="34"/>
        </w:numPr>
        <w:spacing w:before="60" w:line="360" w:lineRule="auto"/>
        <w:ind w:left="1134" w:hanging="357"/>
      </w:pPr>
      <w:r>
        <w:t>Συνυπολογίζονται</w:t>
      </w:r>
      <w:r w:rsidRPr="00C11A76">
        <w:t xml:space="preserve"> οι επιστροφές </w:t>
      </w:r>
      <w:r>
        <w:t>κεφαλαίου στο</w:t>
      </w:r>
      <w:r w:rsidRPr="00C11A76">
        <w:t xml:space="preserve"> Υφιστάμενο</w:t>
      </w:r>
      <w:r>
        <w:t xml:space="preserve"> Ταμείο</w:t>
      </w:r>
      <w:r w:rsidRPr="00C11A76">
        <w:t>.</w:t>
      </w:r>
    </w:p>
    <w:p w14:paraId="0C0723FE" w14:textId="77777777" w:rsidR="00F23ADB" w:rsidRPr="00C11A76" w:rsidRDefault="00F23ADB" w:rsidP="00DF5FE4">
      <w:pPr>
        <w:pStyle w:val="a3"/>
        <w:numPr>
          <w:ilvl w:val="0"/>
          <w:numId w:val="34"/>
        </w:numPr>
        <w:spacing w:before="60" w:line="360" w:lineRule="auto"/>
        <w:ind w:left="1134" w:hanging="357"/>
      </w:pPr>
      <w:r w:rsidRPr="00C11A76">
        <w:t xml:space="preserve">Ο δείκτης </w:t>
      </w:r>
      <w:proofErr w:type="spellStart"/>
      <w:r w:rsidRPr="00C11A76">
        <w:t>μόχλευσης</w:t>
      </w:r>
      <w:proofErr w:type="spellEnd"/>
      <w:r w:rsidRPr="00C11A76">
        <w:t xml:space="preserve"> που έχει επιτευχθεί ανέρχεται σε 2, όπως προβλέπεται και στις Επιχειρησιακές Συμφωνίες με τα Χρηματοπιστωτικά Ιδρύματα που μετέχουν στο </w:t>
      </w:r>
      <w:r w:rsidR="00971D9A">
        <w:t>Πρόγραμμα</w:t>
      </w:r>
      <w:r w:rsidRPr="00C11A76">
        <w:t>.</w:t>
      </w:r>
      <w:r>
        <w:t xml:space="preserve"> και</w:t>
      </w:r>
      <w:r w:rsidRPr="00C11A76">
        <w:t xml:space="preserve"> ανταποκρίθηκαν στην από 4/8/2017 πρόσκληση</w:t>
      </w:r>
      <w:r>
        <w:t xml:space="preserve"> της ΕΑΤ Α.Ε. </w:t>
      </w:r>
    </w:p>
    <w:p w14:paraId="08FC6F10" w14:textId="77777777" w:rsidR="00F23ADB" w:rsidRPr="00C11A76" w:rsidRDefault="00F23ADB" w:rsidP="00DF5FE4">
      <w:pPr>
        <w:pStyle w:val="a3"/>
        <w:numPr>
          <w:ilvl w:val="0"/>
          <w:numId w:val="34"/>
        </w:numPr>
        <w:spacing w:before="60" w:line="360" w:lineRule="auto"/>
        <w:ind w:left="1134" w:hanging="357"/>
      </w:pPr>
      <w:r w:rsidRPr="00C11A76">
        <w:t>Ο μέσος όρος της επιχορήγησης των ενεργειακών παρεμβάσεων ανά κατοικία ανέρχεται σε 56% και στους 2 Κύκλους.</w:t>
      </w:r>
    </w:p>
    <w:p w14:paraId="573D7D98" w14:textId="77777777" w:rsidR="00F23ADB" w:rsidRPr="00C11A76" w:rsidRDefault="00F23ADB" w:rsidP="00DF5FE4">
      <w:pPr>
        <w:pStyle w:val="a3"/>
        <w:numPr>
          <w:ilvl w:val="0"/>
          <w:numId w:val="34"/>
        </w:numPr>
        <w:spacing w:before="60" w:line="360" w:lineRule="auto"/>
        <w:ind w:left="1134" w:hanging="357"/>
      </w:pPr>
      <w:r w:rsidRPr="00C11A76">
        <w:t xml:space="preserve">Λαμβάνεται υπόψη το  πλήθος των κατοικιών που αναβαθμίζονται ενεργειακά στον Α’ και στον </w:t>
      </w:r>
      <w:r w:rsidR="00B925F9">
        <w:t>Β’ Κύκλο</w:t>
      </w:r>
      <w:r w:rsidRPr="00C11A76">
        <w:t xml:space="preserve"> (βάσει των αιτήσεων).</w:t>
      </w:r>
    </w:p>
    <w:p w14:paraId="6D0826AE" w14:textId="77777777" w:rsidR="00F23ADB" w:rsidRDefault="00F23ADB" w:rsidP="00DF5FE4">
      <w:pPr>
        <w:pStyle w:val="a3"/>
        <w:numPr>
          <w:ilvl w:val="0"/>
          <w:numId w:val="34"/>
        </w:numPr>
        <w:spacing w:before="60" w:line="360" w:lineRule="auto"/>
        <w:ind w:left="1134" w:hanging="357"/>
      </w:pPr>
      <w:r w:rsidRPr="00C11A76">
        <w:t xml:space="preserve">Οι αιτήσεις στον </w:t>
      </w:r>
      <w:r w:rsidR="00B925F9">
        <w:t>Α’ Κύκλο</w:t>
      </w:r>
      <w:r w:rsidRPr="00C11A76">
        <w:t xml:space="preserve"> βρίσκονται σε Υπαγωγή κατά 100% και σε ολοκλήρωση το 80% αυτών, επομένως τα στοιχεία που αφορούν τον Α΄ Κύκλο είναι κατά προσέγγιση </w:t>
      </w:r>
      <w:r w:rsidRPr="00C11A76">
        <w:lastRenderedPageBreak/>
        <w:t xml:space="preserve">τα τελικά. Αντίστοιχα στο </w:t>
      </w:r>
      <w:r w:rsidR="00B925F9">
        <w:t>Β’ Κύκλο</w:t>
      </w:r>
      <w:r w:rsidRPr="00C11A76">
        <w:t xml:space="preserve"> οι αιτήσεις είναι κατά το 75% στο στάδιο Υπαγωγής και για όσα στοιχεία δεν είναι δυνατό να ληφθούν γίνονται εκτιμήσεις και παραδοχές βασισμένες στον </w:t>
      </w:r>
      <w:r w:rsidR="00B925F9">
        <w:t>Α’ Κύκλο</w:t>
      </w:r>
      <w:r w:rsidRPr="00C11A76">
        <w:t>.</w:t>
      </w:r>
    </w:p>
    <w:p w14:paraId="6CC0C1B7" w14:textId="77777777" w:rsidR="00F23ADB" w:rsidRPr="00C11A76" w:rsidRDefault="00F23ADB" w:rsidP="00DF5FE4">
      <w:pPr>
        <w:pStyle w:val="a3"/>
        <w:numPr>
          <w:ilvl w:val="0"/>
          <w:numId w:val="34"/>
        </w:numPr>
        <w:spacing w:before="60" w:line="360" w:lineRule="auto"/>
        <w:ind w:left="1134" w:hanging="357"/>
      </w:pPr>
      <w:r>
        <w:t xml:space="preserve">Λαμβάνεται υπόψη ο αριθμός των </w:t>
      </w:r>
      <w:proofErr w:type="spellStart"/>
      <w:r>
        <w:t>απεντάξεων</w:t>
      </w:r>
      <w:proofErr w:type="spellEnd"/>
      <w:r>
        <w:t xml:space="preserve"> που πραγματοποιήθηκαν στον </w:t>
      </w:r>
      <w:r w:rsidR="00B925F9">
        <w:t>Α’ Κύκλο</w:t>
      </w:r>
      <w:r>
        <w:t>.</w:t>
      </w:r>
    </w:p>
    <w:p w14:paraId="39D487E3" w14:textId="77777777" w:rsidR="00F23ADB" w:rsidRPr="00C11A76" w:rsidRDefault="00F23ADB" w:rsidP="00DF5FE4">
      <w:pPr>
        <w:pStyle w:val="a3"/>
        <w:numPr>
          <w:ilvl w:val="0"/>
          <w:numId w:val="34"/>
        </w:numPr>
        <w:spacing w:before="60" w:line="360" w:lineRule="auto"/>
        <w:ind w:left="1134" w:hanging="357"/>
      </w:pPr>
      <w:r w:rsidRPr="00C11A76">
        <w:t>Ο μέσος προϋπολογισμός παρεμβάσεων και το ποσοστό επιχορήγησης ενεργειακών παρεμβάσεων  για τον Β' Κύκλο έχει υπολογιστεί από τα στοιχεία των αιτήσεων του Β' Κύκλου</w:t>
      </w:r>
    </w:p>
    <w:p w14:paraId="296DD36D" w14:textId="77777777" w:rsidR="00F23ADB" w:rsidRDefault="00F23ADB" w:rsidP="00DF5FE4">
      <w:pPr>
        <w:pStyle w:val="a3"/>
        <w:numPr>
          <w:ilvl w:val="0"/>
          <w:numId w:val="34"/>
        </w:numPr>
        <w:spacing w:before="60" w:line="360" w:lineRule="auto"/>
        <w:ind w:left="1134" w:hanging="357"/>
      </w:pPr>
      <w:r w:rsidRPr="00C11A76">
        <w:t xml:space="preserve">Υπάρχουν 17.350 αιτήσεις σε φάση καταχώρησης που δεν κατάφεραν να υποβληθούν στον </w:t>
      </w:r>
      <w:r w:rsidR="00B925F9">
        <w:t>Β’ Κύκλο</w:t>
      </w:r>
      <w:r w:rsidRPr="00C11A76">
        <w:t xml:space="preserve"> και οι οποίες θεωρούνται ως δυνητικές μελλοντικές υποβολές.</w:t>
      </w:r>
    </w:p>
    <w:p w14:paraId="7554CCC5" w14:textId="77777777" w:rsidR="00F23ADB" w:rsidRDefault="00F23ADB" w:rsidP="00DF5FE4">
      <w:pPr>
        <w:pStyle w:val="a3"/>
        <w:numPr>
          <w:ilvl w:val="0"/>
          <w:numId w:val="34"/>
        </w:numPr>
        <w:spacing w:before="60" w:line="360" w:lineRule="auto"/>
        <w:ind w:left="1134" w:hanging="357"/>
      </w:pPr>
      <w:r>
        <w:t>Τα έξοδα του φακέλου των Τραπεζών που ανέρχονται σε 95€/φάκελο βαρύνουν τις επιστροφές από τα δάνεια.</w:t>
      </w:r>
    </w:p>
    <w:p w14:paraId="5140890B" w14:textId="77777777" w:rsidR="00F23ADB" w:rsidRDefault="00F23ADB" w:rsidP="00DF5FE4">
      <w:pPr>
        <w:pStyle w:val="a3"/>
        <w:numPr>
          <w:ilvl w:val="0"/>
          <w:numId w:val="34"/>
        </w:numPr>
        <w:spacing w:before="60" w:line="360" w:lineRule="auto"/>
        <w:ind w:left="1134" w:hanging="357"/>
      </w:pPr>
      <w:r w:rsidRPr="00C11A76">
        <w:t xml:space="preserve"> Απαιτείται ο υπολογισμός των αναγκών του υφιστάμενου Ταμείου Εξοικονομώ ΙΙ για τον </w:t>
      </w:r>
      <w:r w:rsidR="00B925F9">
        <w:t>Β’ Κύκλο</w:t>
      </w:r>
      <w:r w:rsidRPr="00C11A76">
        <w:t>.</w:t>
      </w:r>
    </w:p>
    <w:p w14:paraId="33D63EFE" w14:textId="77777777" w:rsidR="00F23ADB" w:rsidRDefault="00F23ADB" w:rsidP="00F23ADB">
      <w:pPr>
        <w:spacing w:line="360" w:lineRule="auto"/>
      </w:pPr>
    </w:p>
    <w:p w14:paraId="3D3B6180" w14:textId="77777777" w:rsidR="00F23ADB" w:rsidRPr="00C11A76" w:rsidRDefault="00F23ADB" w:rsidP="00F23ADB">
      <w:pPr>
        <w:spacing w:line="360" w:lineRule="auto"/>
      </w:pPr>
      <w:r w:rsidRPr="00C11A76">
        <w:t xml:space="preserve">Διαμορφώνεται συνεπώς </w:t>
      </w:r>
      <w:r>
        <w:t>οι</w:t>
      </w:r>
      <w:r w:rsidRPr="00C11A76">
        <w:t xml:space="preserve"> κατωτέρω πίνακ</w:t>
      </w:r>
      <w:r>
        <w:t>ε</w:t>
      </w:r>
      <w:r w:rsidRPr="00C11A76">
        <w:t>ς:</w:t>
      </w:r>
    </w:p>
    <w:tbl>
      <w:tblPr>
        <w:tblW w:w="7510" w:type="dxa"/>
        <w:tblInd w:w="-10" w:type="dxa"/>
        <w:tblLook w:val="04A0" w:firstRow="1" w:lastRow="0" w:firstColumn="1" w:lastColumn="0" w:noHBand="0" w:noVBand="1"/>
      </w:tblPr>
      <w:tblGrid>
        <w:gridCol w:w="3142"/>
        <w:gridCol w:w="1322"/>
        <w:gridCol w:w="1299"/>
        <w:gridCol w:w="1747"/>
      </w:tblGrid>
      <w:tr w:rsidR="00F23ADB" w:rsidRPr="00F26AD6" w14:paraId="1E892C1A" w14:textId="77777777" w:rsidTr="00E5630E">
        <w:trPr>
          <w:trHeight w:val="288"/>
        </w:trPr>
        <w:tc>
          <w:tcPr>
            <w:tcW w:w="314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14:paraId="2A18536D" w14:textId="77777777" w:rsidR="00F23ADB" w:rsidRPr="00F26AD6" w:rsidRDefault="00F23ADB" w:rsidP="00E5630E">
            <w:pPr>
              <w:autoSpaceDE/>
              <w:autoSpaceDN/>
              <w:adjustRightInd/>
              <w:spacing w:before="0" w:after="0" w:line="240" w:lineRule="auto"/>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 </w:t>
            </w:r>
          </w:p>
        </w:tc>
        <w:tc>
          <w:tcPr>
            <w:tcW w:w="1322" w:type="dxa"/>
            <w:vMerge w:val="restart"/>
            <w:tcBorders>
              <w:top w:val="single" w:sz="8" w:space="0" w:color="auto"/>
              <w:left w:val="single" w:sz="8" w:space="0" w:color="auto"/>
              <w:bottom w:val="nil"/>
              <w:right w:val="single" w:sz="8" w:space="0" w:color="auto"/>
            </w:tcBorders>
            <w:shd w:val="clear" w:color="000000" w:fill="C5D9F1"/>
            <w:noWrap/>
            <w:vAlign w:val="center"/>
            <w:hideMark/>
          </w:tcPr>
          <w:p w14:paraId="024553F8" w14:textId="77777777" w:rsidR="00F23ADB" w:rsidRPr="00F26AD6" w:rsidRDefault="00F23ADB" w:rsidP="00E5630E">
            <w:pPr>
              <w:autoSpaceDE/>
              <w:autoSpaceDN/>
              <w:adjustRightInd/>
              <w:spacing w:before="0" w:after="0" w:line="240" w:lineRule="auto"/>
              <w:jc w:val="center"/>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A' Κύκλος</w:t>
            </w:r>
          </w:p>
        </w:tc>
        <w:tc>
          <w:tcPr>
            <w:tcW w:w="1299" w:type="dxa"/>
            <w:vMerge w:val="restart"/>
            <w:tcBorders>
              <w:top w:val="single" w:sz="8" w:space="0" w:color="auto"/>
              <w:left w:val="single" w:sz="8" w:space="0" w:color="auto"/>
              <w:bottom w:val="nil"/>
              <w:right w:val="single" w:sz="8" w:space="0" w:color="auto"/>
            </w:tcBorders>
            <w:shd w:val="clear" w:color="000000" w:fill="C5D9F1"/>
            <w:noWrap/>
            <w:vAlign w:val="center"/>
            <w:hideMark/>
          </w:tcPr>
          <w:p w14:paraId="38B2FCA1" w14:textId="77777777" w:rsidR="00F23ADB" w:rsidRPr="00F26AD6" w:rsidRDefault="00F23ADB" w:rsidP="00E5630E">
            <w:pPr>
              <w:autoSpaceDE/>
              <w:autoSpaceDN/>
              <w:adjustRightInd/>
              <w:spacing w:before="0" w:after="0" w:line="240" w:lineRule="auto"/>
              <w:jc w:val="center"/>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Β' Κύκλος</w:t>
            </w:r>
          </w:p>
        </w:tc>
        <w:tc>
          <w:tcPr>
            <w:tcW w:w="1747" w:type="dxa"/>
            <w:vMerge w:val="restart"/>
            <w:tcBorders>
              <w:top w:val="single" w:sz="8" w:space="0" w:color="auto"/>
              <w:left w:val="single" w:sz="8" w:space="0" w:color="auto"/>
              <w:bottom w:val="nil"/>
              <w:right w:val="single" w:sz="8" w:space="0" w:color="auto"/>
            </w:tcBorders>
            <w:shd w:val="clear" w:color="000000" w:fill="C5D9F1"/>
            <w:vAlign w:val="center"/>
            <w:hideMark/>
          </w:tcPr>
          <w:p w14:paraId="4592746C" w14:textId="77777777" w:rsidR="00F23ADB" w:rsidRPr="00F26AD6" w:rsidRDefault="00F23ADB" w:rsidP="00E5630E">
            <w:pPr>
              <w:autoSpaceDE/>
              <w:autoSpaceDN/>
              <w:adjustRightInd/>
              <w:spacing w:before="0" w:after="0" w:line="240" w:lineRule="auto"/>
              <w:jc w:val="center"/>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Διαθέσιμοι Πόροι για Α' + Β' Κύκλο</w:t>
            </w:r>
          </w:p>
        </w:tc>
      </w:tr>
      <w:tr w:rsidR="00F23ADB" w:rsidRPr="00F26AD6" w14:paraId="28301DC2" w14:textId="77777777" w:rsidTr="00E5630E">
        <w:trPr>
          <w:trHeight w:val="288"/>
        </w:trPr>
        <w:tc>
          <w:tcPr>
            <w:tcW w:w="3142" w:type="dxa"/>
            <w:vMerge/>
            <w:tcBorders>
              <w:top w:val="single" w:sz="8" w:space="0" w:color="auto"/>
              <w:left w:val="single" w:sz="8" w:space="0" w:color="auto"/>
              <w:bottom w:val="single" w:sz="8" w:space="0" w:color="000000"/>
              <w:right w:val="single" w:sz="8" w:space="0" w:color="auto"/>
            </w:tcBorders>
            <w:vAlign w:val="center"/>
            <w:hideMark/>
          </w:tcPr>
          <w:p w14:paraId="0F6DA542" w14:textId="77777777" w:rsidR="00F23ADB" w:rsidRPr="00F26AD6" w:rsidRDefault="00F23ADB" w:rsidP="00E5630E">
            <w:pPr>
              <w:autoSpaceDE/>
              <w:autoSpaceDN/>
              <w:adjustRightInd/>
              <w:spacing w:before="0" w:after="0" w:line="240" w:lineRule="auto"/>
              <w:jc w:val="left"/>
              <w:rPr>
                <w:rFonts w:ascii="Calibri" w:eastAsia="Times New Roman" w:hAnsi="Calibri" w:cs="Times New Roman"/>
                <w:b/>
                <w:bCs/>
                <w:color w:val="000000"/>
                <w:sz w:val="18"/>
                <w:szCs w:val="18"/>
                <w:lang w:eastAsia="el-GR"/>
              </w:rPr>
            </w:pPr>
          </w:p>
        </w:tc>
        <w:tc>
          <w:tcPr>
            <w:tcW w:w="1322" w:type="dxa"/>
            <w:vMerge/>
            <w:tcBorders>
              <w:top w:val="single" w:sz="8" w:space="0" w:color="auto"/>
              <w:left w:val="single" w:sz="8" w:space="0" w:color="auto"/>
              <w:bottom w:val="nil"/>
              <w:right w:val="single" w:sz="8" w:space="0" w:color="auto"/>
            </w:tcBorders>
            <w:vAlign w:val="center"/>
            <w:hideMark/>
          </w:tcPr>
          <w:p w14:paraId="7C699736" w14:textId="77777777" w:rsidR="00F23ADB" w:rsidRPr="00F26AD6" w:rsidRDefault="00F23ADB" w:rsidP="00E5630E">
            <w:pPr>
              <w:autoSpaceDE/>
              <w:autoSpaceDN/>
              <w:adjustRightInd/>
              <w:spacing w:before="0" w:after="0" w:line="240" w:lineRule="auto"/>
              <w:jc w:val="left"/>
              <w:rPr>
                <w:rFonts w:ascii="Calibri" w:eastAsia="Times New Roman" w:hAnsi="Calibri" w:cs="Times New Roman"/>
                <w:b/>
                <w:bCs/>
                <w:color w:val="000000"/>
                <w:sz w:val="18"/>
                <w:szCs w:val="18"/>
                <w:lang w:eastAsia="el-GR"/>
              </w:rPr>
            </w:pPr>
          </w:p>
        </w:tc>
        <w:tc>
          <w:tcPr>
            <w:tcW w:w="1299" w:type="dxa"/>
            <w:vMerge/>
            <w:tcBorders>
              <w:top w:val="single" w:sz="8" w:space="0" w:color="auto"/>
              <w:left w:val="single" w:sz="8" w:space="0" w:color="auto"/>
              <w:bottom w:val="nil"/>
              <w:right w:val="single" w:sz="8" w:space="0" w:color="auto"/>
            </w:tcBorders>
            <w:vAlign w:val="center"/>
            <w:hideMark/>
          </w:tcPr>
          <w:p w14:paraId="79DAE255" w14:textId="77777777" w:rsidR="00F23ADB" w:rsidRPr="00F26AD6" w:rsidRDefault="00F23ADB" w:rsidP="00E5630E">
            <w:pPr>
              <w:autoSpaceDE/>
              <w:autoSpaceDN/>
              <w:adjustRightInd/>
              <w:spacing w:before="0" w:after="0" w:line="240" w:lineRule="auto"/>
              <w:jc w:val="left"/>
              <w:rPr>
                <w:rFonts w:ascii="Calibri" w:eastAsia="Times New Roman" w:hAnsi="Calibri" w:cs="Times New Roman"/>
                <w:b/>
                <w:bCs/>
                <w:color w:val="000000"/>
                <w:sz w:val="18"/>
                <w:szCs w:val="18"/>
                <w:lang w:eastAsia="el-GR"/>
              </w:rPr>
            </w:pPr>
          </w:p>
        </w:tc>
        <w:tc>
          <w:tcPr>
            <w:tcW w:w="1747" w:type="dxa"/>
            <w:vMerge/>
            <w:tcBorders>
              <w:top w:val="single" w:sz="8" w:space="0" w:color="auto"/>
              <w:left w:val="single" w:sz="8" w:space="0" w:color="auto"/>
              <w:bottom w:val="nil"/>
              <w:right w:val="single" w:sz="8" w:space="0" w:color="auto"/>
            </w:tcBorders>
            <w:vAlign w:val="center"/>
            <w:hideMark/>
          </w:tcPr>
          <w:p w14:paraId="5D29D07C" w14:textId="77777777" w:rsidR="00F23ADB" w:rsidRPr="00F26AD6" w:rsidRDefault="00F23ADB" w:rsidP="00E5630E">
            <w:pPr>
              <w:autoSpaceDE/>
              <w:autoSpaceDN/>
              <w:adjustRightInd/>
              <w:spacing w:before="0" w:after="0" w:line="240" w:lineRule="auto"/>
              <w:jc w:val="left"/>
              <w:rPr>
                <w:rFonts w:ascii="Calibri" w:eastAsia="Times New Roman" w:hAnsi="Calibri" w:cs="Times New Roman"/>
                <w:b/>
                <w:bCs/>
                <w:color w:val="000000"/>
                <w:sz w:val="18"/>
                <w:szCs w:val="18"/>
                <w:lang w:eastAsia="el-GR"/>
              </w:rPr>
            </w:pPr>
          </w:p>
        </w:tc>
      </w:tr>
      <w:tr w:rsidR="00F23ADB" w:rsidRPr="00F26AD6" w14:paraId="36D74E9D" w14:textId="77777777" w:rsidTr="00E5630E">
        <w:trPr>
          <w:trHeight w:val="303"/>
        </w:trPr>
        <w:tc>
          <w:tcPr>
            <w:tcW w:w="3142" w:type="dxa"/>
            <w:vMerge/>
            <w:tcBorders>
              <w:top w:val="single" w:sz="8" w:space="0" w:color="auto"/>
              <w:left w:val="single" w:sz="8" w:space="0" w:color="auto"/>
              <w:bottom w:val="single" w:sz="8" w:space="0" w:color="000000"/>
              <w:right w:val="single" w:sz="8" w:space="0" w:color="auto"/>
            </w:tcBorders>
            <w:vAlign w:val="center"/>
            <w:hideMark/>
          </w:tcPr>
          <w:p w14:paraId="58F266DA" w14:textId="77777777" w:rsidR="00F23ADB" w:rsidRPr="00F26AD6" w:rsidRDefault="00F23ADB" w:rsidP="00E5630E">
            <w:pPr>
              <w:autoSpaceDE/>
              <w:autoSpaceDN/>
              <w:adjustRightInd/>
              <w:spacing w:before="0" w:after="0" w:line="240" w:lineRule="auto"/>
              <w:jc w:val="left"/>
              <w:rPr>
                <w:rFonts w:ascii="Calibri" w:eastAsia="Times New Roman" w:hAnsi="Calibri" w:cs="Times New Roman"/>
                <w:b/>
                <w:bCs/>
                <w:color w:val="000000"/>
                <w:sz w:val="18"/>
                <w:szCs w:val="18"/>
                <w:lang w:eastAsia="el-GR"/>
              </w:rPr>
            </w:pPr>
          </w:p>
        </w:tc>
        <w:tc>
          <w:tcPr>
            <w:tcW w:w="1322" w:type="dxa"/>
            <w:tcBorders>
              <w:top w:val="nil"/>
              <w:left w:val="nil"/>
              <w:bottom w:val="single" w:sz="8" w:space="0" w:color="auto"/>
              <w:right w:val="single" w:sz="8" w:space="0" w:color="auto"/>
            </w:tcBorders>
            <w:shd w:val="clear" w:color="000000" w:fill="C5D9F1"/>
            <w:noWrap/>
            <w:vAlign w:val="center"/>
            <w:hideMark/>
          </w:tcPr>
          <w:p w14:paraId="6660AF0E" w14:textId="77777777" w:rsidR="00F23ADB" w:rsidRPr="00F26AD6" w:rsidRDefault="00F23ADB" w:rsidP="00E5630E">
            <w:pPr>
              <w:autoSpaceDE/>
              <w:autoSpaceDN/>
              <w:adjustRightInd/>
              <w:spacing w:before="0" w:after="0" w:line="240" w:lineRule="auto"/>
              <w:jc w:val="center"/>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1</w:t>
            </w:r>
          </w:p>
        </w:tc>
        <w:tc>
          <w:tcPr>
            <w:tcW w:w="1299" w:type="dxa"/>
            <w:tcBorders>
              <w:top w:val="nil"/>
              <w:left w:val="nil"/>
              <w:bottom w:val="single" w:sz="8" w:space="0" w:color="auto"/>
              <w:right w:val="nil"/>
            </w:tcBorders>
            <w:shd w:val="clear" w:color="000000" w:fill="C5D9F1"/>
            <w:noWrap/>
            <w:vAlign w:val="center"/>
            <w:hideMark/>
          </w:tcPr>
          <w:p w14:paraId="2628A193" w14:textId="77777777" w:rsidR="00F23ADB" w:rsidRPr="00F26AD6" w:rsidRDefault="00F23ADB" w:rsidP="00E5630E">
            <w:pPr>
              <w:autoSpaceDE/>
              <w:autoSpaceDN/>
              <w:adjustRightInd/>
              <w:spacing w:before="0" w:after="0" w:line="240" w:lineRule="auto"/>
              <w:jc w:val="center"/>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2</w:t>
            </w:r>
          </w:p>
        </w:tc>
        <w:tc>
          <w:tcPr>
            <w:tcW w:w="1747" w:type="dxa"/>
            <w:tcBorders>
              <w:top w:val="nil"/>
              <w:left w:val="single" w:sz="8" w:space="0" w:color="auto"/>
              <w:bottom w:val="single" w:sz="8" w:space="0" w:color="auto"/>
              <w:right w:val="single" w:sz="8" w:space="0" w:color="auto"/>
            </w:tcBorders>
            <w:shd w:val="clear" w:color="000000" w:fill="C5D9F1"/>
            <w:vAlign w:val="center"/>
            <w:hideMark/>
          </w:tcPr>
          <w:p w14:paraId="7FCB570B" w14:textId="77777777" w:rsidR="00F23ADB" w:rsidRPr="00F26AD6" w:rsidRDefault="00F23ADB" w:rsidP="00E5630E">
            <w:pPr>
              <w:autoSpaceDE/>
              <w:autoSpaceDN/>
              <w:adjustRightInd/>
              <w:spacing w:before="0" w:after="0" w:line="240" w:lineRule="auto"/>
              <w:jc w:val="center"/>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3=1+2</w:t>
            </w:r>
          </w:p>
        </w:tc>
      </w:tr>
      <w:tr w:rsidR="00F23ADB" w:rsidRPr="00F26AD6" w14:paraId="037E0FFF"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FFFF00"/>
            <w:noWrap/>
            <w:vAlign w:val="center"/>
            <w:hideMark/>
          </w:tcPr>
          <w:p w14:paraId="7CEF9C32"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Δημόσια Δαπάνη (</w:t>
            </w:r>
            <w:r w:rsidR="00B925F9">
              <w:rPr>
                <w:rFonts w:ascii="Calibri" w:eastAsia="Times New Roman" w:hAnsi="Calibri" w:cs="Times New Roman"/>
                <w:color w:val="000000"/>
                <w:sz w:val="18"/>
                <w:szCs w:val="18"/>
                <w:lang w:eastAsia="el-GR"/>
              </w:rPr>
              <w:t>ΕΠΑνΕΚ</w:t>
            </w:r>
            <w:r w:rsidRPr="00F26AD6">
              <w:rPr>
                <w:rFonts w:ascii="Calibri" w:eastAsia="Times New Roman" w:hAnsi="Calibri" w:cs="Times New Roman"/>
                <w:color w:val="000000"/>
                <w:sz w:val="18"/>
                <w:szCs w:val="18"/>
                <w:lang w:eastAsia="el-GR"/>
              </w:rPr>
              <w:t>)</w:t>
            </w:r>
          </w:p>
        </w:tc>
        <w:tc>
          <w:tcPr>
            <w:tcW w:w="1322" w:type="dxa"/>
            <w:tcBorders>
              <w:top w:val="nil"/>
              <w:left w:val="nil"/>
              <w:bottom w:val="single" w:sz="8" w:space="0" w:color="auto"/>
              <w:right w:val="single" w:sz="8" w:space="0" w:color="auto"/>
            </w:tcBorders>
            <w:shd w:val="clear" w:color="000000" w:fill="FFFF00"/>
            <w:noWrap/>
            <w:vAlign w:val="center"/>
            <w:hideMark/>
          </w:tcPr>
          <w:p w14:paraId="0F482F17"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397.653.109</w:t>
            </w:r>
          </w:p>
        </w:tc>
        <w:tc>
          <w:tcPr>
            <w:tcW w:w="1299" w:type="dxa"/>
            <w:tcBorders>
              <w:top w:val="nil"/>
              <w:left w:val="nil"/>
              <w:bottom w:val="single" w:sz="8" w:space="0" w:color="auto"/>
              <w:right w:val="single" w:sz="8" w:space="0" w:color="auto"/>
            </w:tcBorders>
            <w:shd w:val="clear" w:color="000000" w:fill="FFFF00"/>
            <w:noWrap/>
            <w:vAlign w:val="center"/>
            <w:hideMark/>
          </w:tcPr>
          <w:p w14:paraId="5F4341D2"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102.705.665</w:t>
            </w:r>
          </w:p>
        </w:tc>
        <w:tc>
          <w:tcPr>
            <w:tcW w:w="1747" w:type="dxa"/>
            <w:tcBorders>
              <w:top w:val="nil"/>
              <w:left w:val="nil"/>
              <w:bottom w:val="single" w:sz="8" w:space="0" w:color="auto"/>
              <w:right w:val="single" w:sz="8" w:space="0" w:color="auto"/>
            </w:tcBorders>
            <w:shd w:val="clear" w:color="000000" w:fill="FFFF00"/>
            <w:noWrap/>
            <w:vAlign w:val="center"/>
            <w:hideMark/>
          </w:tcPr>
          <w:p w14:paraId="32410588"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500.358.774</w:t>
            </w:r>
          </w:p>
        </w:tc>
      </w:tr>
      <w:tr w:rsidR="00F23ADB" w:rsidRPr="00F26AD6" w14:paraId="1FD6A0A7"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D9D9D9"/>
            <w:noWrap/>
            <w:vAlign w:val="center"/>
            <w:hideMark/>
          </w:tcPr>
          <w:p w14:paraId="16385818"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Δημόσια Δαπάνη (ΠΕΠ)</w:t>
            </w:r>
          </w:p>
        </w:tc>
        <w:tc>
          <w:tcPr>
            <w:tcW w:w="1322" w:type="dxa"/>
            <w:tcBorders>
              <w:top w:val="nil"/>
              <w:left w:val="nil"/>
              <w:bottom w:val="single" w:sz="8" w:space="0" w:color="auto"/>
              <w:right w:val="single" w:sz="8" w:space="0" w:color="auto"/>
            </w:tcBorders>
            <w:shd w:val="clear" w:color="auto" w:fill="auto"/>
            <w:noWrap/>
            <w:vAlign w:val="center"/>
            <w:hideMark/>
          </w:tcPr>
          <w:p w14:paraId="0A985BE0"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37.333.963</w:t>
            </w:r>
          </w:p>
        </w:tc>
        <w:tc>
          <w:tcPr>
            <w:tcW w:w="1299" w:type="dxa"/>
            <w:tcBorders>
              <w:top w:val="nil"/>
              <w:left w:val="nil"/>
              <w:bottom w:val="single" w:sz="8" w:space="0" w:color="auto"/>
              <w:right w:val="single" w:sz="8" w:space="0" w:color="auto"/>
            </w:tcBorders>
            <w:shd w:val="clear" w:color="auto" w:fill="auto"/>
            <w:noWrap/>
            <w:vAlign w:val="center"/>
            <w:hideMark/>
          </w:tcPr>
          <w:p w14:paraId="12095AF9"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23.635.755</w:t>
            </w:r>
          </w:p>
        </w:tc>
        <w:tc>
          <w:tcPr>
            <w:tcW w:w="1747" w:type="dxa"/>
            <w:tcBorders>
              <w:top w:val="nil"/>
              <w:left w:val="nil"/>
              <w:bottom w:val="single" w:sz="8" w:space="0" w:color="auto"/>
              <w:right w:val="single" w:sz="8" w:space="0" w:color="auto"/>
            </w:tcBorders>
            <w:shd w:val="clear" w:color="000000" w:fill="D9D9D9"/>
            <w:noWrap/>
            <w:vAlign w:val="center"/>
            <w:hideMark/>
          </w:tcPr>
          <w:p w14:paraId="0BF3B796"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60.969.718</w:t>
            </w:r>
          </w:p>
        </w:tc>
      </w:tr>
      <w:tr w:rsidR="00F23ADB" w:rsidRPr="00F26AD6" w14:paraId="67657FFB"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D9D9D9"/>
            <w:noWrap/>
            <w:vAlign w:val="center"/>
            <w:hideMark/>
          </w:tcPr>
          <w:p w14:paraId="07DDF220"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Εθνικοί Πόροι</w:t>
            </w:r>
          </w:p>
        </w:tc>
        <w:tc>
          <w:tcPr>
            <w:tcW w:w="1322" w:type="dxa"/>
            <w:tcBorders>
              <w:top w:val="nil"/>
              <w:left w:val="nil"/>
              <w:bottom w:val="single" w:sz="8" w:space="0" w:color="auto"/>
              <w:right w:val="single" w:sz="8" w:space="0" w:color="auto"/>
            </w:tcBorders>
            <w:shd w:val="clear" w:color="auto" w:fill="auto"/>
            <w:noWrap/>
            <w:vAlign w:val="center"/>
            <w:hideMark/>
          </w:tcPr>
          <w:p w14:paraId="689E65BA"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0</w:t>
            </w:r>
          </w:p>
        </w:tc>
        <w:tc>
          <w:tcPr>
            <w:tcW w:w="1299" w:type="dxa"/>
            <w:tcBorders>
              <w:top w:val="nil"/>
              <w:left w:val="nil"/>
              <w:bottom w:val="single" w:sz="8" w:space="0" w:color="auto"/>
              <w:right w:val="single" w:sz="8" w:space="0" w:color="auto"/>
            </w:tcBorders>
            <w:shd w:val="clear" w:color="auto" w:fill="auto"/>
            <w:noWrap/>
            <w:vAlign w:val="center"/>
            <w:hideMark/>
          </w:tcPr>
          <w:p w14:paraId="1FB181F0"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114.677.584</w:t>
            </w:r>
          </w:p>
        </w:tc>
        <w:tc>
          <w:tcPr>
            <w:tcW w:w="1747" w:type="dxa"/>
            <w:tcBorders>
              <w:top w:val="nil"/>
              <w:left w:val="nil"/>
              <w:bottom w:val="single" w:sz="8" w:space="0" w:color="auto"/>
              <w:right w:val="single" w:sz="8" w:space="0" w:color="auto"/>
            </w:tcBorders>
            <w:shd w:val="clear" w:color="000000" w:fill="D9D9D9"/>
            <w:noWrap/>
            <w:vAlign w:val="center"/>
            <w:hideMark/>
          </w:tcPr>
          <w:p w14:paraId="77D2A734"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114.677.584</w:t>
            </w:r>
          </w:p>
        </w:tc>
      </w:tr>
      <w:tr w:rsidR="00F23ADB" w:rsidRPr="00F26AD6" w14:paraId="50AF403E"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D9D9D9"/>
            <w:noWrap/>
            <w:vAlign w:val="center"/>
            <w:hideMark/>
          </w:tcPr>
          <w:p w14:paraId="3BEBB765"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Δημόσια Δαπάνη (</w:t>
            </w:r>
            <w:r w:rsidR="00B925F9">
              <w:rPr>
                <w:rFonts w:ascii="Calibri" w:eastAsia="Times New Roman" w:hAnsi="Calibri" w:cs="Times New Roman"/>
                <w:color w:val="000000"/>
                <w:sz w:val="18"/>
                <w:szCs w:val="18"/>
                <w:lang w:eastAsia="el-GR"/>
              </w:rPr>
              <w:t>ΕΠΑνΕΚ</w:t>
            </w:r>
            <w:r w:rsidRPr="00F26AD6">
              <w:rPr>
                <w:rFonts w:ascii="Calibri" w:eastAsia="Times New Roman" w:hAnsi="Calibri" w:cs="Times New Roman"/>
                <w:color w:val="000000"/>
                <w:sz w:val="18"/>
                <w:szCs w:val="18"/>
                <w:lang w:eastAsia="el-GR"/>
              </w:rPr>
              <w:t xml:space="preserve"> + ΠΕΠ + Εθνικοί Πόροι) </w:t>
            </w:r>
            <w:r w:rsidRPr="00F26AD6">
              <w:rPr>
                <w:rFonts w:ascii="Calibri" w:eastAsia="Times New Roman" w:hAnsi="Calibri" w:cs="Times New Roman"/>
                <w:i/>
                <w:iCs/>
                <w:color w:val="000000"/>
                <w:sz w:val="18"/>
                <w:szCs w:val="18"/>
                <w:lang w:eastAsia="el-GR"/>
              </w:rPr>
              <w:t>χάριν των επεμβάσεων</w:t>
            </w:r>
          </w:p>
        </w:tc>
        <w:tc>
          <w:tcPr>
            <w:tcW w:w="1322" w:type="dxa"/>
            <w:tcBorders>
              <w:top w:val="nil"/>
              <w:left w:val="nil"/>
              <w:bottom w:val="single" w:sz="8" w:space="0" w:color="auto"/>
              <w:right w:val="single" w:sz="8" w:space="0" w:color="auto"/>
            </w:tcBorders>
            <w:shd w:val="clear" w:color="auto" w:fill="auto"/>
            <w:noWrap/>
            <w:vAlign w:val="center"/>
            <w:hideMark/>
          </w:tcPr>
          <w:p w14:paraId="5CE77728"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434.987.072</w:t>
            </w:r>
          </w:p>
        </w:tc>
        <w:tc>
          <w:tcPr>
            <w:tcW w:w="1299" w:type="dxa"/>
            <w:tcBorders>
              <w:top w:val="nil"/>
              <w:left w:val="nil"/>
              <w:bottom w:val="single" w:sz="8" w:space="0" w:color="auto"/>
              <w:right w:val="single" w:sz="8" w:space="0" w:color="auto"/>
            </w:tcBorders>
            <w:shd w:val="clear" w:color="auto" w:fill="auto"/>
            <w:noWrap/>
            <w:vAlign w:val="center"/>
            <w:hideMark/>
          </w:tcPr>
          <w:p w14:paraId="36D30EBA"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241.019.004</w:t>
            </w:r>
          </w:p>
        </w:tc>
        <w:tc>
          <w:tcPr>
            <w:tcW w:w="1747" w:type="dxa"/>
            <w:tcBorders>
              <w:top w:val="nil"/>
              <w:left w:val="nil"/>
              <w:bottom w:val="single" w:sz="8" w:space="0" w:color="auto"/>
              <w:right w:val="single" w:sz="8" w:space="0" w:color="auto"/>
            </w:tcBorders>
            <w:shd w:val="clear" w:color="000000" w:fill="D9D9D9"/>
            <w:noWrap/>
            <w:vAlign w:val="center"/>
            <w:hideMark/>
          </w:tcPr>
          <w:p w14:paraId="59E8BD33"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676.006.076</w:t>
            </w:r>
          </w:p>
        </w:tc>
      </w:tr>
      <w:tr w:rsidR="00F23ADB" w:rsidRPr="00F26AD6" w14:paraId="23359DDC"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D9D9D9"/>
            <w:noWrap/>
            <w:vAlign w:val="center"/>
            <w:hideMark/>
          </w:tcPr>
          <w:p w14:paraId="6E4067E2"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Συνολική Δημόσια Δαπάνη (</w:t>
            </w:r>
            <w:r w:rsidR="00B925F9">
              <w:rPr>
                <w:rFonts w:ascii="Calibri" w:eastAsia="Times New Roman" w:hAnsi="Calibri" w:cs="Times New Roman"/>
                <w:color w:val="000000"/>
                <w:sz w:val="18"/>
                <w:szCs w:val="18"/>
                <w:lang w:eastAsia="el-GR"/>
              </w:rPr>
              <w:t>ΕΠΑνΕΚ</w:t>
            </w:r>
            <w:r w:rsidRPr="00F26AD6">
              <w:rPr>
                <w:rFonts w:ascii="Calibri" w:eastAsia="Times New Roman" w:hAnsi="Calibri" w:cs="Times New Roman"/>
                <w:color w:val="000000"/>
                <w:sz w:val="18"/>
                <w:szCs w:val="18"/>
                <w:lang w:eastAsia="el-GR"/>
              </w:rPr>
              <w:t xml:space="preserve"> + ΠΕΠ + Εθνικοί Πόροι)</w:t>
            </w:r>
          </w:p>
        </w:tc>
        <w:tc>
          <w:tcPr>
            <w:tcW w:w="1322" w:type="dxa"/>
            <w:tcBorders>
              <w:top w:val="nil"/>
              <w:left w:val="nil"/>
              <w:bottom w:val="single" w:sz="8" w:space="0" w:color="auto"/>
              <w:right w:val="single" w:sz="8" w:space="0" w:color="auto"/>
            </w:tcBorders>
            <w:shd w:val="clear" w:color="auto" w:fill="auto"/>
            <w:noWrap/>
            <w:vAlign w:val="center"/>
            <w:hideMark/>
          </w:tcPr>
          <w:p w14:paraId="37DE2F61"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434.987.072</w:t>
            </w:r>
          </w:p>
        </w:tc>
        <w:tc>
          <w:tcPr>
            <w:tcW w:w="1299" w:type="dxa"/>
            <w:tcBorders>
              <w:top w:val="nil"/>
              <w:left w:val="nil"/>
              <w:bottom w:val="single" w:sz="8" w:space="0" w:color="auto"/>
              <w:right w:val="single" w:sz="8" w:space="0" w:color="auto"/>
            </w:tcBorders>
            <w:shd w:val="clear" w:color="auto" w:fill="auto"/>
            <w:noWrap/>
            <w:vAlign w:val="center"/>
            <w:hideMark/>
          </w:tcPr>
          <w:p w14:paraId="61CC73D4"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241.019.004</w:t>
            </w:r>
          </w:p>
        </w:tc>
        <w:tc>
          <w:tcPr>
            <w:tcW w:w="1747" w:type="dxa"/>
            <w:tcBorders>
              <w:top w:val="nil"/>
              <w:left w:val="nil"/>
              <w:bottom w:val="single" w:sz="8" w:space="0" w:color="auto"/>
              <w:right w:val="single" w:sz="8" w:space="0" w:color="auto"/>
            </w:tcBorders>
            <w:shd w:val="clear" w:color="000000" w:fill="D9D9D9"/>
            <w:noWrap/>
            <w:vAlign w:val="center"/>
            <w:hideMark/>
          </w:tcPr>
          <w:p w14:paraId="7B8472D0"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676.006.076</w:t>
            </w:r>
          </w:p>
        </w:tc>
      </w:tr>
      <w:tr w:rsidR="00F23ADB" w:rsidRPr="00F26AD6" w14:paraId="70F09CB8"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FFFF00"/>
            <w:noWrap/>
            <w:vAlign w:val="center"/>
            <w:hideMark/>
          </w:tcPr>
          <w:p w14:paraId="5AF5C3FB"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Ποσό Ταμείου "Εξοικονομώ ΙΙ" (</w:t>
            </w:r>
            <w:r w:rsidR="00B925F9">
              <w:rPr>
                <w:rFonts w:ascii="Calibri" w:eastAsia="Times New Roman" w:hAnsi="Calibri" w:cs="Times New Roman"/>
                <w:color w:val="000000"/>
                <w:sz w:val="18"/>
                <w:szCs w:val="18"/>
                <w:lang w:eastAsia="el-GR"/>
              </w:rPr>
              <w:t>ΕΠΑνΕΚ</w:t>
            </w:r>
            <w:r w:rsidRPr="00F26AD6">
              <w:rPr>
                <w:rFonts w:ascii="Calibri" w:eastAsia="Times New Roman" w:hAnsi="Calibri" w:cs="Times New Roman"/>
                <w:color w:val="000000"/>
                <w:sz w:val="18"/>
                <w:szCs w:val="18"/>
                <w:lang w:eastAsia="el-GR"/>
              </w:rPr>
              <w:t>)</w:t>
            </w:r>
          </w:p>
        </w:tc>
        <w:tc>
          <w:tcPr>
            <w:tcW w:w="1322" w:type="dxa"/>
            <w:tcBorders>
              <w:top w:val="nil"/>
              <w:left w:val="nil"/>
              <w:bottom w:val="single" w:sz="8" w:space="0" w:color="auto"/>
              <w:right w:val="single" w:sz="8" w:space="0" w:color="auto"/>
            </w:tcBorders>
            <w:shd w:val="clear" w:color="000000" w:fill="FFFF00"/>
            <w:noWrap/>
            <w:vAlign w:val="center"/>
            <w:hideMark/>
          </w:tcPr>
          <w:p w14:paraId="216C63D4"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68.000.000</w:t>
            </w:r>
          </w:p>
        </w:tc>
        <w:tc>
          <w:tcPr>
            <w:tcW w:w="1299" w:type="dxa"/>
            <w:tcBorders>
              <w:top w:val="nil"/>
              <w:left w:val="nil"/>
              <w:bottom w:val="single" w:sz="8" w:space="0" w:color="auto"/>
              <w:right w:val="single" w:sz="8" w:space="0" w:color="auto"/>
            </w:tcBorders>
            <w:shd w:val="clear" w:color="000000" w:fill="FFFF00"/>
            <w:noWrap/>
            <w:vAlign w:val="center"/>
            <w:hideMark/>
          </w:tcPr>
          <w:p w14:paraId="563E8837"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34.000.000</w:t>
            </w:r>
          </w:p>
        </w:tc>
        <w:tc>
          <w:tcPr>
            <w:tcW w:w="1747" w:type="dxa"/>
            <w:tcBorders>
              <w:top w:val="nil"/>
              <w:left w:val="nil"/>
              <w:bottom w:val="single" w:sz="8" w:space="0" w:color="auto"/>
              <w:right w:val="single" w:sz="8" w:space="0" w:color="auto"/>
            </w:tcBorders>
            <w:shd w:val="clear" w:color="000000" w:fill="FFFF00"/>
            <w:noWrap/>
            <w:vAlign w:val="center"/>
            <w:hideMark/>
          </w:tcPr>
          <w:p w14:paraId="37FC9BC5"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102.000.000</w:t>
            </w:r>
          </w:p>
        </w:tc>
      </w:tr>
      <w:tr w:rsidR="00F23ADB" w:rsidRPr="00F26AD6" w14:paraId="6744BDC5"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FFFF00"/>
            <w:noWrap/>
            <w:vAlign w:val="center"/>
            <w:hideMark/>
          </w:tcPr>
          <w:p w14:paraId="59B93BF9" w14:textId="77777777" w:rsidR="00F23ADB" w:rsidRPr="00F26AD6" w:rsidRDefault="00F23ADB" w:rsidP="00E5630E">
            <w:pPr>
              <w:autoSpaceDE/>
              <w:autoSpaceDN/>
              <w:adjustRightInd/>
              <w:spacing w:before="0" w:after="0" w:line="240" w:lineRule="auto"/>
              <w:rPr>
                <w:rFonts w:ascii="Calibri" w:eastAsia="Times New Roman" w:hAnsi="Calibri" w:cs="Times New Roman"/>
                <w:i/>
                <w:iCs/>
                <w:color w:val="000000"/>
                <w:sz w:val="18"/>
                <w:szCs w:val="18"/>
                <w:lang w:eastAsia="el-GR"/>
              </w:rPr>
            </w:pPr>
            <w:r w:rsidRPr="00F26AD6">
              <w:rPr>
                <w:rFonts w:ascii="Calibri" w:eastAsia="Times New Roman" w:hAnsi="Calibri" w:cs="Times New Roman"/>
                <w:i/>
                <w:iCs/>
                <w:color w:val="000000"/>
                <w:sz w:val="18"/>
                <w:szCs w:val="18"/>
                <w:lang w:eastAsia="el-GR"/>
              </w:rPr>
              <w:t xml:space="preserve">ΣΥΝΟΛΙΚΗ ΔΗΜΟΣΙΑ ΔΑΠΑΝΗ </w:t>
            </w:r>
            <w:r w:rsidR="00B925F9">
              <w:rPr>
                <w:rFonts w:ascii="Calibri" w:eastAsia="Times New Roman" w:hAnsi="Calibri" w:cs="Times New Roman"/>
                <w:i/>
                <w:iCs/>
                <w:color w:val="000000"/>
                <w:sz w:val="18"/>
                <w:szCs w:val="18"/>
                <w:lang w:eastAsia="el-GR"/>
              </w:rPr>
              <w:t>ΕΠΑνΕΚ</w:t>
            </w:r>
          </w:p>
        </w:tc>
        <w:tc>
          <w:tcPr>
            <w:tcW w:w="1322" w:type="dxa"/>
            <w:tcBorders>
              <w:top w:val="nil"/>
              <w:left w:val="nil"/>
              <w:bottom w:val="single" w:sz="8" w:space="0" w:color="auto"/>
              <w:right w:val="single" w:sz="8" w:space="0" w:color="auto"/>
            </w:tcBorders>
            <w:shd w:val="clear" w:color="000000" w:fill="FFFF00"/>
            <w:noWrap/>
            <w:vAlign w:val="center"/>
            <w:hideMark/>
          </w:tcPr>
          <w:p w14:paraId="323EA67C"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465.653.109</w:t>
            </w:r>
          </w:p>
        </w:tc>
        <w:tc>
          <w:tcPr>
            <w:tcW w:w="1299" w:type="dxa"/>
            <w:tcBorders>
              <w:top w:val="nil"/>
              <w:left w:val="nil"/>
              <w:bottom w:val="single" w:sz="8" w:space="0" w:color="auto"/>
              <w:right w:val="single" w:sz="8" w:space="0" w:color="auto"/>
            </w:tcBorders>
            <w:shd w:val="clear" w:color="000000" w:fill="FFFF00"/>
            <w:noWrap/>
            <w:vAlign w:val="center"/>
            <w:hideMark/>
          </w:tcPr>
          <w:p w14:paraId="2885B386"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136.705.665</w:t>
            </w:r>
          </w:p>
        </w:tc>
        <w:tc>
          <w:tcPr>
            <w:tcW w:w="1747" w:type="dxa"/>
            <w:tcBorders>
              <w:top w:val="nil"/>
              <w:left w:val="nil"/>
              <w:bottom w:val="single" w:sz="8" w:space="0" w:color="auto"/>
              <w:right w:val="single" w:sz="8" w:space="0" w:color="auto"/>
            </w:tcBorders>
            <w:shd w:val="clear" w:color="000000" w:fill="FFFF00"/>
            <w:noWrap/>
            <w:vAlign w:val="center"/>
            <w:hideMark/>
          </w:tcPr>
          <w:p w14:paraId="2C44D24E"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602.358.774</w:t>
            </w:r>
          </w:p>
        </w:tc>
      </w:tr>
      <w:tr w:rsidR="00F23ADB" w:rsidRPr="00F26AD6" w14:paraId="180B49A4"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D9D9D9"/>
            <w:vAlign w:val="center"/>
            <w:hideMark/>
          </w:tcPr>
          <w:p w14:paraId="53311AB0"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 xml:space="preserve">Μέσος προϋπολογισμός παρεμβάσεων </w:t>
            </w:r>
          </w:p>
        </w:tc>
        <w:tc>
          <w:tcPr>
            <w:tcW w:w="1322" w:type="dxa"/>
            <w:tcBorders>
              <w:top w:val="nil"/>
              <w:left w:val="nil"/>
              <w:bottom w:val="single" w:sz="8" w:space="0" w:color="auto"/>
              <w:right w:val="single" w:sz="8" w:space="0" w:color="auto"/>
            </w:tcBorders>
            <w:shd w:val="clear" w:color="auto" w:fill="auto"/>
            <w:vAlign w:val="center"/>
            <w:hideMark/>
          </w:tcPr>
          <w:p w14:paraId="1DD9AFE6"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14.931</w:t>
            </w:r>
          </w:p>
        </w:tc>
        <w:tc>
          <w:tcPr>
            <w:tcW w:w="1299" w:type="dxa"/>
            <w:tcBorders>
              <w:top w:val="nil"/>
              <w:left w:val="nil"/>
              <w:bottom w:val="single" w:sz="8" w:space="0" w:color="auto"/>
              <w:right w:val="single" w:sz="8" w:space="0" w:color="auto"/>
            </w:tcBorders>
            <w:shd w:val="clear" w:color="auto" w:fill="auto"/>
            <w:vAlign w:val="center"/>
            <w:hideMark/>
          </w:tcPr>
          <w:p w14:paraId="433DDBDA"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16.871</w:t>
            </w:r>
          </w:p>
        </w:tc>
        <w:tc>
          <w:tcPr>
            <w:tcW w:w="1747" w:type="dxa"/>
            <w:tcBorders>
              <w:top w:val="nil"/>
              <w:left w:val="nil"/>
              <w:bottom w:val="single" w:sz="8" w:space="0" w:color="auto"/>
              <w:right w:val="single" w:sz="8" w:space="0" w:color="auto"/>
            </w:tcBorders>
            <w:shd w:val="clear" w:color="000000" w:fill="D9D9D9"/>
            <w:vAlign w:val="center"/>
            <w:hideMark/>
          </w:tcPr>
          <w:p w14:paraId="3728171B"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 </w:t>
            </w:r>
          </w:p>
        </w:tc>
      </w:tr>
      <w:tr w:rsidR="00F23ADB" w:rsidRPr="00F26AD6" w14:paraId="6A041374"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D9D9D9"/>
            <w:noWrap/>
            <w:vAlign w:val="center"/>
            <w:hideMark/>
          </w:tcPr>
          <w:p w14:paraId="0414E276"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 xml:space="preserve">Επιχορήγηση επιτοκίου ανά δάνειο </w:t>
            </w:r>
          </w:p>
        </w:tc>
        <w:tc>
          <w:tcPr>
            <w:tcW w:w="1322" w:type="dxa"/>
            <w:tcBorders>
              <w:top w:val="nil"/>
              <w:left w:val="nil"/>
              <w:bottom w:val="single" w:sz="8" w:space="0" w:color="auto"/>
              <w:right w:val="single" w:sz="8" w:space="0" w:color="auto"/>
            </w:tcBorders>
            <w:shd w:val="clear" w:color="auto" w:fill="auto"/>
            <w:noWrap/>
            <w:vAlign w:val="center"/>
            <w:hideMark/>
          </w:tcPr>
          <w:p w14:paraId="30408017"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781</w:t>
            </w:r>
          </w:p>
        </w:tc>
        <w:tc>
          <w:tcPr>
            <w:tcW w:w="1299" w:type="dxa"/>
            <w:tcBorders>
              <w:top w:val="nil"/>
              <w:left w:val="nil"/>
              <w:bottom w:val="single" w:sz="8" w:space="0" w:color="auto"/>
              <w:right w:val="single" w:sz="8" w:space="0" w:color="auto"/>
            </w:tcBorders>
            <w:shd w:val="clear" w:color="auto" w:fill="auto"/>
            <w:noWrap/>
            <w:vAlign w:val="center"/>
            <w:hideMark/>
          </w:tcPr>
          <w:p w14:paraId="357EC72D"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962</w:t>
            </w:r>
          </w:p>
        </w:tc>
        <w:tc>
          <w:tcPr>
            <w:tcW w:w="1747" w:type="dxa"/>
            <w:tcBorders>
              <w:top w:val="nil"/>
              <w:left w:val="nil"/>
              <w:bottom w:val="single" w:sz="8" w:space="0" w:color="auto"/>
              <w:right w:val="single" w:sz="8" w:space="0" w:color="auto"/>
            </w:tcBorders>
            <w:shd w:val="clear" w:color="000000" w:fill="D9D9D9"/>
            <w:vAlign w:val="center"/>
            <w:hideMark/>
          </w:tcPr>
          <w:p w14:paraId="5BABD480"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 </w:t>
            </w:r>
          </w:p>
        </w:tc>
      </w:tr>
      <w:tr w:rsidR="00F23ADB" w:rsidRPr="00F26AD6" w14:paraId="544019A9"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D9D9D9"/>
            <w:vAlign w:val="center"/>
            <w:hideMark/>
          </w:tcPr>
          <w:p w14:paraId="396B4AFE"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Κόστος ενεργειακών επιθεωρήσεων + μελετών + συμβούλου ανά κατοικία</w:t>
            </w:r>
          </w:p>
        </w:tc>
        <w:tc>
          <w:tcPr>
            <w:tcW w:w="1322" w:type="dxa"/>
            <w:tcBorders>
              <w:top w:val="nil"/>
              <w:left w:val="nil"/>
              <w:bottom w:val="single" w:sz="8" w:space="0" w:color="auto"/>
              <w:right w:val="single" w:sz="8" w:space="0" w:color="auto"/>
            </w:tcBorders>
            <w:shd w:val="clear" w:color="auto" w:fill="auto"/>
            <w:vAlign w:val="center"/>
            <w:hideMark/>
          </w:tcPr>
          <w:p w14:paraId="6428C3CB"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846</w:t>
            </w:r>
          </w:p>
        </w:tc>
        <w:tc>
          <w:tcPr>
            <w:tcW w:w="1299" w:type="dxa"/>
            <w:tcBorders>
              <w:top w:val="nil"/>
              <w:left w:val="nil"/>
              <w:bottom w:val="single" w:sz="8" w:space="0" w:color="auto"/>
              <w:right w:val="single" w:sz="8" w:space="0" w:color="auto"/>
            </w:tcBorders>
            <w:shd w:val="clear" w:color="auto" w:fill="auto"/>
            <w:vAlign w:val="center"/>
            <w:hideMark/>
          </w:tcPr>
          <w:p w14:paraId="0AEC3491"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846</w:t>
            </w:r>
          </w:p>
        </w:tc>
        <w:tc>
          <w:tcPr>
            <w:tcW w:w="1747" w:type="dxa"/>
            <w:tcBorders>
              <w:top w:val="nil"/>
              <w:left w:val="nil"/>
              <w:bottom w:val="single" w:sz="8" w:space="0" w:color="auto"/>
              <w:right w:val="single" w:sz="8" w:space="0" w:color="auto"/>
            </w:tcBorders>
            <w:shd w:val="clear" w:color="000000" w:fill="D9D9D9"/>
            <w:vAlign w:val="center"/>
            <w:hideMark/>
          </w:tcPr>
          <w:p w14:paraId="22A94EC8"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 </w:t>
            </w:r>
          </w:p>
        </w:tc>
      </w:tr>
      <w:tr w:rsidR="00F23ADB" w:rsidRPr="00F26AD6" w14:paraId="40B8F71B" w14:textId="77777777" w:rsidTr="00E5630E">
        <w:trPr>
          <w:trHeight w:val="525"/>
        </w:trPr>
        <w:tc>
          <w:tcPr>
            <w:tcW w:w="3142" w:type="dxa"/>
            <w:tcBorders>
              <w:top w:val="nil"/>
              <w:left w:val="single" w:sz="8" w:space="0" w:color="auto"/>
              <w:bottom w:val="single" w:sz="8" w:space="0" w:color="auto"/>
              <w:right w:val="single" w:sz="8" w:space="0" w:color="auto"/>
            </w:tcBorders>
            <w:shd w:val="clear" w:color="000000" w:fill="D9D9D9"/>
            <w:vAlign w:val="center"/>
            <w:hideMark/>
          </w:tcPr>
          <w:p w14:paraId="3A253B6A" w14:textId="77777777" w:rsidR="00F23ADB" w:rsidRPr="00F26AD6" w:rsidRDefault="00F23ADB" w:rsidP="00E5630E">
            <w:pPr>
              <w:autoSpaceDE/>
              <w:autoSpaceDN/>
              <w:adjustRightInd/>
              <w:spacing w:before="0" w:after="0" w:line="240" w:lineRule="auto"/>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 xml:space="preserve">Ποσοστό νοικοκυριών με δάνειο + </w:t>
            </w:r>
            <w:proofErr w:type="spellStart"/>
            <w:r w:rsidRPr="00F26AD6">
              <w:rPr>
                <w:rFonts w:ascii="Calibri" w:eastAsia="Times New Roman" w:hAnsi="Calibri" w:cs="Times New Roman"/>
                <w:color w:val="000000"/>
                <w:sz w:val="18"/>
                <w:szCs w:val="18"/>
                <w:lang w:eastAsia="el-GR"/>
              </w:rPr>
              <w:t>grants</w:t>
            </w:r>
            <w:proofErr w:type="spellEnd"/>
          </w:p>
        </w:tc>
        <w:tc>
          <w:tcPr>
            <w:tcW w:w="1322" w:type="dxa"/>
            <w:tcBorders>
              <w:top w:val="nil"/>
              <w:left w:val="nil"/>
              <w:bottom w:val="single" w:sz="8" w:space="0" w:color="auto"/>
              <w:right w:val="single" w:sz="8" w:space="0" w:color="auto"/>
            </w:tcBorders>
            <w:shd w:val="clear" w:color="auto" w:fill="auto"/>
            <w:vAlign w:val="center"/>
            <w:hideMark/>
          </w:tcPr>
          <w:p w14:paraId="4165353D"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44,25%</w:t>
            </w:r>
          </w:p>
        </w:tc>
        <w:tc>
          <w:tcPr>
            <w:tcW w:w="1299" w:type="dxa"/>
            <w:tcBorders>
              <w:top w:val="nil"/>
              <w:left w:val="nil"/>
              <w:bottom w:val="single" w:sz="8" w:space="0" w:color="auto"/>
              <w:right w:val="single" w:sz="8" w:space="0" w:color="auto"/>
            </w:tcBorders>
            <w:shd w:val="clear" w:color="000000" w:fill="FFFFFF"/>
            <w:vAlign w:val="center"/>
            <w:hideMark/>
          </w:tcPr>
          <w:p w14:paraId="62B835EE"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color w:val="000000"/>
                <w:sz w:val="18"/>
                <w:szCs w:val="18"/>
                <w:lang w:eastAsia="el-GR"/>
              </w:rPr>
            </w:pPr>
            <w:r w:rsidRPr="00F26AD6">
              <w:rPr>
                <w:rFonts w:ascii="Calibri" w:eastAsia="Times New Roman" w:hAnsi="Calibri" w:cs="Times New Roman"/>
                <w:color w:val="000000"/>
                <w:sz w:val="18"/>
                <w:szCs w:val="18"/>
                <w:lang w:eastAsia="el-GR"/>
              </w:rPr>
              <w:t>41,61%</w:t>
            </w:r>
          </w:p>
        </w:tc>
        <w:tc>
          <w:tcPr>
            <w:tcW w:w="1747" w:type="dxa"/>
            <w:tcBorders>
              <w:top w:val="nil"/>
              <w:left w:val="nil"/>
              <w:bottom w:val="single" w:sz="8" w:space="0" w:color="auto"/>
              <w:right w:val="single" w:sz="8" w:space="0" w:color="auto"/>
            </w:tcBorders>
            <w:shd w:val="clear" w:color="000000" w:fill="D9D9D9"/>
            <w:vAlign w:val="center"/>
            <w:hideMark/>
          </w:tcPr>
          <w:p w14:paraId="4FF9E452" w14:textId="77777777" w:rsidR="00F23ADB" w:rsidRPr="00F26AD6" w:rsidRDefault="00F23ADB" w:rsidP="00E5630E">
            <w:pPr>
              <w:autoSpaceDE/>
              <w:autoSpaceDN/>
              <w:adjustRightInd/>
              <w:spacing w:before="0" w:after="0" w:line="240" w:lineRule="auto"/>
              <w:jc w:val="right"/>
              <w:rPr>
                <w:rFonts w:ascii="Calibri" w:eastAsia="Times New Roman" w:hAnsi="Calibri" w:cs="Times New Roman"/>
                <w:b/>
                <w:bCs/>
                <w:color w:val="000000"/>
                <w:sz w:val="18"/>
                <w:szCs w:val="18"/>
                <w:lang w:eastAsia="el-GR"/>
              </w:rPr>
            </w:pPr>
            <w:r w:rsidRPr="00F26AD6">
              <w:rPr>
                <w:rFonts w:ascii="Calibri" w:eastAsia="Times New Roman" w:hAnsi="Calibri" w:cs="Times New Roman"/>
                <w:b/>
                <w:bCs/>
                <w:color w:val="000000"/>
                <w:sz w:val="18"/>
                <w:szCs w:val="18"/>
                <w:lang w:eastAsia="el-GR"/>
              </w:rPr>
              <w:t> </w:t>
            </w:r>
          </w:p>
        </w:tc>
      </w:tr>
    </w:tbl>
    <w:p w14:paraId="12EC8E12" w14:textId="77777777" w:rsidR="00F23ADB" w:rsidRDefault="00F23ADB" w:rsidP="00F23ADB"/>
    <w:tbl>
      <w:tblPr>
        <w:tblW w:w="8778" w:type="dxa"/>
        <w:tblInd w:w="-10" w:type="dxa"/>
        <w:tblLook w:val="04A0" w:firstRow="1" w:lastRow="0" w:firstColumn="1" w:lastColumn="0" w:noHBand="0" w:noVBand="1"/>
      </w:tblPr>
      <w:tblGrid>
        <w:gridCol w:w="2544"/>
        <w:gridCol w:w="1134"/>
        <w:gridCol w:w="1290"/>
        <w:gridCol w:w="1308"/>
        <w:gridCol w:w="1234"/>
        <w:gridCol w:w="1268"/>
      </w:tblGrid>
      <w:tr w:rsidR="00F23ADB" w:rsidRPr="006F40D3" w14:paraId="1EBD1019" w14:textId="77777777" w:rsidTr="00A66891">
        <w:trPr>
          <w:trHeight w:val="510"/>
        </w:trPr>
        <w:tc>
          <w:tcPr>
            <w:tcW w:w="2544"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14:paraId="1812F20D" w14:textId="77777777" w:rsidR="00F23ADB" w:rsidRPr="00A66891" w:rsidRDefault="00F23ADB" w:rsidP="00A66891">
            <w:pPr>
              <w:autoSpaceDE/>
              <w:autoSpaceDN/>
              <w:adjustRightInd/>
              <w:spacing w:before="0" w:after="0" w:line="240" w:lineRule="auto"/>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 </w:t>
            </w:r>
            <w:r w:rsidR="00A66891">
              <w:rPr>
                <w:rStyle w:val="ac"/>
                <w:rFonts w:eastAsia="Times New Roman" w:cs="Times New Roman"/>
                <w:b/>
                <w:bCs/>
                <w:color w:val="000000"/>
                <w:sz w:val="18"/>
                <w:szCs w:val="18"/>
                <w:lang w:eastAsia="el-GR"/>
              </w:rPr>
              <w:footnoteReference w:id="30"/>
            </w:r>
            <w:r w:rsidR="00A66891">
              <w:rPr>
                <w:rFonts w:eastAsia="Times New Roman" w:cs="Times New Roman"/>
                <w:b/>
                <w:bCs/>
                <w:color w:val="000000"/>
                <w:sz w:val="18"/>
                <w:szCs w:val="18"/>
                <w:lang w:val="en-US" w:eastAsia="el-GR"/>
              </w:rPr>
              <w:t xml:space="preserve"> </w:t>
            </w:r>
            <w:r w:rsidR="00A66891">
              <w:rPr>
                <w:rFonts w:eastAsia="Times New Roman" w:cs="Times New Roman"/>
                <w:b/>
                <w:bCs/>
                <w:color w:val="000000"/>
                <w:sz w:val="18"/>
                <w:szCs w:val="18"/>
                <w:lang w:eastAsia="el-GR"/>
              </w:rPr>
              <w:t>Κατηγορία δαπάνης</w:t>
            </w:r>
          </w:p>
        </w:tc>
        <w:tc>
          <w:tcPr>
            <w:tcW w:w="1134" w:type="dxa"/>
            <w:tcBorders>
              <w:top w:val="single" w:sz="8" w:space="0" w:color="auto"/>
              <w:left w:val="nil"/>
              <w:bottom w:val="single" w:sz="8" w:space="0" w:color="auto"/>
              <w:right w:val="single" w:sz="8" w:space="0" w:color="auto"/>
            </w:tcBorders>
            <w:shd w:val="clear" w:color="000000" w:fill="C5D9F1"/>
            <w:noWrap/>
            <w:vAlign w:val="center"/>
            <w:hideMark/>
          </w:tcPr>
          <w:p w14:paraId="29DCA854" w14:textId="77777777" w:rsidR="00F23ADB" w:rsidRPr="006F40D3" w:rsidRDefault="00F23ADB" w:rsidP="00A66891">
            <w:pPr>
              <w:autoSpaceDE/>
              <w:autoSpaceDN/>
              <w:adjustRightInd/>
              <w:spacing w:before="0" w:after="0" w:line="240" w:lineRule="auto"/>
              <w:jc w:val="center"/>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A' Κύκλος</w:t>
            </w:r>
          </w:p>
        </w:tc>
        <w:tc>
          <w:tcPr>
            <w:tcW w:w="1290" w:type="dxa"/>
            <w:tcBorders>
              <w:top w:val="single" w:sz="8" w:space="0" w:color="auto"/>
              <w:left w:val="nil"/>
              <w:bottom w:val="single" w:sz="8" w:space="0" w:color="auto"/>
              <w:right w:val="single" w:sz="8" w:space="0" w:color="auto"/>
            </w:tcBorders>
            <w:shd w:val="clear" w:color="000000" w:fill="C5D9F1"/>
            <w:noWrap/>
            <w:vAlign w:val="center"/>
            <w:hideMark/>
          </w:tcPr>
          <w:p w14:paraId="11325C8F" w14:textId="77777777" w:rsidR="00F23ADB" w:rsidRPr="006F40D3" w:rsidRDefault="00F23ADB" w:rsidP="00A66891">
            <w:pPr>
              <w:autoSpaceDE/>
              <w:autoSpaceDN/>
              <w:adjustRightInd/>
              <w:spacing w:before="0" w:after="0" w:line="240" w:lineRule="auto"/>
              <w:jc w:val="center"/>
              <w:rPr>
                <w:rFonts w:eastAsia="Times New Roman" w:cs="Times New Roman"/>
                <w:b/>
                <w:bCs/>
                <w:color w:val="000000"/>
                <w:sz w:val="18"/>
                <w:szCs w:val="18"/>
                <w:lang w:eastAsia="el-GR"/>
              </w:rPr>
            </w:pPr>
            <w:proofErr w:type="spellStart"/>
            <w:r w:rsidRPr="006F40D3">
              <w:rPr>
                <w:rFonts w:eastAsia="Times New Roman" w:cs="Times New Roman"/>
                <w:b/>
                <w:bCs/>
                <w:color w:val="000000"/>
                <w:sz w:val="18"/>
                <w:szCs w:val="18"/>
                <w:lang w:eastAsia="el-GR"/>
              </w:rPr>
              <w:t>Β΄Κύκλος</w:t>
            </w:r>
            <w:proofErr w:type="spellEnd"/>
          </w:p>
        </w:tc>
        <w:tc>
          <w:tcPr>
            <w:tcW w:w="1308" w:type="dxa"/>
            <w:tcBorders>
              <w:top w:val="single" w:sz="8" w:space="0" w:color="auto"/>
              <w:left w:val="nil"/>
              <w:bottom w:val="single" w:sz="8" w:space="0" w:color="auto"/>
              <w:right w:val="single" w:sz="8" w:space="0" w:color="auto"/>
            </w:tcBorders>
            <w:shd w:val="clear" w:color="000000" w:fill="C5D9F1"/>
            <w:vAlign w:val="center"/>
            <w:hideMark/>
          </w:tcPr>
          <w:p w14:paraId="54159CB6" w14:textId="77777777" w:rsidR="00F23ADB" w:rsidRPr="006F40D3" w:rsidRDefault="00F23ADB" w:rsidP="00A66891">
            <w:pPr>
              <w:autoSpaceDE/>
              <w:autoSpaceDN/>
              <w:adjustRightInd/>
              <w:spacing w:before="0" w:after="0" w:line="240" w:lineRule="auto"/>
              <w:jc w:val="center"/>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Α' + Β' Κύκλος</w:t>
            </w:r>
          </w:p>
        </w:tc>
        <w:tc>
          <w:tcPr>
            <w:tcW w:w="1234" w:type="dxa"/>
            <w:tcBorders>
              <w:top w:val="single" w:sz="8" w:space="0" w:color="auto"/>
              <w:left w:val="nil"/>
              <w:bottom w:val="single" w:sz="8" w:space="0" w:color="auto"/>
              <w:right w:val="single" w:sz="8" w:space="0" w:color="auto"/>
            </w:tcBorders>
            <w:shd w:val="clear" w:color="000000" w:fill="C5D9F1"/>
            <w:vAlign w:val="center"/>
            <w:hideMark/>
          </w:tcPr>
          <w:p w14:paraId="5C29C5E3" w14:textId="77777777" w:rsidR="00F23ADB" w:rsidRPr="006F40D3" w:rsidRDefault="00F23ADB" w:rsidP="00A66891">
            <w:pPr>
              <w:autoSpaceDE/>
              <w:autoSpaceDN/>
              <w:adjustRightInd/>
              <w:spacing w:before="0" w:after="0" w:line="240" w:lineRule="auto"/>
              <w:jc w:val="center"/>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Δυνητικός Γ' Κύκλος</w:t>
            </w:r>
          </w:p>
        </w:tc>
        <w:tc>
          <w:tcPr>
            <w:tcW w:w="1268" w:type="dxa"/>
            <w:tcBorders>
              <w:top w:val="single" w:sz="8" w:space="0" w:color="auto"/>
              <w:left w:val="nil"/>
              <w:bottom w:val="single" w:sz="8" w:space="0" w:color="auto"/>
              <w:right w:val="single" w:sz="8" w:space="0" w:color="auto"/>
            </w:tcBorders>
            <w:shd w:val="clear" w:color="000000" w:fill="C5D9F1"/>
            <w:noWrap/>
            <w:vAlign w:val="center"/>
            <w:hideMark/>
          </w:tcPr>
          <w:p w14:paraId="49997227" w14:textId="77777777" w:rsidR="00F23ADB" w:rsidRPr="006F40D3" w:rsidRDefault="00F23ADB" w:rsidP="00A66891">
            <w:pPr>
              <w:autoSpaceDE/>
              <w:autoSpaceDN/>
              <w:adjustRightInd/>
              <w:spacing w:before="0" w:after="0" w:line="240" w:lineRule="auto"/>
              <w:jc w:val="center"/>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Α' + Β' + Γ'</w:t>
            </w:r>
          </w:p>
        </w:tc>
      </w:tr>
      <w:tr w:rsidR="00F23ADB" w:rsidRPr="006F40D3" w14:paraId="6F5BB0CB"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FFFF00"/>
            <w:noWrap/>
            <w:vAlign w:val="center"/>
            <w:hideMark/>
          </w:tcPr>
          <w:p w14:paraId="561F3EF6"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Εκτίμηση ποσού άμεσης επιχορήγησης (</w:t>
            </w:r>
            <w:r w:rsidR="00B925F9">
              <w:rPr>
                <w:rFonts w:eastAsia="Times New Roman" w:cs="Times New Roman"/>
                <w:color w:val="000000"/>
                <w:sz w:val="18"/>
                <w:szCs w:val="18"/>
                <w:lang w:eastAsia="el-GR"/>
              </w:rPr>
              <w:t>ΕΠΑΝΕΚ</w:t>
            </w:r>
            <w:r w:rsidRPr="006F40D3">
              <w:rPr>
                <w:rFonts w:eastAsia="Times New Roman" w:cs="Times New Roman"/>
                <w:color w:val="000000"/>
                <w:sz w:val="18"/>
                <w:szCs w:val="18"/>
                <w:lang w:eastAsia="el-GR"/>
              </w:rPr>
              <w:t>)</w:t>
            </w:r>
          </w:p>
        </w:tc>
        <w:tc>
          <w:tcPr>
            <w:tcW w:w="1134" w:type="dxa"/>
            <w:tcBorders>
              <w:top w:val="nil"/>
              <w:left w:val="nil"/>
              <w:bottom w:val="single" w:sz="8" w:space="0" w:color="auto"/>
              <w:right w:val="single" w:sz="8" w:space="0" w:color="auto"/>
            </w:tcBorders>
            <w:shd w:val="clear" w:color="000000" w:fill="FFFF00"/>
            <w:noWrap/>
            <w:vAlign w:val="center"/>
            <w:hideMark/>
          </w:tcPr>
          <w:p w14:paraId="07BF3FD5"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321.881.964</w:t>
            </w:r>
          </w:p>
        </w:tc>
        <w:tc>
          <w:tcPr>
            <w:tcW w:w="1290" w:type="dxa"/>
            <w:tcBorders>
              <w:top w:val="nil"/>
              <w:left w:val="nil"/>
              <w:bottom w:val="single" w:sz="8" w:space="0" w:color="auto"/>
              <w:right w:val="single" w:sz="8" w:space="0" w:color="auto"/>
            </w:tcBorders>
            <w:shd w:val="clear" w:color="000000" w:fill="FFFF00"/>
            <w:noWrap/>
            <w:vAlign w:val="center"/>
            <w:hideMark/>
          </w:tcPr>
          <w:p w14:paraId="4F008766"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82.271.750</w:t>
            </w:r>
          </w:p>
        </w:tc>
        <w:tc>
          <w:tcPr>
            <w:tcW w:w="1308" w:type="dxa"/>
            <w:tcBorders>
              <w:top w:val="nil"/>
              <w:left w:val="nil"/>
              <w:bottom w:val="single" w:sz="8" w:space="0" w:color="auto"/>
              <w:right w:val="nil"/>
            </w:tcBorders>
            <w:shd w:val="clear" w:color="000000" w:fill="FFFF00"/>
            <w:noWrap/>
            <w:vAlign w:val="center"/>
            <w:hideMark/>
          </w:tcPr>
          <w:p w14:paraId="625736A9"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404.153.714</w:t>
            </w:r>
          </w:p>
        </w:tc>
        <w:tc>
          <w:tcPr>
            <w:tcW w:w="1234" w:type="dxa"/>
            <w:tcBorders>
              <w:top w:val="nil"/>
              <w:left w:val="single" w:sz="8" w:space="0" w:color="auto"/>
              <w:bottom w:val="single" w:sz="8" w:space="0" w:color="auto"/>
              <w:right w:val="single" w:sz="8" w:space="0" w:color="auto"/>
            </w:tcBorders>
            <w:shd w:val="clear" w:color="000000" w:fill="FFFF00"/>
            <w:noWrap/>
            <w:vAlign w:val="center"/>
            <w:hideMark/>
          </w:tcPr>
          <w:p w14:paraId="46D8CCBB"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66.171.942</w:t>
            </w:r>
          </w:p>
        </w:tc>
        <w:tc>
          <w:tcPr>
            <w:tcW w:w="1268" w:type="dxa"/>
            <w:tcBorders>
              <w:top w:val="nil"/>
              <w:left w:val="nil"/>
              <w:bottom w:val="single" w:sz="8" w:space="0" w:color="auto"/>
              <w:right w:val="single" w:sz="8" w:space="0" w:color="auto"/>
            </w:tcBorders>
            <w:shd w:val="clear" w:color="000000" w:fill="FFFF00"/>
            <w:noWrap/>
            <w:vAlign w:val="center"/>
            <w:hideMark/>
          </w:tcPr>
          <w:p w14:paraId="06330BE3"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470.325.657</w:t>
            </w:r>
          </w:p>
        </w:tc>
      </w:tr>
      <w:tr w:rsidR="00F23ADB" w:rsidRPr="006F40D3" w14:paraId="50652A7B"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FFFF00"/>
            <w:noWrap/>
            <w:vAlign w:val="center"/>
            <w:hideMark/>
          </w:tcPr>
          <w:p w14:paraId="2B9A57D4"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 xml:space="preserve">Έξοδα διαχείρισης </w:t>
            </w:r>
            <w:proofErr w:type="spellStart"/>
            <w:r w:rsidRPr="006F40D3">
              <w:rPr>
                <w:rFonts w:eastAsia="Times New Roman" w:cs="Times New Roman"/>
                <w:color w:val="000000"/>
                <w:sz w:val="18"/>
                <w:szCs w:val="18"/>
                <w:lang w:eastAsia="el-GR"/>
              </w:rPr>
              <w:t>grants</w:t>
            </w:r>
            <w:proofErr w:type="spellEnd"/>
          </w:p>
        </w:tc>
        <w:tc>
          <w:tcPr>
            <w:tcW w:w="1134" w:type="dxa"/>
            <w:tcBorders>
              <w:top w:val="nil"/>
              <w:left w:val="nil"/>
              <w:bottom w:val="single" w:sz="8" w:space="0" w:color="auto"/>
              <w:right w:val="single" w:sz="8" w:space="0" w:color="auto"/>
            </w:tcBorders>
            <w:shd w:val="clear" w:color="000000" w:fill="FFFF00"/>
            <w:noWrap/>
            <w:vAlign w:val="center"/>
            <w:hideMark/>
          </w:tcPr>
          <w:p w14:paraId="5B283210"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11.000.000</w:t>
            </w:r>
          </w:p>
        </w:tc>
        <w:tc>
          <w:tcPr>
            <w:tcW w:w="1290" w:type="dxa"/>
            <w:tcBorders>
              <w:top w:val="nil"/>
              <w:left w:val="nil"/>
              <w:bottom w:val="single" w:sz="8" w:space="0" w:color="auto"/>
              <w:right w:val="single" w:sz="8" w:space="0" w:color="auto"/>
            </w:tcBorders>
            <w:shd w:val="clear" w:color="000000" w:fill="FFFF00"/>
            <w:noWrap/>
            <w:vAlign w:val="center"/>
            <w:hideMark/>
          </w:tcPr>
          <w:p w14:paraId="301565A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3.000.000</w:t>
            </w:r>
          </w:p>
        </w:tc>
        <w:tc>
          <w:tcPr>
            <w:tcW w:w="1308" w:type="dxa"/>
            <w:tcBorders>
              <w:top w:val="nil"/>
              <w:left w:val="nil"/>
              <w:bottom w:val="single" w:sz="8" w:space="0" w:color="auto"/>
              <w:right w:val="nil"/>
            </w:tcBorders>
            <w:shd w:val="clear" w:color="000000" w:fill="FFFF00"/>
            <w:noWrap/>
            <w:vAlign w:val="center"/>
            <w:hideMark/>
          </w:tcPr>
          <w:p w14:paraId="3FEAA432"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14.000.000</w:t>
            </w:r>
          </w:p>
        </w:tc>
        <w:tc>
          <w:tcPr>
            <w:tcW w:w="1234" w:type="dxa"/>
            <w:tcBorders>
              <w:top w:val="nil"/>
              <w:left w:val="single" w:sz="8" w:space="0" w:color="auto"/>
              <w:bottom w:val="single" w:sz="8" w:space="0" w:color="auto"/>
              <w:right w:val="single" w:sz="8" w:space="0" w:color="auto"/>
            </w:tcBorders>
            <w:shd w:val="clear" w:color="000000" w:fill="FFFF00"/>
            <w:noWrap/>
            <w:vAlign w:val="center"/>
            <w:hideMark/>
          </w:tcPr>
          <w:p w14:paraId="27A9DFCB"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3.000.000</w:t>
            </w:r>
          </w:p>
        </w:tc>
        <w:tc>
          <w:tcPr>
            <w:tcW w:w="1268" w:type="dxa"/>
            <w:tcBorders>
              <w:top w:val="nil"/>
              <w:left w:val="nil"/>
              <w:bottom w:val="single" w:sz="8" w:space="0" w:color="auto"/>
              <w:right w:val="single" w:sz="8" w:space="0" w:color="auto"/>
            </w:tcBorders>
            <w:shd w:val="clear" w:color="000000" w:fill="FFFF00"/>
            <w:noWrap/>
            <w:vAlign w:val="center"/>
            <w:hideMark/>
          </w:tcPr>
          <w:p w14:paraId="3AFB291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17.000.000</w:t>
            </w:r>
          </w:p>
        </w:tc>
      </w:tr>
      <w:tr w:rsidR="00F23ADB" w:rsidRPr="006F40D3" w14:paraId="559BCB74"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noWrap/>
            <w:vAlign w:val="center"/>
            <w:hideMark/>
          </w:tcPr>
          <w:p w14:paraId="541B8E91"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Εκτίμηση ποσού άμεσης επιχορήγησης (ΠΕΠ)</w:t>
            </w:r>
          </w:p>
        </w:tc>
        <w:tc>
          <w:tcPr>
            <w:tcW w:w="1134" w:type="dxa"/>
            <w:tcBorders>
              <w:top w:val="nil"/>
              <w:left w:val="nil"/>
              <w:bottom w:val="single" w:sz="8" w:space="0" w:color="auto"/>
              <w:right w:val="single" w:sz="8" w:space="0" w:color="auto"/>
            </w:tcBorders>
            <w:shd w:val="clear" w:color="000000" w:fill="FFFFFF"/>
            <w:noWrap/>
            <w:vAlign w:val="center"/>
            <w:hideMark/>
          </w:tcPr>
          <w:p w14:paraId="4039415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32.297.527</w:t>
            </w:r>
          </w:p>
        </w:tc>
        <w:tc>
          <w:tcPr>
            <w:tcW w:w="1290" w:type="dxa"/>
            <w:tcBorders>
              <w:top w:val="nil"/>
              <w:left w:val="nil"/>
              <w:bottom w:val="single" w:sz="8" w:space="0" w:color="auto"/>
              <w:right w:val="single" w:sz="8" w:space="0" w:color="auto"/>
            </w:tcBorders>
            <w:shd w:val="clear" w:color="000000" w:fill="FFFFFF"/>
            <w:noWrap/>
            <w:vAlign w:val="center"/>
            <w:hideMark/>
          </w:tcPr>
          <w:p w14:paraId="6F8D942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23.635.755</w:t>
            </w:r>
          </w:p>
        </w:tc>
        <w:tc>
          <w:tcPr>
            <w:tcW w:w="1308" w:type="dxa"/>
            <w:tcBorders>
              <w:top w:val="nil"/>
              <w:left w:val="nil"/>
              <w:bottom w:val="single" w:sz="8" w:space="0" w:color="auto"/>
              <w:right w:val="nil"/>
            </w:tcBorders>
            <w:shd w:val="clear" w:color="000000" w:fill="D9D9D9"/>
            <w:noWrap/>
            <w:vAlign w:val="center"/>
            <w:hideMark/>
          </w:tcPr>
          <w:p w14:paraId="257A8B2B"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55.933.282</w:t>
            </w:r>
          </w:p>
        </w:tc>
        <w:tc>
          <w:tcPr>
            <w:tcW w:w="1234" w:type="dxa"/>
            <w:tcBorders>
              <w:top w:val="nil"/>
              <w:left w:val="single" w:sz="8" w:space="0" w:color="auto"/>
              <w:bottom w:val="single" w:sz="8" w:space="0" w:color="auto"/>
              <w:right w:val="single" w:sz="8" w:space="0" w:color="auto"/>
            </w:tcBorders>
            <w:shd w:val="clear" w:color="000000" w:fill="FFC000"/>
            <w:noWrap/>
            <w:vAlign w:val="center"/>
            <w:hideMark/>
          </w:tcPr>
          <w:p w14:paraId="6939BE2B"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145.036.436</w:t>
            </w:r>
          </w:p>
        </w:tc>
        <w:tc>
          <w:tcPr>
            <w:tcW w:w="1268" w:type="dxa"/>
            <w:tcBorders>
              <w:top w:val="nil"/>
              <w:left w:val="nil"/>
              <w:bottom w:val="single" w:sz="8" w:space="0" w:color="auto"/>
              <w:right w:val="single" w:sz="8" w:space="0" w:color="auto"/>
            </w:tcBorders>
            <w:shd w:val="clear" w:color="000000" w:fill="D9D9D9"/>
            <w:noWrap/>
            <w:vAlign w:val="center"/>
            <w:hideMark/>
          </w:tcPr>
          <w:p w14:paraId="674177BF"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200.969.718</w:t>
            </w:r>
          </w:p>
        </w:tc>
      </w:tr>
      <w:tr w:rsidR="00F23ADB" w:rsidRPr="006F40D3" w14:paraId="384F4254"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noWrap/>
            <w:vAlign w:val="center"/>
            <w:hideMark/>
          </w:tcPr>
          <w:p w14:paraId="54D8FEA6"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Εκτίμηση ποσού άμεσης επιχορήγησης (Εθνικοί Πόροι)</w:t>
            </w:r>
          </w:p>
        </w:tc>
        <w:tc>
          <w:tcPr>
            <w:tcW w:w="1134" w:type="dxa"/>
            <w:tcBorders>
              <w:top w:val="nil"/>
              <w:left w:val="nil"/>
              <w:bottom w:val="single" w:sz="8" w:space="0" w:color="auto"/>
              <w:right w:val="single" w:sz="8" w:space="0" w:color="auto"/>
            </w:tcBorders>
            <w:shd w:val="clear" w:color="auto" w:fill="auto"/>
            <w:noWrap/>
            <w:vAlign w:val="center"/>
            <w:hideMark/>
          </w:tcPr>
          <w:p w14:paraId="23AE1A85"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0</w:t>
            </w:r>
          </w:p>
        </w:tc>
        <w:tc>
          <w:tcPr>
            <w:tcW w:w="1290" w:type="dxa"/>
            <w:tcBorders>
              <w:top w:val="nil"/>
              <w:left w:val="nil"/>
              <w:bottom w:val="single" w:sz="8" w:space="0" w:color="auto"/>
              <w:right w:val="single" w:sz="8" w:space="0" w:color="auto"/>
            </w:tcBorders>
            <w:shd w:val="clear" w:color="auto" w:fill="auto"/>
            <w:noWrap/>
            <w:vAlign w:val="center"/>
            <w:hideMark/>
          </w:tcPr>
          <w:p w14:paraId="693C2F97"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114.677.584</w:t>
            </w:r>
          </w:p>
        </w:tc>
        <w:tc>
          <w:tcPr>
            <w:tcW w:w="1308" w:type="dxa"/>
            <w:tcBorders>
              <w:top w:val="nil"/>
              <w:left w:val="nil"/>
              <w:bottom w:val="single" w:sz="8" w:space="0" w:color="auto"/>
              <w:right w:val="nil"/>
            </w:tcBorders>
            <w:shd w:val="clear" w:color="000000" w:fill="D9D9D9"/>
            <w:noWrap/>
            <w:vAlign w:val="center"/>
            <w:hideMark/>
          </w:tcPr>
          <w:p w14:paraId="44FA9470"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114.677.584</w:t>
            </w:r>
          </w:p>
        </w:tc>
        <w:tc>
          <w:tcPr>
            <w:tcW w:w="1234" w:type="dxa"/>
            <w:tcBorders>
              <w:top w:val="nil"/>
              <w:left w:val="single" w:sz="8" w:space="0" w:color="auto"/>
              <w:bottom w:val="single" w:sz="8" w:space="0" w:color="auto"/>
              <w:right w:val="single" w:sz="8" w:space="0" w:color="auto"/>
            </w:tcBorders>
            <w:shd w:val="clear" w:color="000000" w:fill="FFC000"/>
            <w:noWrap/>
            <w:vAlign w:val="center"/>
            <w:hideMark/>
          </w:tcPr>
          <w:p w14:paraId="5C1D6BB2"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0</w:t>
            </w:r>
          </w:p>
        </w:tc>
        <w:tc>
          <w:tcPr>
            <w:tcW w:w="1268" w:type="dxa"/>
            <w:tcBorders>
              <w:top w:val="nil"/>
              <w:left w:val="nil"/>
              <w:bottom w:val="single" w:sz="8" w:space="0" w:color="auto"/>
              <w:right w:val="single" w:sz="8" w:space="0" w:color="auto"/>
            </w:tcBorders>
            <w:shd w:val="clear" w:color="000000" w:fill="D9D9D9"/>
            <w:noWrap/>
            <w:vAlign w:val="center"/>
            <w:hideMark/>
          </w:tcPr>
          <w:p w14:paraId="6FB971CA"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114.677.584</w:t>
            </w:r>
          </w:p>
        </w:tc>
      </w:tr>
      <w:tr w:rsidR="00F23ADB" w:rsidRPr="006F40D3" w14:paraId="19CE29B5"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noWrap/>
            <w:vAlign w:val="center"/>
            <w:hideMark/>
          </w:tcPr>
          <w:p w14:paraId="53B05260"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Δημόσια Δαπάνη (</w:t>
            </w:r>
            <w:r w:rsidR="00B925F9">
              <w:rPr>
                <w:rFonts w:eastAsia="Times New Roman" w:cs="Times New Roman"/>
                <w:color w:val="000000"/>
                <w:sz w:val="18"/>
                <w:szCs w:val="18"/>
                <w:lang w:eastAsia="el-GR"/>
              </w:rPr>
              <w:t>ΕΠΑνΕΚ</w:t>
            </w:r>
            <w:r w:rsidRPr="006F40D3">
              <w:rPr>
                <w:rFonts w:eastAsia="Times New Roman" w:cs="Times New Roman"/>
                <w:color w:val="000000"/>
                <w:sz w:val="18"/>
                <w:szCs w:val="18"/>
                <w:lang w:eastAsia="el-GR"/>
              </w:rPr>
              <w:t xml:space="preserve"> + ΠΕΠ + Εθνικοί Πόροι) </w:t>
            </w:r>
          </w:p>
        </w:tc>
        <w:tc>
          <w:tcPr>
            <w:tcW w:w="1134" w:type="dxa"/>
            <w:tcBorders>
              <w:top w:val="nil"/>
              <w:left w:val="nil"/>
              <w:bottom w:val="single" w:sz="8" w:space="0" w:color="auto"/>
              <w:right w:val="single" w:sz="8" w:space="0" w:color="auto"/>
            </w:tcBorders>
            <w:shd w:val="clear" w:color="auto" w:fill="auto"/>
            <w:noWrap/>
            <w:vAlign w:val="center"/>
            <w:hideMark/>
          </w:tcPr>
          <w:p w14:paraId="2E55201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365.179.491</w:t>
            </w:r>
          </w:p>
        </w:tc>
        <w:tc>
          <w:tcPr>
            <w:tcW w:w="1290" w:type="dxa"/>
            <w:tcBorders>
              <w:top w:val="nil"/>
              <w:left w:val="nil"/>
              <w:bottom w:val="single" w:sz="8" w:space="0" w:color="auto"/>
              <w:right w:val="single" w:sz="8" w:space="0" w:color="auto"/>
            </w:tcBorders>
            <w:shd w:val="clear" w:color="000000" w:fill="FFFFFF"/>
            <w:noWrap/>
            <w:vAlign w:val="center"/>
            <w:hideMark/>
          </w:tcPr>
          <w:p w14:paraId="12BDE050"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220.585.089</w:t>
            </w:r>
          </w:p>
        </w:tc>
        <w:tc>
          <w:tcPr>
            <w:tcW w:w="1308" w:type="dxa"/>
            <w:tcBorders>
              <w:top w:val="nil"/>
              <w:left w:val="nil"/>
              <w:bottom w:val="single" w:sz="8" w:space="0" w:color="auto"/>
              <w:right w:val="nil"/>
            </w:tcBorders>
            <w:shd w:val="clear" w:color="000000" w:fill="D9D9D9"/>
            <w:noWrap/>
            <w:vAlign w:val="center"/>
            <w:hideMark/>
          </w:tcPr>
          <w:p w14:paraId="1953267F"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585.764.580</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25F889EA"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211.208.378</w:t>
            </w:r>
          </w:p>
        </w:tc>
        <w:tc>
          <w:tcPr>
            <w:tcW w:w="1268" w:type="dxa"/>
            <w:tcBorders>
              <w:top w:val="nil"/>
              <w:left w:val="nil"/>
              <w:bottom w:val="single" w:sz="8" w:space="0" w:color="auto"/>
              <w:right w:val="single" w:sz="8" w:space="0" w:color="auto"/>
            </w:tcBorders>
            <w:shd w:val="clear" w:color="000000" w:fill="D9D9D9"/>
            <w:noWrap/>
            <w:vAlign w:val="center"/>
            <w:hideMark/>
          </w:tcPr>
          <w:p w14:paraId="4ACF9D30"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796.972.958</w:t>
            </w:r>
          </w:p>
        </w:tc>
      </w:tr>
      <w:tr w:rsidR="00F23ADB" w:rsidRPr="006F40D3" w14:paraId="74B590A4"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FFFF00"/>
            <w:noWrap/>
            <w:vAlign w:val="center"/>
            <w:hideMark/>
          </w:tcPr>
          <w:p w14:paraId="1522D47B"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Πράξη 1η: Ποσά άμεσης επιχορήγησης (</w:t>
            </w:r>
            <w:r w:rsidR="00B925F9">
              <w:rPr>
                <w:rFonts w:eastAsia="Times New Roman" w:cs="Times New Roman"/>
                <w:color w:val="000000"/>
                <w:sz w:val="18"/>
                <w:szCs w:val="18"/>
                <w:lang w:eastAsia="el-GR"/>
              </w:rPr>
              <w:t>ΕΠΑνΕΚ</w:t>
            </w:r>
            <w:r w:rsidRPr="006F40D3">
              <w:rPr>
                <w:rFonts w:eastAsia="Times New Roman" w:cs="Times New Roman"/>
                <w:color w:val="000000"/>
                <w:sz w:val="18"/>
                <w:szCs w:val="18"/>
                <w:lang w:eastAsia="el-GR"/>
              </w:rPr>
              <w:t>)</w:t>
            </w:r>
          </w:p>
        </w:tc>
        <w:tc>
          <w:tcPr>
            <w:tcW w:w="1134" w:type="dxa"/>
            <w:tcBorders>
              <w:top w:val="nil"/>
              <w:left w:val="nil"/>
              <w:bottom w:val="single" w:sz="8" w:space="0" w:color="auto"/>
              <w:right w:val="single" w:sz="8" w:space="0" w:color="auto"/>
            </w:tcBorders>
            <w:shd w:val="clear" w:color="000000" w:fill="FFFF00"/>
            <w:noWrap/>
            <w:vAlign w:val="center"/>
            <w:hideMark/>
          </w:tcPr>
          <w:p w14:paraId="743E3059"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332.881.964</w:t>
            </w:r>
          </w:p>
        </w:tc>
        <w:tc>
          <w:tcPr>
            <w:tcW w:w="1290" w:type="dxa"/>
            <w:tcBorders>
              <w:top w:val="nil"/>
              <w:left w:val="nil"/>
              <w:bottom w:val="single" w:sz="8" w:space="0" w:color="auto"/>
              <w:right w:val="single" w:sz="8" w:space="0" w:color="auto"/>
            </w:tcBorders>
            <w:shd w:val="clear" w:color="000000" w:fill="FFFF00"/>
            <w:noWrap/>
            <w:vAlign w:val="center"/>
            <w:hideMark/>
          </w:tcPr>
          <w:p w14:paraId="10D1B2FB"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85.271.750</w:t>
            </w:r>
          </w:p>
        </w:tc>
        <w:tc>
          <w:tcPr>
            <w:tcW w:w="1308" w:type="dxa"/>
            <w:tcBorders>
              <w:top w:val="nil"/>
              <w:left w:val="nil"/>
              <w:bottom w:val="single" w:sz="8" w:space="0" w:color="auto"/>
              <w:right w:val="nil"/>
            </w:tcBorders>
            <w:shd w:val="clear" w:color="000000" w:fill="FFFF00"/>
            <w:noWrap/>
            <w:vAlign w:val="center"/>
            <w:hideMark/>
          </w:tcPr>
          <w:p w14:paraId="57CC0958"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418.153.714</w:t>
            </w:r>
          </w:p>
        </w:tc>
        <w:tc>
          <w:tcPr>
            <w:tcW w:w="1234" w:type="dxa"/>
            <w:tcBorders>
              <w:top w:val="nil"/>
              <w:left w:val="single" w:sz="8" w:space="0" w:color="auto"/>
              <w:bottom w:val="single" w:sz="8" w:space="0" w:color="auto"/>
              <w:right w:val="single" w:sz="8" w:space="0" w:color="auto"/>
            </w:tcBorders>
            <w:shd w:val="clear" w:color="000000" w:fill="FFFF00"/>
            <w:noWrap/>
            <w:vAlign w:val="center"/>
            <w:hideMark/>
          </w:tcPr>
          <w:p w14:paraId="498F5DB8"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69.171.942</w:t>
            </w:r>
          </w:p>
        </w:tc>
        <w:tc>
          <w:tcPr>
            <w:tcW w:w="1268" w:type="dxa"/>
            <w:tcBorders>
              <w:top w:val="nil"/>
              <w:left w:val="nil"/>
              <w:bottom w:val="single" w:sz="8" w:space="0" w:color="auto"/>
              <w:right w:val="single" w:sz="8" w:space="0" w:color="auto"/>
            </w:tcBorders>
            <w:shd w:val="clear" w:color="000000" w:fill="FFFF00"/>
            <w:noWrap/>
            <w:vAlign w:val="center"/>
            <w:hideMark/>
          </w:tcPr>
          <w:p w14:paraId="1C0B3323"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487.325.657</w:t>
            </w:r>
          </w:p>
        </w:tc>
      </w:tr>
      <w:tr w:rsidR="00F23ADB" w:rsidRPr="006F40D3" w14:paraId="73EAC4A1"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FFFF00"/>
            <w:vAlign w:val="center"/>
            <w:hideMark/>
          </w:tcPr>
          <w:p w14:paraId="747AD5FE"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Πράξη 2η: Ενίσχυση Ταμείου "Εξοικονομώ ΙΙ" (</w:t>
            </w:r>
            <w:r w:rsidR="00B925F9">
              <w:rPr>
                <w:rFonts w:eastAsia="Times New Roman" w:cs="Times New Roman"/>
                <w:color w:val="000000"/>
                <w:sz w:val="18"/>
                <w:szCs w:val="18"/>
                <w:lang w:eastAsia="el-GR"/>
              </w:rPr>
              <w:t>ΕΠΑνΕΚ</w:t>
            </w:r>
            <w:r w:rsidRPr="006F40D3">
              <w:rPr>
                <w:rFonts w:eastAsia="Times New Roman" w:cs="Times New Roman"/>
                <w:color w:val="000000"/>
                <w:sz w:val="18"/>
                <w:szCs w:val="18"/>
                <w:lang w:eastAsia="el-GR"/>
              </w:rPr>
              <w:t>)</w:t>
            </w:r>
          </w:p>
        </w:tc>
        <w:tc>
          <w:tcPr>
            <w:tcW w:w="1134" w:type="dxa"/>
            <w:tcBorders>
              <w:top w:val="nil"/>
              <w:left w:val="nil"/>
              <w:bottom w:val="single" w:sz="8" w:space="0" w:color="auto"/>
              <w:right w:val="single" w:sz="8" w:space="0" w:color="auto"/>
            </w:tcBorders>
            <w:shd w:val="clear" w:color="000000" w:fill="FFFF00"/>
            <w:noWrap/>
            <w:vAlign w:val="center"/>
            <w:hideMark/>
          </w:tcPr>
          <w:p w14:paraId="27705933"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57.723.426</w:t>
            </w:r>
          </w:p>
        </w:tc>
        <w:tc>
          <w:tcPr>
            <w:tcW w:w="1290" w:type="dxa"/>
            <w:tcBorders>
              <w:top w:val="nil"/>
              <w:left w:val="nil"/>
              <w:bottom w:val="single" w:sz="8" w:space="0" w:color="auto"/>
              <w:right w:val="single" w:sz="8" w:space="0" w:color="auto"/>
            </w:tcBorders>
            <w:shd w:val="clear" w:color="000000" w:fill="92D050"/>
            <w:noWrap/>
            <w:vAlign w:val="center"/>
            <w:hideMark/>
          </w:tcPr>
          <w:p w14:paraId="1C1AD0F9"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30.269.823</w:t>
            </w:r>
          </w:p>
        </w:tc>
        <w:tc>
          <w:tcPr>
            <w:tcW w:w="1308" w:type="dxa"/>
            <w:tcBorders>
              <w:top w:val="nil"/>
              <w:left w:val="nil"/>
              <w:bottom w:val="single" w:sz="8" w:space="0" w:color="auto"/>
              <w:right w:val="nil"/>
            </w:tcBorders>
            <w:shd w:val="clear" w:color="000000" w:fill="548235"/>
            <w:noWrap/>
            <w:vAlign w:val="center"/>
            <w:hideMark/>
          </w:tcPr>
          <w:p w14:paraId="4BCF92F5" w14:textId="77777777" w:rsidR="00F23ADB" w:rsidRPr="006F40D3" w:rsidRDefault="00F23ADB" w:rsidP="00A66891">
            <w:pPr>
              <w:autoSpaceDE/>
              <w:autoSpaceDN/>
              <w:adjustRightInd/>
              <w:spacing w:before="0" w:after="0" w:line="240" w:lineRule="auto"/>
              <w:jc w:val="right"/>
              <w:rPr>
                <w:rFonts w:eastAsia="Times New Roman" w:cs="Times New Roman"/>
                <w:b/>
                <w:bCs/>
                <w:color w:val="FFFFFF"/>
                <w:sz w:val="18"/>
                <w:szCs w:val="18"/>
                <w:lang w:eastAsia="el-GR"/>
              </w:rPr>
            </w:pPr>
            <w:r w:rsidRPr="006F40D3">
              <w:rPr>
                <w:rFonts w:eastAsia="Times New Roman" w:cs="Times New Roman"/>
                <w:b/>
                <w:bCs/>
                <w:color w:val="FFFFFF"/>
                <w:sz w:val="18"/>
                <w:szCs w:val="18"/>
                <w:lang w:eastAsia="el-GR"/>
              </w:rPr>
              <w:t>87.993.249</w:t>
            </w:r>
          </w:p>
        </w:tc>
        <w:tc>
          <w:tcPr>
            <w:tcW w:w="1234" w:type="dxa"/>
            <w:tcBorders>
              <w:top w:val="nil"/>
              <w:left w:val="single" w:sz="8" w:space="0" w:color="auto"/>
              <w:bottom w:val="single" w:sz="8" w:space="0" w:color="auto"/>
              <w:right w:val="single" w:sz="8" w:space="0" w:color="auto"/>
            </w:tcBorders>
            <w:shd w:val="clear" w:color="000000" w:fill="92D050"/>
            <w:noWrap/>
            <w:vAlign w:val="center"/>
            <w:hideMark/>
          </w:tcPr>
          <w:p w14:paraId="7545AB2D" w14:textId="77777777" w:rsidR="00F23ADB" w:rsidRPr="006949E3" w:rsidRDefault="00F23ADB" w:rsidP="00A66891">
            <w:pPr>
              <w:autoSpaceDE/>
              <w:autoSpaceDN/>
              <w:adjustRightInd/>
              <w:spacing w:before="0" w:after="0" w:line="240" w:lineRule="auto"/>
              <w:jc w:val="right"/>
              <w:rPr>
                <w:rFonts w:eastAsia="Times New Roman" w:cs="Times New Roman"/>
                <w:b/>
                <w:color w:val="000000"/>
                <w:sz w:val="18"/>
                <w:szCs w:val="18"/>
                <w:lang w:eastAsia="el-GR"/>
              </w:rPr>
            </w:pPr>
            <w:r w:rsidRPr="006949E3">
              <w:rPr>
                <w:rFonts w:eastAsia="Times New Roman" w:cs="Times New Roman"/>
                <w:b/>
                <w:color w:val="000000"/>
                <w:sz w:val="18"/>
                <w:szCs w:val="18"/>
                <w:lang w:eastAsia="el-GR"/>
              </w:rPr>
              <w:t>27.039.869</w:t>
            </w:r>
          </w:p>
        </w:tc>
        <w:tc>
          <w:tcPr>
            <w:tcW w:w="1268" w:type="dxa"/>
            <w:tcBorders>
              <w:top w:val="nil"/>
              <w:left w:val="nil"/>
              <w:bottom w:val="single" w:sz="8" w:space="0" w:color="auto"/>
              <w:right w:val="single" w:sz="8" w:space="0" w:color="auto"/>
            </w:tcBorders>
            <w:shd w:val="clear" w:color="000000" w:fill="FFFF00"/>
            <w:noWrap/>
            <w:vAlign w:val="center"/>
            <w:hideMark/>
          </w:tcPr>
          <w:p w14:paraId="0CC4C5F3" w14:textId="77777777" w:rsidR="00F23ADB" w:rsidRPr="006949E3" w:rsidRDefault="00F23ADB" w:rsidP="00A66891">
            <w:pPr>
              <w:autoSpaceDE/>
              <w:autoSpaceDN/>
              <w:adjustRightInd/>
              <w:spacing w:before="0" w:after="0" w:line="240" w:lineRule="auto"/>
              <w:jc w:val="right"/>
              <w:rPr>
                <w:rFonts w:eastAsia="Times New Roman" w:cs="Times New Roman"/>
                <w:b/>
                <w:color w:val="000000"/>
                <w:sz w:val="18"/>
                <w:szCs w:val="18"/>
                <w:lang w:eastAsia="el-GR"/>
              </w:rPr>
            </w:pPr>
            <w:r w:rsidRPr="006949E3">
              <w:rPr>
                <w:rFonts w:eastAsia="Times New Roman" w:cs="Times New Roman"/>
                <w:b/>
                <w:color w:val="000000"/>
                <w:sz w:val="18"/>
                <w:szCs w:val="18"/>
                <w:lang w:eastAsia="el-GR"/>
              </w:rPr>
              <w:t>115.033.118</w:t>
            </w:r>
          </w:p>
        </w:tc>
      </w:tr>
      <w:tr w:rsidR="00F23ADB" w:rsidRPr="006F40D3" w14:paraId="404BD599"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FFFF00"/>
            <w:vAlign w:val="center"/>
            <w:hideMark/>
          </w:tcPr>
          <w:p w14:paraId="10864E06" w14:textId="77777777" w:rsidR="00F23ADB" w:rsidRPr="006F40D3" w:rsidRDefault="00F23ADB" w:rsidP="00A66891">
            <w:pPr>
              <w:autoSpaceDE/>
              <w:autoSpaceDN/>
              <w:adjustRightInd/>
              <w:spacing w:before="0" w:after="0" w:line="240" w:lineRule="auto"/>
              <w:jc w:val="left"/>
              <w:rPr>
                <w:rFonts w:eastAsia="Times New Roman" w:cs="Times New Roman"/>
                <w:i/>
                <w:iCs/>
                <w:color w:val="000000"/>
                <w:sz w:val="18"/>
                <w:szCs w:val="18"/>
                <w:lang w:eastAsia="el-GR"/>
              </w:rPr>
            </w:pPr>
            <w:r w:rsidRPr="006F40D3">
              <w:rPr>
                <w:rFonts w:eastAsia="Times New Roman" w:cs="Times New Roman"/>
                <w:i/>
                <w:iCs/>
                <w:color w:val="000000"/>
                <w:sz w:val="18"/>
                <w:szCs w:val="18"/>
                <w:lang w:eastAsia="el-GR"/>
              </w:rPr>
              <w:t xml:space="preserve">ΣΥΝΟΛΙΚΗ ΔΗΜΟΣΙΑ ΔΑΠΑΝΗ </w:t>
            </w:r>
            <w:r w:rsidR="00B925F9">
              <w:rPr>
                <w:rFonts w:eastAsia="Times New Roman" w:cs="Times New Roman"/>
                <w:i/>
                <w:iCs/>
                <w:color w:val="000000"/>
                <w:sz w:val="18"/>
                <w:szCs w:val="18"/>
                <w:lang w:eastAsia="el-GR"/>
              </w:rPr>
              <w:t>ΕΠΑνΕΚ</w:t>
            </w:r>
          </w:p>
        </w:tc>
        <w:tc>
          <w:tcPr>
            <w:tcW w:w="1134" w:type="dxa"/>
            <w:tcBorders>
              <w:top w:val="nil"/>
              <w:left w:val="nil"/>
              <w:bottom w:val="single" w:sz="8" w:space="0" w:color="auto"/>
              <w:right w:val="single" w:sz="8" w:space="0" w:color="auto"/>
            </w:tcBorders>
            <w:shd w:val="clear" w:color="000000" w:fill="FFFF00"/>
            <w:noWrap/>
            <w:vAlign w:val="center"/>
            <w:hideMark/>
          </w:tcPr>
          <w:p w14:paraId="0B6C07A3"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390.605.389</w:t>
            </w:r>
          </w:p>
        </w:tc>
        <w:tc>
          <w:tcPr>
            <w:tcW w:w="1290" w:type="dxa"/>
            <w:tcBorders>
              <w:top w:val="nil"/>
              <w:left w:val="nil"/>
              <w:bottom w:val="single" w:sz="8" w:space="0" w:color="auto"/>
              <w:right w:val="single" w:sz="8" w:space="0" w:color="auto"/>
            </w:tcBorders>
            <w:shd w:val="clear" w:color="000000" w:fill="FFFF00"/>
            <w:noWrap/>
            <w:vAlign w:val="center"/>
            <w:hideMark/>
          </w:tcPr>
          <w:p w14:paraId="4A6DA852"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115.541.574</w:t>
            </w:r>
          </w:p>
        </w:tc>
        <w:tc>
          <w:tcPr>
            <w:tcW w:w="1308" w:type="dxa"/>
            <w:tcBorders>
              <w:top w:val="nil"/>
              <w:left w:val="nil"/>
              <w:bottom w:val="single" w:sz="8" w:space="0" w:color="auto"/>
              <w:right w:val="nil"/>
            </w:tcBorders>
            <w:shd w:val="clear" w:color="000000" w:fill="FFFF00"/>
            <w:noWrap/>
            <w:vAlign w:val="center"/>
            <w:hideMark/>
          </w:tcPr>
          <w:p w14:paraId="6BDF1CCA"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506.146.963</w:t>
            </w:r>
          </w:p>
        </w:tc>
        <w:tc>
          <w:tcPr>
            <w:tcW w:w="1234" w:type="dxa"/>
            <w:tcBorders>
              <w:top w:val="nil"/>
              <w:left w:val="single" w:sz="8" w:space="0" w:color="auto"/>
              <w:bottom w:val="single" w:sz="8" w:space="0" w:color="auto"/>
              <w:right w:val="single" w:sz="8" w:space="0" w:color="auto"/>
            </w:tcBorders>
            <w:shd w:val="clear" w:color="000000" w:fill="FFFF00"/>
            <w:noWrap/>
            <w:vAlign w:val="center"/>
            <w:hideMark/>
          </w:tcPr>
          <w:p w14:paraId="69606AC4"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96.211.811</w:t>
            </w:r>
          </w:p>
        </w:tc>
        <w:tc>
          <w:tcPr>
            <w:tcW w:w="1268" w:type="dxa"/>
            <w:tcBorders>
              <w:top w:val="nil"/>
              <w:left w:val="nil"/>
              <w:bottom w:val="single" w:sz="8" w:space="0" w:color="auto"/>
              <w:right w:val="single" w:sz="8" w:space="0" w:color="auto"/>
            </w:tcBorders>
            <w:shd w:val="clear" w:color="000000" w:fill="FFFF00"/>
            <w:noWrap/>
            <w:vAlign w:val="center"/>
            <w:hideMark/>
          </w:tcPr>
          <w:p w14:paraId="32ECC4EF"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602.358.774</w:t>
            </w:r>
          </w:p>
        </w:tc>
      </w:tr>
      <w:tr w:rsidR="00F23ADB" w:rsidRPr="006F40D3" w14:paraId="1E772BA8"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384E2114"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Επιστροφές από Ταμείο "Εξοικονομώ" (2007-2013)</w:t>
            </w:r>
          </w:p>
        </w:tc>
        <w:tc>
          <w:tcPr>
            <w:tcW w:w="1134" w:type="dxa"/>
            <w:tcBorders>
              <w:top w:val="nil"/>
              <w:left w:val="nil"/>
              <w:bottom w:val="single" w:sz="8" w:space="0" w:color="auto"/>
              <w:right w:val="single" w:sz="8" w:space="0" w:color="auto"/>
            </w:tcBorders>
            <w:shd w:val="clear" w:color="auto" w:fill="auto"/>
            <w:noWrap/>
            <w:vAlign w:val="center"/>
            <w:hideMark/>
          </w:tcPr>
          <w:p w14:paraId="2857D595"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0</w:t>
            </w:r>
          </w:p>
        </w:tc>
        <w:tc>
          <w:tcPr>
            <w:tcW w:w="1290" w:type="dxa"/>
            <w:tcBorders>
              <w:top w:val="nil"/>
              <w:left w:val="nil"/>
              <w:bottom w:val="single" w:sz="8" w:space="0" w:color="auto"/>
              <w:right w:val="single" w:sz="8" w:space="0" w:color="auto"/>
            </w:tcBorders>
            <w:shd w:val="clear" w:color="000000" w:fill="FFFFFF"/>
            <w:noWrap/>
            <w:vAlign w:val="center"/>
            <w:hideMark/>
          </w:tcPr>
          <w:p w14:paraId="4CA97C63"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4.172.934</w:t>
            </w:r>
          </w:p>
        </w:tc>
        <w:tc>
          <w:tcPr>
            <w:tcW w:w="1308" w:type="dxa"/>
            <w:tcBorders>
              <w:top w:val="nil"/>
              <w:left w:val="nil"/>
              <w:bottom w:val="single" w:sz="8" w:space="0" w:color="auto"/>
              <w:right w:val="nil"/>
            </w:tcBorders>
            <w:shd w:val="clear" w:color="000000" w:fill="D9D9D9"/>
            <w:noWrap/>
            <w:vAlign w:val="center"/>
            <w:hideMark/>
          </w:tcPr>
          <w:p w14:paraId="1D15B1D7"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4.172.934</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645450B5"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6.861.898</w:t>
            </w:r>
          </w:p>
        </w:tc>
        <w:tc>
          <w:tcPr>
            <w:tcW w:w="1268" w:type="dxa"/>
            <w:tcBorders>
              <w:top w:val="nil"/>
              <w:left w:val="nil"/>
              <w:bottom w:val="single" w:sz="8" w:space="0" w:color="auto"/>
              <w:right w:val="single" w:sz="8" w:space="0" w:color="auto"/>
            </w:tcBorders>
            <w:shd w:val="clear" w:color="000000" w:fill="D9D9D9"/>
            <w:vAlign w:val="center"/>
            <w:hideMark/>
          </w:tcPr>
          <w:p w14:paraId="11A91429"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11.034.832</w:t>
            </w:r>
          </w:p>
        </w:tc>
      </w:tr>
      <w:tr w:rsidR="00F23ADB" w:rsidRPr="006F40D3" w14:paraId="40BB0867"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5CD29FCD"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Έξοδα τραπεζών</w:t>
            </w:r>
          </w:p>
        </w:tc>
        <w:tc>
          <w:tcPr>
            <w:tcW w:w="1134" w:type="dxa"/>
            <w:tcBorders>
              <w:top w:val="nil"/>
              <w:left w:val="nil"/>
              <w:bottom w:val="single" w:sz="8" w:space="0" w:color="auto"/>
              <w:right w:val="single" w:sz="8" w:space="0" w:color="auto"/>
            </w:tcBorders>
            <w:shd w:val="clear" w:color="auto" w:fill="auto"/>
            <w:noWrap/>
            <w:vAlign w:val="center"/>
            <w:hideMark/>
          </w:tcPr>
          <w:p w14:paraId="17495829"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0</w:t>
            </w:r>
          </w:p>
        </w:tc>
        <w:tc>
          <w:tcPr>
            <w:tcW w:w="1290" w:type="dxa"/>
            <w:tcBorders>
              <w:top w:val="nil"/>
              <w:left w:val="nil"/>
              <w:bottom w:val="single" w:sz="8" w:space="0" w:color="auto"/>
              <w:right w:val="single" w:sz="8" w:space="0" w:color="auto"/>
            </w:tcBorders>
            <w:shd w:val="clear" w:color="000000" w:fill="FFFFFF"/>
            <w:noWrap/>
            <w:vAlign w:val="center"/>
            <w:hideMark/>
          </w:tcPr>
          <w:p w14:paraId="73C7EAD1"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2.485.262</w:t>
            </w:r>
          </w:p>
        </w:tc>
        <w:tc>
          <w:tcPr>
            <w:tcW w:w="1308" w:type="dxa"/>
            <w:tcBorders>
              <w:top w:val="nil"/>
              <w:left w:val="nil"/>
              <w:bottom w:val="single" w:sz="8" w:space="0" w:color="auto"/>
              <w:right w:val="nil"/>
            </w:tcBorders>
            <w:shd w:val="clear" w:color="000000" w:fill="D9D9D9"/>
            <w:noWrap/>
            <w:vAlign w:val="center"/>
            <w:hideMark/>
          </w:tcPr>
          <w:p w14:paraId="57885088"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2.485.262</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23864DF2"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3.203.121</w:t>
            </w:r>
          </w:p>
        </w:tc>
        <w:tc>
          <w:tcPr>
            <w:tcW w:w="1268" w:type="dxa"/>
            <w:tcBorders>
              <w:top w:val="nil"/>
              <w:left w:val="nil"/>
              <w:bottom w:val="single" w:sz="8" w:space="0" w:color="auto"/>
              <w:right w:val="single" w:sz="8" w:space="0" w:color="auto"/>
            </w:tcBorders>
            <w:shd w:val="clear" w:color="000000" w:fill="D9D9D9"/>
            <w:vAlign w:val="center"/>
            <w:hideMark/>
          </w:tcPr>
          <w:p w14:paraId="7268FCE6"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5.688.383</w:t>
            </w:r>
          </w:p>
        </w:tc>
      </w:tr>
      <w:tr w:rsidR="00F23ADB" w:rsidRPr="006F40D3" w14:paraId="7B50FBB4"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623E3334"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Δανειακά κεφάλαια ταμείου</w:t>
            </w:r>
          </w:p>
        </w:tc>
        <w:tc>
          <w:tcPr>
            <w:tcW w:w="1134" w:type="dxa"/>
            <w:tcBorders>
              <w:top w:val="nil"/>
              <w:left w:val="nil"/>
              <w:bottom w:val="single" w:sz="8" w:space="0" w:color="auto"/>
              <w:right w:val="single" w:sz="8" w:space="0" w:color="auto"/>
            </w:tcBorders>
            <w:shd w:val="clear" w:color="000000" w:fill="FFFFFF"/>
            <w:noWrap/>
            <w:vAlign w:val="center"/>
            <w:hideMark/>
          </w:tcPr>
          <w:p w14:paraId="073F3F4A"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41.171.387</w:t>
            </w:r>
          </w:p>
        </w:tc>
        <w:tc>
          <w:tcPr>
            <w:tcW w:w="1290" w:type="dxa"/>
            <w:tcBorders>
              <w:top w:val="nil"/>
              <w:left w:val="nil"/>
              <w:bottom w:val="single" w:sz="8" w:space="0" w:color="auto"/>
              <w:right w:val="single" w:sz="8" w:space="0" w:color="auto"/>
            </w:tcBorders>
            <w:shd w:val="clear" w:color="auto" w:fill="auto"/>
            <w:noWrap/>
            <w:vAlign w:val="center"/>
            <w:hideMark/>
          </w:tcPr>
          <w:p w14:paraId="206BB4DB"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20.505.733</w:t>
            </w:r>
          </w:p>
        </w:tc>
        <w:tc>
          <w:tcPr>
            <w:tcW w:w="1308" w:type="dxa"/>
            <w:tcBorders>
              <w:top w:val="nil"/>
              <w:left w:val="nil"/>
              <w:bottom w:val="single" w:sz="8" w:space="0" w:color="auto"/>
              <w:right w:val="nil"/>
            </w:tcBorders>
            <w:shd w:val="clear" w:color="000000" w:fill="D9D9D9"/>
            <w:noWrap/>
            <w:vAlign w:val="center"/>
            <w:hideMark/>
          </w:tcPr>
          <w:p w14:paraId="5F05E729"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61.677.120</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0081F32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17.741.149</w:t>
            </w:r>
          </w:p>
        </w:tc>
        <w:tc>
          <w:tcPr>
            <w:tcW w:w="1268" w:type="dxa"/>
            <w:tcBorders>
              <w:top w:val="nil"/>
              <w:left w:val="nil"/>
              <w:bottom w:val="single" w:sz="8" w:space="0" w:color="auto"/>
              <w:right w:val="single" w:sz="8" w:space="0" w:color="auto"/>
            </w:tcBorders>
            <w:shd w:val="clear" w:color="000000" w:fill="D9D9D9"/>
            <w:vAlign w:val="center"/>
            <w:hideMark/>
          </w:tcPr>
          <w:p w14:paraId="145AD2AD"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79.418.269</w:t>
            </w:r>
          </w:p>
        </w:tc>
      </w:tr>
      <w:tr w:rsidR="00F23ADB" w:rsidRPr="006F40D3" w14:paraId="625CE9E7"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6CD53152"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Επιδότηση επιτοκίου</w:t>
            </w:r>
          </w:p>
        </w:tc>
        <w:tc>
          <w:tcPr>
            <w:tcW w:w="1134" w:type="dxa"/>
            <w:tcBorders>
              <w:top w:val="nil"/>
              <w:left w:val="nil"/>
              <w:bottom w:val="single" w:sz="8" w:space="0" w:color="auto"/>
              <w:right w:val="single" w:sz="8" w:space="0" w:color="auto"/>
            </w:tcBorders>
            <w:shd w:val="clear" w:color="000000" w:fill="FFFFFF"/>
            <w:noWrap/>
            <w:vAlign w:val="center"/>
            <w:hideMark/>
          </w:tcPr>
          <w:p w14:paraId="49D201DC"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14.331.907</w:t>
            </w:r>
          </w:p>
        </w:tc>
        <w:tc>
          <w:tcPr>
            <w:tcW w:w="1290" w:type="dxa"/>
            <w:tcBorders>
              <w:top w:val="nil"/>
              <w:left w:val="nil"/>
              <w:bottom w:val="single" w:sz="8" w:space="0" w:color="auto"/>
              <w:right w:val="single" w:sz="8" w:space="0" w:color="auto"/>
            </w:tcBorders>
            <w:shd w:val="clear" w:color="000000" w:fill="FFFFFF"/>
            <w:noWrap/>
            <w:vAlign w:val="center"/>
            <w:hideMark/>
          </w:tcPr>
          <w:p w14:paraId="189E447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8.599.867</w:t>
            </w:r>
          </w:p>
        </w:tc>
        <w:tc>
          <w:tcPr>
            <w:tcW w:w="1308" w:type="dxa"/>
            <w:tcBorders>
              <w:top w:val="nil"/>
              <w:left w:val="nil"/>
              <w:bottom w:val="single" w:sz="8" w:space="0" w:color="auto"/>
              <w:right w:val="nil"/>
            </w:tcBorders>
            <w:shd w:val="clear" w:color="000000" w:fill="D9D9D9"/>
            <w:noWrap/>
            <w:vAlign w:val="center"/>
            <w:hideMark/>
          </w:tcPr>
          <w:p w14:paraId="0AB65B03"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22.931.773</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10CE2F46"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8.258.725</w:t>
            </w:r>
          </w:p>
        </w:tc>
        <w:tc>
          <w:tcPr>
            <w:tcW w:w="1268" w:type="dxa"/>
            <w:tcBorders>
              <w:top w:val="nil"/>
              <w:left w:val="nil"/>
              <w:bottom w:val="single" w:sz="8" w:space="0" w:color="auto"/>
              <w:right w:val="single" w:sz="8" w:space="0" w:color="auto"/>
            </w:tcBorders>
            <w:shd w:val="clear" w:color="000000" w:fill="D9D9D9"/>
            <w:vAlign w:val="center"/>
            <w:hideMark/>
          </w:tcPr>
          <w:p w14:paraId="50F85836"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31.190.498</w:t>
            </w:r>
          </w:p>
        </w:tc>
      </w:tr>
      <w:tr w:rsidR="00F23ADB" w:rsidRPr="006F40D3" w14:paraId="51787C8B"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21863E67"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Σύνολο νέου ταμείου</w:t>
            </w:r>
          </w:p>
        </w:tc>
        <w:tc>
          <w:tcPr>
            <w:tcW w:w="1134" w:type="dxa"/>
            <w:tcBorders>
              <w:top w:val="nil"/>
              <w:left w:val="nil"/>
              <w:bottom w:val="single" w:sz="8" w:space="0" w:color="auto"/>
              <w:right w:val="single" w:sz="8" w:space="0" w:color="auto"/>
            </w:tcBorders>
            <w:shd w:val="clear" w:color="000000" w:fill="FFFFFF"/>
            <w:noWrap/>
            <w:vAlign w:val="center"/>
            <w:hideMark/>
          </w:tcPr>
          <w:p w14:paraId="3614B615"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55.503.294</w:t>
            </w:r>
          </w:p>
        </w:tc>
        <w:tc>
          <w:tcPr>
            <w:tcW w:w="1290" w:type="dxa"/>
            <w:tcBorders>
              <w:top w:val="nil"/>
              <w:left w:val="nil"/>
              <w:bottom w:val="single" w:sz="8" w:space="0" w:color="auto"/>
              <w:right w:val="single" w:sz="8" w:space="0" w:color="auto"/>
            </w:tcBorders>
            <w:shd w:val="clear" w:color="000000" w:fill="FFFFFF"/>
            <w:noWrap/>
            <w:vAlign w:val="center"/>
            <w:hideMark/>
          </w:tcPr>
          <w:p w14:paraId="539A141A"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29.105.599</w:t>
            </w:r>
          </w:p>
        </w:tc>
        <w:tc>
          <w:tcPr>
            <w:tcW w:w="1308" w:type="dxa"/>
            <w:tcBorders>
              <w:top w:val="nil"/>
              <w:left w:val="nil"/>
              <w:bottom w:val="single" w:sz="8" w:space="0" w:color="auto"/>
              <w:right w:val="nil"/>
            </w:tcBorders>
            <w:shd w:val="clear" w:color="000000" w:fill="D9D9D9"/>
            <w:noWrap/>
            <w:vAlign w:val="center"/>
            <w:hideMark/>
          </w:tcPr>
          <w:p w14:paraId="5902066E"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84.608.893</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3DBD93C3"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25.999.874</w:t>
            </w:r>
          </w:p>
        </w:tc>
        <w:tc>
          <w:tcPr>
            <w:tcW w:w="1268" w:type="dxa"/>
            <w:tcBorders>
              <w:top w:val="nil"/>
              <w:left w:val="nil"/>
              <w:bottom w:val="single" w:sz="8" w:space="0" w:color="auto"/>
              <w:right w:val="single" w:sz="8" w:space="0" w:color="auto"/>
            </w:tcBorders>
            <w:shd w:val="clear" w:color="000000" w:fill="D9D9D9"/>
            <w:vAlign w:val="center"/>
            <w:hideMark/>
          </w:tcPr>
          <w:p w14:paraId="2CDA6599"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110.608.767</w:t>
            </w:r>
          </w:p>
        </w:tc>
      </w:tr>
      <w:tr w:rsidR="00F23ADB" w:rsidRPr="006F40D3" w14:paraId="585C68E8"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164EB1CC"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 xml:space="preserve">Δείκτης Χρηματοοικονομικής </w:t>
            </w:r>
            <w:proofErr w:type="spellStart"/>
            <w:r w:rsidRPr="006F40D3">
              <w:rPr>
                <w:rFonts w:eastAsia="Times New Roman" w:cs="Times New Roman"/>
                <w:color w:val="000000"/>
                <w:sz w:val="18"/>
                <w:szCs w:val="18"/>
                <w:lang w:eastAsia="el-GR"/>
              </w:rPr>
              <w:t>μόχλευσης</w:t>
            </w:r>
            <w:proofErr w:type="spellEnd"/>
            <w:r w:rsidRPr="006F40D3">
              <w:rPr>
                <w:rFonts w:eastAsia="Times New Roman" w:cs="Times New Roman"/>
                <w:color w:val="000000"/>
                <w:sz w:val="18"/>
                <w:szCs w:val="18"/>
                <w:lang w:eastAsia="el-GR"/>
              </w:rPr>
              <w:t xml:space="preserve"> (</w:t>
            </w:r>
            <w:proofErr w:type="spellStart"/>
            <w:r w:rsidRPr="006F40D3">
              <w:rPr>
                <w:rFonts w:eastAsia="Times New Roman" w:cs="Times New Roman"/>
                <w:color w:val="000000"/>
                <w:sz w:val="18"/>
                <w:szCs w:val="18"/>
                <w:lang w:eastAsia="el-GR"/>
              </w:rPr>
              <w:t>leverage</w:t>
            </w:r>
            <w:proofErr w:type="spellEnd"/>
            <w:r w:rsidRPr="006F40D3">
              <w:rPr>
                <w:rFonts w:eastAsia="Times New Roman" w:cs="Times New Roman"/>
                <w:color w:val="000000"/>
                <w:sz w:val="18"/>
                <w:szCs w:val="18"/>
                <w:lang w:eastAsia="el-GR"/>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640795A8"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w:t>
            </w:r>
          </w:p>
        </w:tc>
        <w:tc>
          <w:tcPr>
            <w:tcW w:w="1290" w:type="dxa"/>
            <w:tcBorders>
              <w:top w:val="nil"/>
              <w:left w:val="nil"/>
              <w:bottom w:val="single" w:sz="8" w:space="0" w:color="auto"/>
              <w:right w:val="single" w:sz="8" w:space="0" w:color="auto"/>
            </w:tcBorders>
            <w:shd w:val="clear" w:color="auto" w:fill="auto"/>
            <w:vAlign w:val="center"/>
            <w:hideMark/>
          </w:tcPr>
          <w:p w14:paraId="120530DD"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w:t>
            </w:r>
          </w:p>
        </w:tc>
        <w:tc>
          <w:tcPr>
            <w:tcW w:w="1308" w:type="dxa"/>
            <w:tcBorders>
              <w:top w:val="nil"/>
              <w:left w:val="nil"/>
              <w:bottom w:val="single" w:sz="8" w:space="0" w:color="auto"/>
              <w:right w:val="nil"/>
            </w:tcBorders>
            <w:shd w:val="clear" w:color="000000" w:fill="D9D9D9"/>
            <w:vAlign w:val="center"/>
            <w:hideMark/>
          </w:tcPr>
          <w:p w14:paraId="6C305829"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2</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15B320D9"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w:t>
            </w:r>
          </w:p>
        </w:tc>
        <w:tc>
          <w:tcPr>
            <w:tcW w:w="1268" w:type="dxa"/>
            <w:tcBorders>
              <w:top w:val="nil"/>
              <w:left w:val="nil"/>
              <w:bottom w:val="single" w:sz="8" w:space="0" w:color="auto"/>
              <w:right w:val="single" w:sz="8" w:space="0" w:color="auto"/>
            </w:tcBorders>
            <w:shd w:val="clear" w:color="000000" w:fill="D9D9D9"/>
            <w:vAlign w:val="center"/>
            <w:hideMark/>
          </w:tcPr>
          <w:p w14:paraId="13FFD35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w:t>
            </w:r>
          </w:p>
        </w:tc>
      </w:tr>
      <w:tr w:rsidR="00F23ADB" w:rsidRPr="006F40D3" w14:paraId="6A39E630"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6C31691D"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Έξοδα διαχείρισης ΕΑΤ Α.Ε. (</w:t>
            </w:r>
            <w:proofErr w:type="spellStart"/>
            <w:r w:rsidRPr="006F40D3">
              <w:rPr>
                <w:rFonts w:eastAsia="Times New Roman" w:cs="Times New Roman"/>
                <w:color w:val="000000"/>
                <w:sz w:val="18"/>
                <w:szCs w:val="18"/>
                <w:lang w:eastAsia="el-GR"/>
              </w:rPr>
              <w:t>εκτιμητέο</w:t>
            </w:r>
            <w:proofErr w:type="spellEnd"/>
            <w:r w:rsidRPr="006F40D3">
              <w:rPr>
                <w:rFonts w:eastAsia="Times New Roman" w:cs="Times New Roman"/>
                <w:color w:val="000000"/>
                <w:sz w:val="18"/>
                <w:szCs w:val="18"/>
                <w:lang w:eastAsia="el-GR"/>
              </w:rPr>
              <w:t xml:space="preserve"> ποσοστό)</w:t>
            </w:r>
          </w:p>
        </w:tc>
        <w:tc>
          <w:tcPr>
            <w:tcW w:w="1134" w:type="dxa"/>
            <w:tcBorders>
              <w:top w:val="nil"/>
              <w:left w:val="nil"/>
              <w:bottom w:val="single" w:sz="8" w:space="0" w:color="auto"/>
              <w:right w:val="single" w:sz="8" w:space="0" w:color="auto"/>
            </w:tcBorders>
            <w:shd w:val="clear" w:color="auto" w:fill="auto"/>
            <w:vAlign w:val="center"/>
            <w:hideMark/>
          </w:tcPr>
          <w:p w14:paraId="3E9A7FC3"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4,00%</w:t>
            </w:r>
          </w:p>
        </w:tc>
        <w:tc>
          <w:tcPr>
            <w:tcW w:w="1290" w:type="dxa"/>
            <w:tcBorders>
              <w:top w:val="nil"/>
              <w:left w:val="nil"/>
              <w:bottom w:val="single" w:sz="8" w:space="0" w:color="auto"/>
              <w:right w:val="single" w:sz="8" w:space="0" w:color="auto"/>
            </w:tcBorders>
            <w:shd w:val="clear" w:color="000000" w:fill="FFFFFF"/>
            <w:vAlign w:val="center"/>
            <w:hideMark/>
          </w:tcPr>
          <w:p w14:paraId="482429FD"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4,00%</w:t>
            </w:r>
          </w:p>
        </w:tc>
        <w:tc>
          <w:tcPr>
            <w:tcW w:w="1308" w:type="dxa"/>
            <w:tcBorders>
              <w:top w:val="nil"/>
              <w:left w:val="nil"/>
              <w:bottom w:val="single" w:sz="8" w:space="0" w:color="auto"/>
              <w:right w:val="nil"/>
            </w:tcBorders>
            <w:shd w:val="clear" w:color="000000" w:fill="D9D9D9"/>
            <w:vAlign w:val="center"/>
            <w:hideMark/>
          </w:tcPr>
          <w:p w14:paraId="2E6BBA0F"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4,00%</w:t>
            </w:r>
          </w:p>
        </w:tc>
        <w:tc>
          <w:tcPr>
            <w:tcW w:w="1234" w:type="dxa"/>
            <w:tcBorders>
              <w:top w:val="nil"/>
              <w:left w:val="single" w:sz="8" w:space="0" w:color="auto"/>
              <w:bottom w:val="single" w:sz="8" w:space="0" w:color="auto"/>
              <w:right w:val="single" w:sz="8" w:space="0" w:color="auto"/>
            </w:tcBorders>
            <w:shd w:val="clear" w:color="000000" w:fill="FFFFFF"/>
            <w:vAlign w:val="center"/>
            <w:hideMark/>
          </w:tcPr>
          <w:p w14:paraId="75CDA18B"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4,00%</w:t>
            </w:r>
          </w:p>
        </w:tc>
        <w:tc>
          <w:tcPr>
            <w:tcW w:w="1268" w:type="dxa"/>
            <w:tcBorders>
              <w:top w:val="nil"/>
              <w:left w:val="nil"/>
              <w:bottom w:val="single" w:sz="8" w:space="0" w:color="auto"/>
              <w:right w:val="single" w:sz="8" w:space="0" w:color="auto"/>
            </w:tcBorders>
            <w:shd w:val="clear" w:color="000000" w:fill="D9D9D9"/>
            <w:vAlign w:val="center"/>
            <w:hideMark/>
          </w:tcPr>
          <w:p w14:paraId="6CBB585D"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4,00%</w:t>
            </w:r>
          </w:p>
        </w:tc>
      </w:tr>
      <w:tr w:rsidR="00F23ADB" w:rsidRPr="006F40D3" w14:paraId="6463D228"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4A40A9C3"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Έξοδα διαχείρισης τραπεζών ανά φάκελο</w:t>
            </w:r>
          </w:p>
        </w:tc>
        <w:tc>
          <w:tcPr>
            <w:tcW w:w="1134" w:type="dxa"/>
            <w:tcBorders>
              <w:top w:val="nil"/>
              <w:left w:val="nil"/>
              <w:bottom w:val="single" w:sz="8" w:space="0" w:color="auto"/>
              <w:right w:val="single" w:sz="8" w:space="0" w:color="auto"/>
            </w:tcBorders>
            <w:shd w:val="clear" w:color="000000" w:fill="FFFFFF"/>
            <w:vAlign w:val="center"/>
            <w:hideMark/>
          </w:tcPr>
          <w:p w14:paraId="2DBD6E04" w14:textId="77777777" w:rsidR="00F23ADB" w:rsidRPr="006F40D3" w:rsidRDefault="00F23ADB" w:rsidP="00A66891">
            <w:pPr>
              <w:autoSpaceDE/>
              <w:autoSpaceDN/>
              <w:adjustRightInd/>
              <w:spacing w:before="0" w:after="0" w:line="240" w:lineRule="auto"/>
              <w:jc w:val="right"/>
              <w:rPr>
                <w:rFonts w:eastAsia="Times New Roman" w:cs="Times New Roman"/>
                <w:color w:val="FF0000"/>
                <w:sz w:val="18"/>
                <w:szCs w:val="18"/>
                <w:lang w:eastAsia="el-GR"/>
              </w:rPr>
            </w:pPr>
            <w:r w:rsidRPr="006F40D3">
              <w:rPr>
                <w:rFonts w:eastAsia="Times New Roman" w:cs="Times New Roman"/>
                <w:color w:val="FF0000"/>
                <w:sz w:val="18"/>
                <w:szCs w:val="18"/>
                <w:lang w:eastAsia="el-GR"/>
              </w:rPr>
              <w:t>95</w:t>
            </w:r>
          </w:p>
        </w:tc>
        <w:tc>
          <w:tcPr>
            <w:tcW w:w="1290" w:type="dxa"/>
            <w:tcBorders>
              <w:top w:val="nil"/>
              <w:left w:val="nil"/>
              <w:bottom w:val="single" w:sz="8" w:space="0" w:color="auto"/>
              <w:right w:val="single" w:sz="8" w:space="0" w:color="auto"/>
            </w:tcBorders>
            <w:shd w:val="clear" w:color="000000" w:fill="FFFFFF"/>
            <w:vAlign w:val="center"/>
            <w:hideMark/>
          </w:tcPr>
          <w:p w14:paraId="57325091" w14:textId="77777777" w:rsidR="00F23ADB" w:rsidRPr="006F40D3" w:rsidRDefault="00F23ADB" w:rsidP="00A66891">
            <w:pPr>
              <w:autoSpaceDE/>
              <w:autoSpaceDN/>
              <w:adjustRightInd/>
              <w:spacing w:before="0" w:after="0" w:line="240" w:lineRule="auto"/>
              <w:jc w:val="right"/>
              <w:rPr>
                <w:rFonts w:eastAsia="Times New Roman" w:cs="Times New Roman"/>
                <w:color w:val="FF0000"/>
                <w:sz w:val="18"/>
                <w:szCs w:val="18"/>
                <w:lang w:eastAsia="el-GR"/>
              </w:rPr>
            </w:pPr>
            <w:r w:rsidRPr="006F40D3">
              <w:rPr>
                <w:rFonts w:eastAsia="Times New Roman" w:cs="Times New Roman"/>
                <w:color w:val="FF0000"/>
                <w:sz w:val="18"/>
                <w:szCs w:val="18"/>
                <w:lang w:eastAsia="el-GR"/>
              </w:rPr>
              <w:t>95</w:t>
            </w:r>
          </w:p>
        </w:tc>
        <w:tc>
          <w:tcPr>
            <w:tcW w:w="1308" w:type="dxa"/>
            <w:tcBorders>
              <w:top w:val="nil"/>
              <w:left w:val="nil"/>
              <w:bottom w:val="single" w:sz="8" w:space="0" w:color="auto"/>
              <w:right w:val="nil"/>
            </w:tcBorders>
            <w:shd w:val="clear" w:color="000000" w:fill="D9D9D9"/>
            <w:vAlign w:val="center"/>
            <w:hideMark/>
          </w:tcPr>
          <w:p w14:paraId="40499E99" w14:textId="77777777" w:rsidR="00F23ADB" w:rsidRPr="006F40D3" w:rsidRDefault="00F23ADB" w:rsidP="00A66891">
            <w:pPr>
              <w:autoSpaceDE/>
              <w:autoSpaceDN/>
              <w:adjustRightInd/>
              <w:spacing w:before="0" w:after="0" w:line="240" w:lineRule="auto"/>
              <w:jc w:val="right"/>
              <w:rPr>
                <w:rFonts w:eastAsia="Times New Roman" w:cs="Times New Roman"/>
                <w:color w:val="FF0000"/>
                <w:sz w:val="18"/>
                <w:szCs w:val="18"/>
                <w:lang w:eastAsia="el-GR"/>
              </w:rPr>
            </w:pPr>
            <w:r w:rsidRPr="006F40D3">
              <w:rPr>
                <w:rFonts w:eastAsia="Times New Roman" w:cs="Times New Roman"/>
                <w:color w:val="FF0000"/>
                <w:sz w:val="18"/>
                <w:szCs w:val="18"/>
                <w:lang w:eastAsia="el-GR"/>
              </w:rPr>
              <w:t>95</w:t>
            </w:r>
          </w:p>
        </w:tc>
        <w:tc>
          <w:tcPr>
            <w:tcW w:w="1234" w:type="dxa"/>
            <w:tcBorders>
              <w:top w:val="nil"/>
              <w:left w:val="single" w:sz="8" w:space="0" w:color="auto"/>
              <w:bottom w:val="single" w:sz="8" w:space="0" w:color="auto"/>
              <w:right w:val="single" w:sz="8" w:space="0" w:color="auto"/>
            </w:tcBorders>
            <w:shd w:val="clear" w:color="000000" w:fill="FFFFFF"/>
            <w:vAlign w:val="center"/>
            <w:hideMark/>
          </w:tcPr>
          <w:p w14:paraId="635617D7"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95</w:t>
            </w:r>
          </w:p>
        </w:tc>
        <w:tc>
          <w:tcPr>
            <w:tcW w:w="1268" w:type="dxa"/>
            <w:tcBorders>
              <w:top w:val="nil"/>
              <w:left w:val="nil"/>
              <w:bottom w:val="single" w:sz="8" w:space="0" w:color="auto"/>
              <w:right w:val="single" w:sz="8" w:space="0" w:color="auto"/>
            </w:tcBorders>
            <w:shd w:val="clear" w:color="000000" w:fill="D9D9D9"/>
            <w:vAlign w:val="center"/>
            <w:hideMark/>
          </w:tcPr>
          <w:p w14:paraId="78DD7F26"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95</w:t>
            </w:r>
          </w:p>
        </w:tc>
      </w:tr>
      <w:tr w:rsidR="00F23ADB" w:rsidRPr="006F40D3" w14:paraId="11E9A9DA"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noWrap/>
            <w:vAlign w:val="center"/>
            <w:hideMark/>
          </w:tcPr>
          <w:p w14:paraId="64824463"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Δανειακά</w:t>
            </w:r>
            <w:r>
              <w:rPr>
                <w:rFonts w:eastAsia="Times New Roman" w:cs="Times New Roman"/>
                <w:color w:val="000000"/>
                <w:sz w:val="18"/>
                <w:szCs w:val="18"/>
                <w:lang w:eastAsia="el-GR"/>
              </w:rPr>
              <w:t xml:space="preserve"> </w:t>
            </w:r>
            <w:r w:rsidRPr="006F40D3">
              <w:rPr>
                <w:rFonts w:eastAsia="Times New Roman" w:cs="Times New Roman"/>
                <w:color w:val="000000"/>
                <w:sz w:val="18"/>
                <w:szCs w:val="18"/>
                <w:lang w:eastAsia="el-GR"/>
              </w:rPr>
              <w:t xml:space="preserve">Κεφάλαια τραπεζών </w:t>
            </w:r>
          </w:p>
        </w:tc>
        <w:tc>
          <w:tcPr>
            <w:tcW w:w="1134" w:type="dxa"/>
            <w:tcBorders>
              <w:top w:val="nil"/>
              <w:left w:val="nil"/>
              <w:bottom w:val="single" w:sz="8" w:space="0" w:color="auto"/>
              <w:right w:val="single" w:sz="8" w:space="0" w:color="auto"/>
            </w:tcBorders>
            <w:shd w:val="clear" w:color="000000" w:fill="FFFFFF"/>
            <w:noWrap/>
            <w:vAlign w:val="center"/>
            <w:hideMark/>
          </w:tcPr>
          <w:p w14:paraId="74866D77"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82.342.774</w:t>
            </w:r>
          </w:p>
        </w:tc>
        <w:tc>
          <w:tcPr>
            <w:tcW w:w="1290" w:type="dxa"/>
            <w:tcBorders>
              <w:top w:val="nil"/>
              <w:left w:val="nil"/>
              <w:bottom w:val="single" w:sz="8" w:space="0" w:color="auto"/>
              <w:right w:val="single" w:sz="8" w:space="0" w:color="auto"/>
            </w:tcBorders>
            <w:shd w:val="clear" w:color="auto" w:fill="auto"/>
            <w:noWrap/>
            <w:vAlign w:val="center"/>
            <w:hideMark/>
          </w:tcPr>
          <w:p w14:paraId="642276D3"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44.386.811</w:t>
            </w:r>
          </w:p>
        </w:tc>
        <w:tc>
          <w:tcPr>
            <w:tcW w:w="1308" w:type="dxa"/>
            <w:tcBorders>
              <w:top w:val="nil"/>
              <w:left w:val="nil"/>
              <w:bottom w:val="single" w:sz="8" w:space="0" w:color="auto"/>
              <w:right w:val="nil"/>
            </w:tcBorders>
            <w:shd w:val="clear" w:color="000000" w:fill="D9D9D9"/>
            <w:noWrap/>
            <w:vAlign w:val="center"/>
            <w:hideMark/>
          </w:tcPr>
          <w:p w14:paraId="19355B97"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126.729.586</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2F0768A7"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42.799.851</w:t>
            </w:r>
          </w:p>
        </w:tc>
        <w:tc>
          <w:tcPr>
            <w:tcW w:w="1268" w:type="dxa"/>
            <w:tcBorders>
              <w:top w:val="nil"/>
              <w:left w:val="nil"/>
              <w:bottom w:val="single" w:sz="8" w:space="0" w:color="auto"/>
              <w:right w:val="single" w:sz="8" w:space="0" w:color="auto"/>
            </w:tcBorders>
            <w:shd w:val="clear" w:color="000000" w:fill="D9D9D9"/>
            <w:noWrap/>
            <w:vAlign w:val="center"/>
            <w:hideMark/>
          </w:tcPr>
          <w:p w14:paraId="4A469C5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169.529.437</w:t>
            </w:r>
          </w:p>
        </w:tc>
      </w:tr>
      <w:tr w:rsidR="00F23ADB" w:rsidRPr="006F40D3" w14:paraId="2CC8CF26" w14:textId="77777777" w:rsidTr="00A66891">
        <w:trPr>
          <w:trHeight w:val="510"/>
        </w:trPr>
        <w:tc>
          <w:tcPr>
            <w:tcW w:w="2544" w:type="dxa"/>
            <w:tcBorders>
              <w:top w:val="nil"/>
              <w:left w:val="single" w:sz="8" w:space="0" w:color="auto"/>
              <w:bottom w:val="single" w:sz="8" w:space="0" w:color="auto"/>
              <w:right w:val="nil"/>
            </w:tcBorders>
            <w:shd w:val="clear" w:color="000000" w:fill="D9D9D9"/>
            <w:noWrap/>
            <w:vAlign w:val="center"/>
            <w:hideMark/>
          </w:tcPr>
          <w:p w14:paraId="4C25D2A8"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 xml:space="preserve">Σύνολο δανειακών κεφαλαίων </w:t>
            </w:r>
          </w:p>
        </w:tc>
        <w:tc>
          <w:tcPr>
            <w:tcW w:w="1134" w:type="dxa"/>
            <w:tcBorders>
              <w:top w:val="nil"/>
              <w:left w:val="single" w:sz="8" w:space="0" w:color="auto"/>
              <w:bottom w:val="single" w:sz="8" w:space="0" w:color="auto"/>
              <w:right w:val="single" w:sz="8" w:space="0" w:color="auto"/>
            </w:tcBorders>
            <w:shd w:val="clear" w:color="000000" w:fill="FFFFFF"/>
            <w:noWrap/>
            <w:vAlign w:val="center"/>
            <w:hideMark/>
          </w:tcPr>
          <w:p w14:paraId="620F554A"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123.514.162</w:t>
            </w:r>
          </w:p>
        </w:tc>
        <w:tc>
          <w:tcPr>
            <w:tcW w:w="1290" w:type="dxa"/>
            <w:tcBorders>
              <w:top w:val="nil"/>
              <w:left w:val="nil"/>
              <w:bottom w:val="single" w:sz="8" w:space="0" w:color="auto"/>
              <w:right w:val="single" w:sz="8" w:space="0" w:color="auto"/>
            </w:tcBorders>
            <w:shd w:val="clear" w:color="auto" w:fill="auto"/>
            <w:noWrap/>
            <w:vAlign w:val="center"/>
            <w:hideMark/>
          </w:tcPr>
          <w:p w14:paraId="0147E50F"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66.580.217</w:t>
            </w:r>
          </w:p>
        </w:tc>
        <w:tc>
          <w:tcPr>
            <w:tcW w:w="1308" w:type="dxa"/>
            <w:tcBorders>
              <w:top w:val="nil"/>
              <w:left w:val="nil"/>
              <w:bottom w:val="single" w:sz="8" w:space="0" w:color="auto"/>
              <w:right w:val="nil"/>
            </w:tcBorders>
            <w:shd w:val="clear" w:color="000000" w:fill="D9D9D9"/>
            <w:noWrap/>
            <w:vAlign w:val="center"/>
            <w:hideMark/>
          </w:tcPr>
          <w:p w14:paraId="3E2B1683"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190.094.378</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160B83EC"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64.199.777</w:t>
            </w:r>
          </w:p>
        </w:tc>
        <w:tc>
          <w:tcPr>
            <w:tcW w:w="1268" w:type="dxa"/>
            <w:tcBorders>
              <w:top w:val="nil"/>
              <w:left w:val="nil"/>
              <w:bottom w:val="single" w:sz="8" w:space="0" w:color="auto"/>
              <w:right w:val="single" w:sz="8" w:space="0" w:color="auto"/>
            </w:tcBorders>
            <w:shd w:val="clear" w:color="000000" w:fill="D9D9D9"/>
            <w:noWrap/>
            <w:vAlign w:val="center"/>
            <w:hideMark/>
          </w:tcPr>
          <w:p w14:paraId="52D0BBFE"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254.294.155</w:t>
            </w:r>
          </w:p>
        </w:tc>
      </w:tr>
      <w:tr w:rsidR="00F23ADB" w:rsidRPr="006F40D3" w14:paraId="35C7F8E2"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2EBFB069"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 xml:space="preserve">Ποσοστό επιχορήγησης ενεργειακών παρεμβάσεων </w:t>
            </w:r>
          </w:p>
        </w:tc>
        <w:tc>
          <w:tcPr>
            <w:tcW w:w="1134" w:type="dxa"/>
            <w:tcBorders>
              <w:top w:val="nil"/>
              <w:left w:val="nil"/>
              <w:bottom w:val="single" w:sz="8" w:space="0" w:color="auto"/>
              <w:right w:val="single" w:sz="8" w:space="0" w:color="auto"/>
            </w:tcBorders>
            <w:shd w:val="clear" w:color="auto" w:fill="auto"/>
            <w:noWrap/>
            <w:vAlign w:val="center"/>
            <w:hideMark/>
          </w:tcPr>
          <w:p w14:paraId="0ADF6A30"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56%</w:t>
            </w:r>
          </w:p>
        </w:tc>
        <w:tc>
          <w:tcPr>
            <w:tcW w:w="1290" w:type="dxa"/>
            <w:tcBorders>
              <w:top w:val="nil"/>
              <w:left w:val="nil"/>
              <w:bottom w:val="single" w:sz="8" w:space="0" w:color="auto"/>
              <w:right w:val="single" w:sz="8" w:space="0" w:color="auto"/>
            </w:tcBorders>
            <w:shd w:val="clear" w:color="auto" w:fill="auto"/>
            <w:noWrap/>
            <w:vAlign w:val="center"/>
            <w:hideMark/>
          </w:tcPr>
          <w:p w14:paraId="37F97633"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56%</w:t>
            </w:r>
          </w:p>
        </w:tc>
        <w:tc>
          <w:tcPr>
            <w:tcW w:w="1308" w:type="dxa"/>
            <w:tcBorders>
              <w:top w:val="nil"/>
              <w:left w:val="nil"/>
              <w:bottom w:val="single" w:sz="8" w:space="0" w:color="auto"/>
              <w:right w:val="nil"/>
            </w:tcBorders>
            <w:shd w:val="clear" w:color="000000" w:fill="D9D9D9"/>
            <w:noWrap/>
            <w:vAlign w:val="center"/>
            <w:hideMark/>
          </w:tcPr>
          <w:p w14:paraId="7838564B"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56%</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24537E4C"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56%</w:t>
            </w:r>
          </w:p>
        </w:tc>
        <w:tc>
          <w:tcPr>
            <w:tcW w:w="1268" w:type="dxa"/>
            <w:tcBorders>
              <w:top w:val="nil"/>
              <w:left w:val="nil"/>
              <w:bottom w:val="single" w:sz="8" w:space="0" w:color="auto"/>
              <w:right w:val="single" w:sz="8" w:space="0" w:color="auto"/>
            </w:tcBorders>
            <w:shd w:val="clear" w:color="000000" w:fill="D9D9D9"/>
            <w:noWrap/>
            <w:vAlign w:val="center"/>
            <w:hideMark/>
          </w:tcPr>
          <w:p w14:paraId="3220F79C"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56%</w:t>
            </w:r>
          </w:p>
        </w:tc>
      </w:tr>
      <w:tr w:rsidR="00F23ADB" w:rsidRPr="006F40D3" w14:paraId="665C23B1"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53A3CE71"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 xml:space="preserve">Αριθμός κατοικιών που αναβαθμίζονται </w:t>
            </w:r>
            <w:r w:rsidR="00A66891" w:rsidRPr="006F40D3">
              <w:rPr>
                <w:rFonts w:eastAsia="Times New Roman" w:cs="Times New Roman"/>
                <w:color w:val="000000"/>
                <w:sz w:val="18"/>
                <w:szCs w:val="18"/>
                <w:lang w:eastAsia="el-GR"/>
              </w:rPr>
              <w:t>ενεργειακά</w:t>
            </w:r>
          </w:p>
        </w:tc>
        <w:tc>
          <w:tcPr>
            <w:tcW w:w="1134" w:type="dxa"/>
            <w:tcBorders>
              <w:top w:val="nil"/>
              <w:left w:val="nil"/>
              <w:bottom w:val="single" w:sz="8" w:space="0" w:color="auto"/>
              <w:right w:val="single" w:sz="8" w:space="0" w:color="auto"/>
            </w:tcBorders>
            <w:shd w:val="clear" w:color="auto" w:fill="auto"/>
            <w:noWrap/>
            <w:vAlign w:val="center"/>
            <w:hideMark/>
          </w:tcPr>
          <w:p w14:paraId="4E33A4CF"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42.646</w:t>
            </w:r>
          </w:p>
        </w:tc>
        <w:tc>
          <w:tcPr>
            <w:tcW w:w="1290" w:type="dxa"/>
            <w:tcBorders>
              <w:top w:val="nil"/>
              <w:left w:val="nil"/>
              <w:bottom w:val="single" w:sz="8" w:space="0" w:color="auto"/>
              <w:right w:val="single" w:sz="8" w:space="0" w:color="auto"/>
            </w:tcBorders>
            <w:shd w:val="clear" w:color="000000" w:fill="FFFFFF"/>
            <w:noWrap/>
            <w:vAlign w:val="center"/>
            <w:hideMark/>
          </w:tcPr>
          <w:p w14:paraId="2E467849"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22.853</w:t>
            </w:r>
          </w:p>
        </w:tc>
        <w:tc>
          <w:tcPr>
            <w:tcW w:w="1308" w:type="dxa"/>
            <w:tcBorders>
              <w:top w:val="nil"/>
              <w:left w:val="nil"/>
              <w:bottom w:val="single" w:sz="8" w:space="0" w:color="auto"/>
              <w:right w:val="nil"/>
            </w:tcBorders>
            <w:shd w:val="clear" w:color="000000" w:fill="D9D9D9"/>
            <w:noWrap/>
            <w:vAlign w:val="center"/>
            <w:hideMark/>
          </w:tcPr>
          <w:p w14:paraId="60814F40"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65.529</w:t>
            </w:r>
          </w:p>
        </w:tc>
        <w:tc>
          <w:tcPr>
            <w:tcW w:w="1234" w:type="dxa"/>
            <w:tcBorders>
              <w:top w:val="nil"/>
              <w:left w:val="single" w:sz="8" w:space="0" w:color="auto"/>
              <w:bottom w:val="single" w:sz="8" w:space="0" w:color="auto"/>
              <w:right w:val="single" w:sz="8" w:space="0" w:color="auto"/>
            </w:tcBorders>
            <w:shd w:val="clear" w:color="000000" w:fill="FFFFFF"/>
            <w:noWrap/>
            <w:vAlign w:val="center"/>
            <w:hideMark/>
          </w:tcPr>
          <w:p w14:paraId="5BCA3612"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20.630</w:t>
            </w:r>
          </w:p>
        </w:tc>
        <w:tc>
          <w:tcPr>
            <w:tcW w:w="1268" w:type="dxa"/>
            <w:tcBorders>
              <w:top w:val="nil"/>
              <w:left w:val="nil"/>
              <w:bottom w:val="single" w:sz="8" w:space="0" w:color="auto"/>
              <w:right w:val="single" w:sz="8" w:space="0" w:color="auto"/>
            </w:tcBorders>
            <w:shd w:val="clear" w:color="000000" w:fill="D9D9D9"/>
            <w:noWrap/>
            <w:vAlign w:val="center"/>
            <w:hideMark/>
          </w:tcPr>
          <w:p w14:paraId="778938FC"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86.159</w:t>
            </w:r>
          </w:p>
        </w:tc>
      </w:tr>
      <w:tr w:rsidR="00F23ADB" w:rsidRPr="006F40D3" w14:paraId="382DE1F1"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77D218C9"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 xml:space="preserve">Αριθμός </w:t>
            </w:r>
            <w:proofErr w:type="spellStart"/>
            <w:r w:rsidRPr="006F40D3">
              <w:rPr>
                <w:rFonts w:eastAsia="Times New Roman" w:cs="Times New Roman"/>
                <w:color w:val="000000"/>
                <w:sz w:val="18"/>
                <w:szCs w:val="18"/>
                <w:lang w:eastAsia="el-GR"/>
              </w:rPr>
              <w:t>Απενταγμένοι</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520DCEE7"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3.726</w:t>
            </w:r>
          </w:p>
        </w:tc>
        <w:tc>
          <w:tcPr>
            <w:tcW w:w="1290" w:type="dxa"/>
            <w:tcBorders>
              <w:top w:val="nil"/>
              <w:left w:val="nil"/>
              <w:bottom w:val="single" w:sz="8" w:space="0" w:color="auto"/>
              <w:right w:val="single" w:sz="8" w:space="0" w:color="auto"/>
            </w:tcBorders>
            <w:shd w:val="clear" w:color="auto" w:fill="auto"/>
            <w:noWrap/>
            <w:vAlign w:val="center"/>
            <w:hideMark/>
          </w:tcPr>
          <w:p w14:paraId="76C765BB"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1.371</w:t>
            </w:r>
          </w:p>
        </w:tc>
        <w:tc>
          <w:tcPr>
            <w:tcW w:w="1308" w:type="dxa"/>
            <w:tcBorders>
              <w:top w:val="nil"/>
              <w:left w:val="nil"/>
              <w:bottom w:val="single" w:sz="8" w:space="0" w:color="auto"/>
              <w:right w:val="nil"/>
            </w:tcBorders>
            <w:shd w:val="clear" w:color="000000" w:fill="D9D9D9"/>
            <w:noWrap/>
            <w:vAlign w:val="center"/>
            <w:hideMark/>
          </w:tcPr>
          <w:p w14:paraId="5A96B3C3"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5.097</w:t>
            </w:r>
          </w:p>
        </w:tc>
        <w:tc>
          <w:tcPr>
            <w:tcW w:w="1234" w:type="dxa"/>
            <w:tcBorders>
              <w:top w:val="nil"/>
              <w:left w:val="single" w:sz="8" w:space="0" w:color="auto"/>
              <w:bottom w:val="single" w:sz="8" w:space="0" w:color="auto"/>
              <w:right w:val="single" w:sz="8" w:space="0" w:color="auto"/>
            </w:tcBorders>
            <w:shd w:val="clear" w:color="auto" w:fill="auto"/>
            <w:noWrap/>
            <w:vAlign w:val="center"/>
            <w:hideMark/>
          </w:tcPr>
          <w:p w14:paraId="627B315B"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0</w:t>
            </w:r>
          </w:p>
        </w:tc>
        <w:tc>
          <w:tcPr>
            <w:tcW w:w="1268" w:type="dxa"/>
            <w:tcBorders>
              <w:top w:val="nil"/>
              <w:left w:val="nil"/>
              <w:bottom w:val="single" w:sz="8" w:space="0" w:color="auto"/>
              <w:right w:val="single" w:sz="8" w:space="0" w:color="auto"/>
            </w:tcBorders>
            <w:shd w:val="clear" w:color="000000" w:fill="D9D9D9"/>
            <w:noWrap/>
            <w:vAlign w:val="center"/>
            <w:hideMark/>
          </w:tcPr>
          <w:p w14:paraId="2B215104" w14:textId="77777777" w:rsidR="00F23ADB" w:rsidRPr="006F40D3" w:rsidRDefault="00F23ADB" w:rsidP="00A66891">
            <w:pPr>
              <w:autoSpaceDE/>
              <w:autoSpaceDN/>
              <w:adjustRightInd/>
              <w:spacing w:before="0" w:after="0" w:line="240" w:lineRule="auto"/>
              <w:jc w:val="right"/>
              <w:rPr>
                <w:rFonts w:eastAsia="Times New Roman" w:cs="Times New Roman"/>
                <w:color w:val="000000"/>
                <w:sz w:val="18"/>
                <w:szCs w:val="18"/>
                <w:lang w:eastAsia="el-GR"/>
              </w:rPr>
            </w:pPr>
            <w:r w:rsidRPr="006F40D3">
              <w:rPr>
                <w:rFonts w:eastAsia="Times New Roman" w:cs="Times New Roman"/>
                <w:color w:val="000000"/>
                <w:sz w:val="18"/>
                <w:szCs w:val="18"/>
                <w:lang w:eastAsia="el-GR"/>
              </w:rPr>
              <w:t>5.097</w:t>
            </w:r>
          </w:p>
        </w:tc>
      </w:tr>
      <w:tr w:rsidR="00F23ADB" w:rsidRPr="006F40D3" w14:paraId="2809FEC2" w14:textId="77777777" w:rsidTr="00A66891">
        <w:trPr>
          <w:trHeight w:val="510"/>
        </w:trPr>
        <w:tc>
          <w:tcPr>
            <w:tcW w:w="2544" w:type="dxa"/>
            <w:tcBorders>
              <w:top w:val="nil"/>
              <w:left w:val="single" w:sz="8" w:space="0" w:color="auto"/>
              <w:bottom w:val="single" w:sz="8" w:space="0" w:color="auto"/>
              <w:right w:val="single" w:sz="8" w:space="0" w:color="auto"/>
            </w:tcBorders>
            <w:shd w:val="clear" w:color="000000" w:fill="D9D9D9"/>
            <w:vAlign w:val="center"/>
            <w:hideMark/>
          </w:tcPr>
          <w:p w14:paraId="5341AC12" w14:textId="77777777" w:rsidR="00F23ADB" w:rsidRPr="006F40D3" w:rsidRDefault="00F23ADB" w:rsidP="00A66891">
            <w:pPr>
              <w:autoSpaceDE/>
              <w:autoSpaceDN/>
              <w:adjustRightInd/>
              <w:spacing w:before="0" w:after="0" w:line="240" w:lineRule="auto"/>
              <w:jc w:val="left"/>
              <w:rPr>
                <w:rFonts w:eastAsia="Times New Roman" w:cs="Times New Roman"/>
                <w:color w:val="000000"/>
                <w:sz w:val="18"/>
                <w:szCs w:val="18"/>
                <w:lang w:eastAsia="el-GR"/>
              </w:rPr>
            </w:pPr>
            <w:r w:rsidRPr="006F40D3">
              <w:rPr>
                <w:rFonts w:eastAsia="Times New Roman" w:cs="Times New Roman"/>
                <w:color w:val="000000"/>
                <w:sz w:val="18"/>
                <w:szCs w:val="18"/>
                <w:lang w:eastAsia="el-GR"/>
              </w:rPr>
              <w:t xml:space="preserve">Αριθμός κατοικιών πλην </w:t>
            </w:r>
            <w:proofErr w:type="spellStart"/>
            <w:r w:rsidRPr="006F40D3">
              <w:rPr>
                <w:rFonts w:eastAsia="Times New Roman" w:cs="Times New Roman"/>
                <w:color w:val="000000"/>
                <w:sz w:val="18"/>
                <w:szCs w:val="18"/>
                <w:lang w:eastAsia="el-GR"/>
              </w:rPr>
              <w:t>απενταγμένων</w:t>
            </w:r>
            <w:proofErr w:type="spellEnd"/>
            <w:r w:rsidRPr="006F40D3">
              <w:rPr>
                <w:rFonts w:eastAsia="Times New Roman" w:cs="Times New Roman"/>
                <w:color w:val="000000"/>
                <w:sz w:val="18"/>
                <w:szCs w:val="18"/>
                <w:lang w:eastAsia="el-GR"/>
              </w:rPr>
              <w:t xml:space="preserve"> (ΠΕΠ + </w:t>
            </w:r>
            <w:r w:rsidR="00B925F9">
              <w:rPr>
                <w:rFonts w:eastAsia="Times New Roman" w:cs="Times New Roman"/>
                <w:color w:val="000000"/>
                <w:sz w:val="18"/>
                <w:szCs w:val="18"/>
                <w:lang w:eastAsia="el-GR"/>
              </w:rPr>
              <w:t>ΕΠΑνΕΚ</w:t>
            </w:r>
            <w:r w:rsidRPr="006F40D3">
              <w:rPr>
                <w:rFonts w:eastAsia="Times New Roman" w:cs="Times New Roman"/>
                <w:color w:val="000000"/>
                <w:sz w:val="18"/>
                <w:szCs w:val="18"/>
                <w:lang w:eastAsia="el-GR"/>
              </w:rPr>
              <w:t>)</w:t>
            </w:r>
          </w:p>
        </w:tc>
        <w:tc>
          <w:tcPr>
            <w:tcW w:w="1134" w:type="dxa"/>
            <w:tcBorders>
              <w:top w:val="nil"/>
              <w:left w:val="nil"/>
              <w:bottom w:val="single" w:sz="8" w:space="0" w:color="auto"/>
              <w:right w:val="single" w:sz="8" w:space="0" w:color="auto"/>
            </w:tcBorders>
            <w:shd w:val="clear" w:color="auto" w:fill="auto"/>
            <w:noWrap/>
            <w:vAlign w:val="center"/>
            <w:hideMark/>
          </w:tcPr>
          <w:p w14:paraId="1973205C"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38.920</w:t>
            </w:r>
          </w:p>
        </w:tc>
        <w:tc>
          <w:tcPr>
            <w:tcW w:w="1290" w:type="dxa"/>
            <w:tcBorders>
              <w:top w:val="nil"/>
              <w:left w:val="nil"/>
              <w:bottom w:val="single" w:sz="8" w:space="0" w:color="auto"/>
              <w:right w:val="single" w:sz="8" w:space="0" w:color="auto"/>
            </w:tcBorders>
            <w:shd w:val="clear" w:color="000000" w:fill="FFFFFF"/>
            <w:noWrap/>
            <w:vAlign w:val="center"/>
            <w:hideMark/>
          </w:tcPr>
          <w:p w14:paraId="70AD1986" w14:textId="77777777" w:rsidR="00F23ADB" w:rsidRPr="006F40D3" w:rsidRDefault="00F23ADB" w:rsidP="00A66891">
            <w:pPr>
              <w:autoSpaceDE/>
              <w:autoSpaceDN/>
              <w:adjustRightInd/>
              <w:spacing w:before="0" w:after="0" w:line="240" w:lineRule="auto"/>
              <w:jc w:val="right"/>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21.482</w:t>
            </w:r>
          </w:p>
        </w:tc>
        <w:tc>
          <w:tcPr>
            <w:tcW w:w="1308" w:type="dxa"/>
            <w:tcBorders>
              <w:top w:val="nil"/>
              <w:left w:val="nil"/>
              <w:bottom w:val="single" w:sz="8" w:space="0" w:color="auto"/>
              <w:right w:val="nil"/>
            </w:tcBorders>
            <w:shd w:val="clear" w:color="000000" w:fill="548235"/>
            <w:noWrap/>
            <w:vAlign w:val="center"/>
            <w:hideMark/>
          </w:tcPr>
          <w:p w14:paraId="3BB91B0C" w14:textId="77777777" w:rsidR="00F23ADB" w:rsidRPr="006F40D3" w:rsidRDefault="00F23ADB" w:rsidP="00A66891">
            <w:pPr>
              <w:autoSpaceDE/>
              <w:autoSpaceDN/>
              <w:adjustRightInd/>
              <w:spacing w:before="0" w:after="0" w:line="240" w:lineRule="auto"/>
              <w:jc w:val="right"/>
              <w:rPr>
                <w:rFonts w:eastAsia="Times New Roman" w:cs="Times New Roman"/>
                <w:b/>
                <w:bCs/>
                <w:color w:val="FFFFFF"/>
                <w:sz w:val="18"/>
                <w:szCs w:val="18"/>
                <w:lang w:eastAsia="el-GR"/>
              </w:rPr>
            </w:pPr>
            <w:r w:rsidRPr="006F40D3">
              <w:rPr>
                <w:rFonts w:eastAsia="Times New Roman" w:cs="Times New Roman"/>
                <w:b/>
                <w:bCs/>
                <w:color w:val="FFFFFF"/>
                <w:sz w:val="18"/>
                <w:szCs w:val="18"/>
                <w:lang w:eastAsia="el-GR"/>
              </w:rPr>
              <w:t>60.402</w:t>
            </w:r>
          </w:p>
        </w:tc>
        <w:tc>
          <w:tcPr>
            <w:tcW w:w="1234" w:type="dxa"/>
            <w:tcBorders>
              <w:top w:val="nil"/>
              <w:left w:val="single" w:sz="8" w:space="0" w:color="auto"/>
              <w:bottom w:val="single" w:sz="8" w:space="0" w:color="auto"/>
              <w:right w:val="single" w:sz="8" w:space="0" w:color="auto"/>
            </w:tcBorders>
            <w:shd w:val="clear" w:color="000000" w:fill="92D050"/>
            <w:noWrap/>
            <w:vAlign w:val="center"/>
            <w:hideMark/>
          </w:tcPr>
          <w:p w14:paraId="474F6E74" w14:textId="77777777" w:rsidR="00F23ADB" w:rsidRPr="006949E3" w:rsidRDefault="00F23ADB" w:rsidP="00A66891">
            <w:pPr>
              <w:autoSpaceDE/>
              <w:autoSpaceDN/>
              <w:adjustRightInd/>
              <w:spacing w:before="0" w:after="0" w:line="240" w:lineRule="auto"/>
              <w:jc w:val="right"/>
              <w:rPr>
                <w:rFonts w:eastAsia="Times New Roman" w:cs="Times New Roman"/>
                <w:b/>
                <w:color w:val="000000"/>
                <w:sz w:val="18"/>
                <w:szCs w:val="18"/>
                <w:lang w:eastAsia="el-GR"/>
              </w:rPr>
            </w:pPr>
            <w:r w:rsidRPr="006949E3">
              <w:rPr>
                <w:rFonts w:eastAsia="Times New Roman" w:cs="Times New Roman"/>
                <w:b/>
                <w:color w:val="000000"/>
                <w:sz w:val="18"/>
                <w:szCs w:val="18"/>
                <w:lang w:eastAsia="el-GR"/>
              </w:rPr>
              <w:t>20.630</w:t>
            </w:r>
          </w:p>
        </w:tc>
        <w:tc>
          <w:tcPr>
            <w:tcW w:w="1268" w:type="dxa"/>
            <w:tcBorders>
              <w:top w:val="nil"/>
              <w:left w:val="nil"/>
              <w:bottom w:val="single" w:sz="8" w:space="0" w:color="auto"/>
              <w:right w:val="single" w:sz="8" w:space="0" w:color="auto"/>
            </w:tcBorders>
            <w:shd w:val="clear" w:color="000000" w:fill="D9D9D9"/>
            <w:noWrap/>
            <w:vAlign w:val="center"/>
            <w:hideMark/>
          </w:tcPr>
          <w:p w14:paraId="4D4D42D7" w14:textId="77777777" w:rsidR="00F23ADB" w:rsidRPr="006949E3" w:rsidRDefault="00F23ADB" w:rsidP="00A66891">
            <w:pPr>
              <w:autoSpaceDE/>
              <w:autoSpaceDN/>
              <w:adjustRightInd/>
              <w:spacing w:before="0" w:after="0" w:line="240" w:lineRule="auto"/>
              <w:jc w:val="right"/>
              <w:rPr>
                <w:rFonts w:eastAsia="Times New Roman" w:cs="Times New Roman"/>
                <w:b/>
                <w:color w:val="000000"/>
                <w:sz w:val="18"/>
                <w:szCs w:val="18"/>
                <w:lang w:eastAsia="el-GR"/>
              </w:rPr>
            </w:pPr>
            <w:r w:rsidRPr="006949E3">
              <w:rPr>
                <w:rFonts w:eastAsia="Times New Roman" w:cs="Times New Roman"/>
                <w:b/>
                <w:color w:val="000000"/>
                <w:sz w:val="18"/>
                <w:szCs w:val="18"/>
                <w:lang w:eastAsia="el-GR"/>
              </w:rPr>
              <w:t>81.031</w:t>
            </w:r>
          </w:p>
        </w:tc>
      </w:tr>
      <w:tr w:rsidR="00F23ADB" w:rsidRPr="006F40D3" w14:paraId="5CB1B388" w14:textId="77777777" w:rsidTr="00A66891">
        <w:tc>
          <w:tcPr>
            <w:tcW w:w="2544" w:type="dxa"/>
            <w:tcBorders>
              <w:top w:val="nil"/>
              <w:left w:val="nil"/>
              <w:bottom w:val="nil"/>
              <w:right w:val="nil"/>
            </w:tcBorders>
            <w:shd w:val="clear" w:color="auto" w:fill="auto"/>
            <w:noWrap/>
            <w:vAlign w:val="bottom"/>
            <w:hideMark/>
          </w:tcPr>
          <w:p w14:paraId="227F2B59" w14:textId="77777777" w:rsidR="00F23ADB" w:rsidRPr="006F40D3" w:rsidRDefault="00F23ADB" w:rsidP="00E5630E">
            <w:pPr>
              <w:autoSpaceDE/>
              <w:autoSpaceDN/>
              <w:adjustRightInd/>
              <w:spacing w:before="0" w:after="0" w:line="240" w:lineRule="auto"/>
              <w:rPr>
                <w:rFonts w:eastAsia="Times New Roman" w:cs="Times New Roman"/>
                <w:color w:val="000000"/>
                <w:sz w:val="18"/>
                <w:szCs w:val="18"/>
                <w:lang w:eastAsia="el-GR"/>
              </w:rPr>
            </w:pPr>
          </w:p>
        </w:tc>
        <w:tc>
          <w:tcPr>
            <w:tcW w:w="1134" w:type="dxa"/>
            <w:tcBorders>
              <w:top w:val="nil"/>
              <w:left w:val="nil"/>
              <w:bottom w:val="nil"/>
              <w:right w:val="nil"/>
            </w:tcBorders>
            <w:shd w:val="clear" w:color="auto" w:fill="auto"/>
            <w:noWrap/>
            <w:vAlign w:val="center"/>
            <w:hideMark/>
          </w:tcPr>
          <w:p w14:paraId="03AECB21" w14:textId="77777777" w:rsidR="00F23ADB" w:rsidRPr="006F40D3" w:rsidRDefault="00F23ADB" w:rsidP="00E5630E">
            <w:pPr>
              <w:autoSpaceDE/>
              <w:autoSpaceDN/>
              <w:adjustRightInd/>
              <w:spacing w:before="0" w:after="0" w:line="240" w:lineRule="auto"/>
              <w:jc w:val="left"/>
              <w:rPr>
                <w:rFonts w:eastAsia="Times New Roman" w:cs="Times New Roman"/>
                <w:sz w:val="18"/>
                <w:szCs w:val="18"/>
                <w:lang w:eastAsia="el-GR"/>
              </w:rPr>
            </w:pPr>
          </w:p>
        </w:tc>
        <w:tc>
          <w:tcPr>
            <w:tcW w:w="1290" w:type="dxa"/>
            <w:tcBorders>
              <w:top w:val="nil"/>
              <w:left w:val="nil"/>
              <w:bottom w:val="nil"/>
              <w:right w:val="nil"/>
            </w:tcBorders>
            <w:shd w:val="clear" w:color="auto" w:fill="auto"/>
            <w:noWrap/>
            <w:vAlign w:val="center"/>
            <w:hideMark/>
          </w:tcPr>
          <w:p w14:paraId="63B363A3" w14:textId="77777777" w:rsidR="00F23ADB" w:rsidRPr="006F40D3" w:rsidRDefault="00F23ADB" w:rsidP="00E5630E">
            <w:pPr>
              <w:autoSpaceDE/>
              <w:autoSpaceDN/>
              <w:adjustRightInd/>
              <w:spacing w:before="0" w:after="0" w:line="240" w:lineRule="auto"/>
              <w:jc w:val="left"/>
              <w:rPr>
                <w:rFonts w:eastAsia="Times New Roman" w:cs="Times New Roman"/>
                <w:sz w:val="18"/>
                <w:szCs w:val="18"/>
                <w:lang w:eastAsia="el-GR"/>
              </w:rPr>
            </w:pPr>
          </w:p>
        </w:tc>
        <w:tc>
          <w:tcPr>
            <w:tcW w:w="1308" w:type="dxa"/>
            <w:tcBorders>
              <w:top w:val="nil"/>
              <w:left w:val="nil"/>
              <w:bottom w:val="nil"/>
              <w:right w:val="nil"/>
            </w:tcBorders>
            <w:shd w:val="clear" w:color="auto" w:fill="auto"/>
            <w:noWrap/>
            <w:vAlign w:val="center"/>
            <w:hideMark/>
          </w:tcPr>
          <w:p w14:paraId="74025C52" w14:textId="77777777" w:rsidR="00F23ADB" w:rsidRPr="006F40D3" w:rsidRDefault="00F23ADB" w:rsidP="00E5630E">
            <w:pPr>
              <w:autoSpaceDE/>
              <w:autoSpaceDN/>
              <w:adjustRightInd/>
              <w:spacing w:before="0" w:after="0" w:line="240" w:lineRule="auto"/>
              <w:jc w:val="left"/>
              <w:rPr>
                <w:rFonts w:eastAsia="Times New Roman" w:cs="Times New Roman"/>
                <w:sz w:val="18"/>
                <w:szCs w:val="18"/>
                <w:lang w:eastAsia="el-GR"/>
              </w:rPr>
            </w:pPr>
          </w:p>
        </w:tc>
        <w:tc>
          <w:tcPr>
            <w:tcW w:w="1234" w:type="dxa"/>
            <w:tcBorders>
              <w:top w:val="nil"/>
              <w:left w:val="nil"/>
              <w:bottom w:val="nil"/>
              <w:right w:val="nil"/>
            </w:tcBorders>
            <w:shd w:val="clear" w:color="auto" w:fill="auto"/>
            <w:noWrap/>
            <w:vAlign w:val="center"/>
            <w:hideMark/>
          </w:tcPr>
          <w:p w14:paraId="199CBC83" w14:textId="77777777" w:rsidR="00F23ADB" w:rsidRPr="006F40D3" w:rsidRDefault="00F23ADB" w:rsidP="00E5630E">
            <w:pPr>
              <w:autoSpaceDE/>
              <w:autoSpaceDN/>
              <w:adjustRightInd/>
              <w:spacing w:before="0" w:after="0" w:line="240" w:lineRule="auto"/>
              <w:jc w:val="left"/>
              <w:rPr>
                <w:rFonts w:eastAsia="Times New Roman" w:cs="Times New Roman"/>
                <w:sz w:val="18"/>
                <w:szCs w:val="18"/>
                <w:lang w:eastAsia="el-GR"/>
              </w:rPr>
            </w:pPr>
          </w:p>
        </w:tc>
        <w:tc>
          <w:tcPr>
            <w:tcW w:w="1268" w:type="dxa"/>
            <w:tcBorders>
              <w:top w:val="nil"/>
              <w:left w:val="nil"/>
              <w:bottom w:val="nil"/>
              <w:right w:val="nil"/>
            </w:tcBorders>
            <w:shd w:val="clear" w:color="auto" w:fill="auto"/>
            <w:noWrap/>
            <w:vAlign w:val="center"/>
            <w:hideMark/>
          </w:tcPr>
          <w:p w14:paraId="2CF8B7D8" w14:textId="77777777" w:rsidR="00F23ADB" w:rsidRPr="006F40D3" w:rsidRDefault="00F23ADB" w:rsidP="00E5630E">
            <w:pPr>
              <w:autoSpaceDE/>
              <w:autoSpaceDN/>
              <w:adjustRightInd/>
              <w:spacing w:before="0" w:after="0" w:line="240" w:lineRule="auto"/>
              <w:jc w:val="left"/>
              <w:rPr>
                <w:rFonts w:eastAsia="Times New Roman" w:cs="Times New Roman"/>
                <w:sz w:val="18"/>
                <w:szCs w:val="18"/>
                <w:lang w:eastAsia="el-GR"/>
              </w:rPr>
            </w:pPr>
          </w:p>
        </w:tc>
      </w:tr>
    </w:tbl>
    <w:p w14:paraId="28414EFC" w14:textId="77777777" w:rsidR="00F23ADB" w:rsidRPr="00C11A76" w:rsidRDefault="00F23ADB" w:rsidP="00F23ADB">
      <w:pPr>
        <w:spacing w:line="360" w:lineRule="auto"/>
      </w:pPr>
      <w:r w:rsidRPr="00C11A76">
        <w:lastRenderedPageBreak/>
        <w:t>Βάσει της άνω μεθοδολογίας υπολογίζονται</w:t>
      </w:r>
      <w:r w:rsidRPr="00C11A76">
        <w:rPr>
          <w:rStyle w:val="ac"/>
          <w:color w:val="000000"/>
        </w:rPr>
        <w:footnoteReference w:id="31"/>
      </w:r>
      <w:r w:rsidRPr="00C11A76">
        <w:t xml:space="preserve"> :</w:t>
      </w:r>
    </w:p>
    <w:p w14:paraId="6C7FE692" w14:textId="77777777" w:rsidR="00F23ADB" w:rsidRPr="00F23ADB" w:rsidRDefault="00F23ADB" w:rsidP="00F23ADB">
      <w:pPr>
        <w:spacing w:line="360" w:lineRule="auto"/>
      </w:pPr>
      <w:r w:rsidRPr="00F23ADB">
        <w:t xml:space="preserve">Οι απαιτούμενοι πόροι, οι οποίοι θα πρέπει να διαθέσει το </w:t>
      </w:r>
      <w:r w:rsidR="00B925F9">
        <w:t>ΕΠΑνΕΚ</w:t>
      </w:r>
      <w:r w:rsidRPr="00F23ADB">
        <w:t xml:space="preserve"> για την ενίσχυση του Ταμείου «Εξοικονομώ ΙΙ», ώστε να καλυφθούν και οι ανάγκες του τρέχοντος </w:t>
      </w:r>
      <w:r w:rsidR="00B925F9">
        <w:t>Β’ Κύκλο</w:t>
      </w:r>
      <w:r w:rsidRPr="00F23ADB">
        <w:t>υ και οι οποίοι ανέρχονται σε 88 εκ €. Συνεπώς προκύπτει ανάγκη αύξησης του κεφαλαίου του Ταμείου ΕΞΟΙΚΟΝΟΜΩ ΙΙ κατά 20</w:t>
      </w:r>
      <w:r w:rsidR="004F576E">
        <w:t>εκ.€</w:t>
      </w:r>
    </w:p>
    <w:p w14:paraId="01BD64C1" w14:textId="77777777" w:rsidR="00F23ADB" w:rsidRPr="00F23ADB" w:rsidRDefault="00F23ADB" w:rsidP="00F23ADB">
      <w:pPr>
        <w:spacing w:line="360" w:lineRule="auto"/>
      </w:pPr>
      <w:r w:rsidRPr="00F23ADB">
        <w:t xml:space="preserve">Τα δεδομένα δε που έχουν προκύψει μέχρι τώρα, όπως το πλήθος κατοικιών του </w:t>
      </w:r>
      <w:r w:rsidR="00B925F9">
        <w:t>Α’ Κύκλο</w:t>
      </w:r>
      <w:r w:rsidRPr="00F23ADB">
        <w:t xml:space="preserve">υ που έχουν υπαχθεί στο </w:t>
      </w:r>
      <w:r w:rsidR="00971D9A">
        <w:t>Πρόγραμμα</w:t>
      </w:r>
      <w:r w:rsidRPr="00F23ADB">
        <w:t xml:space="preserve"> και βαίνουν σήμερα προς ολοκλήρωση (38.920), υπερκαλύπτουν την εκτίμηση της ανάλυσης (38.572 κατοικίες). Τίθενται επίσης ως δεδομένο πως έπεται και η ολοκλήρωση </w:t>
      </w:r>
      <w:proofErr w:type="spellStart"/>
      <w:r w:rsidRPr="00F23ADB">
        <w:t>κατ΄εκτίμηση</w:t>
      </w:r>
      <w:proofErr w:type="spellEnd"/>
      <w:r w:rsidRPr="00F23ADB">
        <w:t xml:space="preserve"> 21.482 κατοικιών από τον </w:t>
      </w:r>
      <w:r w:rsidR="00B925F9">
        <w:t>Β’ Κύκλο</w:t>
      </w:r>
      <w:r w:rsidRPr="00F23ADB">
        <w:t xml:space="preserve"> του </w:t>
      </w:r>
      <w:r w:rsidR="00971D9A">
        <w:t>Προγράμματος</w:t>
      </w:r>
      <w:r w:rsidRPr="00F23ADB">
        <w:t xml:space="preserve">, με το σύνολο να ανέρχεται σε 60.402 κατοικίες. </w:t>
      </w:r>
      <w:r w:rsidR="003C13AC" w:rsidRPr="00F23ADB">
        <w:t xml:space="preserve">Με δεδομένο το όριο των 602 εκ € του </w:t>
      </w:r>
      <w:r w:rsidR="003C13AC">
        <w:t>Προγράμματος</w:t>
      </w:r>
      <w:r w:rsidR="003C13AC" w:rsidRPr="00F23ADB">
        <w:t xml:space="preserve"> </w:t>
      </w:r>
      <w:r w:rsidR="003C13AC">
        <w:t>ΕΠΑνΕΚ,</w:t>
      </w:r>
      <w:r w:rsidR="003C13AC" w:rsidRPr="00F23ADB">
        <w:t xml:space="preserve"> </w:t>
      </w:r>
      <w:r w:rsidR="003C13AC">
        <w:t>θ</w:t>
      </w:r>
      <w:r w:rsidRPr="00F23ADB">
        <w:t xml:space="preserve">α πρέπει επίσης να ληφθεί υπόψη η δυναμική του </w:t>
      </w:r>
      <w:r w:rsidR="00971D9A">
        <w:t>Προγράμματος</w:t>
      </w:r>
      <w:r w:rsidRPr="00F23ADB">
        <w:t xml:space="preserve"> και η δυνατότητα για μελλοντική κάλυψη επιπλέον 20.630 κατοικιών, ανεβάζοντας τον μέγιστο αριθμό αναβαθμισμένων κατοικιών σε 81.031.</w:t>
      </w:r>
      <w:r w:rsidR="003C13AC" w:rsidRPr="00F23ADB">
        <w:t xml:space="preserve"> </w:t>
      </w:r>
      <w:r w:rsidR="003C13AC">
        <w:t>Στην περίπτωση αυτή ο</w:t>
      </w:r>
      <w:r w:rsidR="003C13AC" w:rsidRPr="00F23ADB">
        <w:t xml:space="preserve">ι απαιτήσεις για επιπλέον συνεισφορά του Ταμείου «Εξοικονομώ ΙΙ» σε έναν δυνητικό Γ’ Κύκλο (με την προϋπόθεση των ίδιων όρων και υποχρεώσεων με τον </w:t>
      </w:r>
      <w:r w:rsidR="003C13AC">
        <w:t>Β’ Κύκλο</w:t>
      </w:r>
      <w:r w:rsidR="003C13AC" w:rsidRPr="00F23ADB">
        <w:t xml:space="preserve">) ανέρχονται σε </w:t>
      </w:r>
      <w:r w:rsidR="003C13AC">
        <w:t xml:space="preserve">επιπλέον </w:t>
      </w:r>
      <w:r w:rsidR="003C13AC" w:rsidRPr="00F23ADB">
        <w:t>27 εκ €. αύξηση κεφαλαίου</w:t>
      </w:r>
      <w:r w:rsidR="003C13AC">
        <w:t xml:space="preserve"> με το κεφάλαιο του Ταμείου να διαμορφώνεται σε 115 εκ€</w:t>
      </w:r>
      <w:r w:rsidR="003C13AC" w:rsidRPr="00F23ADB">
        <w:t xml:space="preserve">. </w:t>
      </w:r>
    </w:p>
    <w:p w14:paraId="59CF0160" w14:textId="4A4221AE" w:rsidR="00F23ADB" w:rsidRDefault="00583899" w:rsidP="00F23ADB">
      <w:pPr>
        <w:spacing w:line="360" w:lineRule="auto"/>
      </w:pPr>
      <w:r>
        <w:t>Η ενδεικτική κατανομή των πόρων των 88 εκ.€ στους άξονες του Επιχειρησιακού Προγράμματος παρατίθενται στον παρακάτω πίνακα:</w:t>
      </w:r>
    </w:p>
    <w:tbl>
      <w:tblPr>
        <w:tblW w:w="8490" w:type="dxa"/>
        <w:tblInd w:w="392" w:type="dxa"/>
        <w:tblLayout w:type="fixed"/>
        <w:tblLook w:val="04A0" w:firstRow="1" w:lastRow="0" w:firstColumn="1" w:lastColumn="0" w:noHBand="0" w:noVBand="1"/>
      </w:tblPr>
      <w:tblGrid>
        <w:gridCol w:w="1501"/>
        <w:gridCol w:w="3421"/>
        <w:gridCol w:w="1784"/>
        <w:gridCol w:w="1784"/>
      </w:tblGrid>
      <w:tr w:rsidR="00583899" w14:paraId="097581A9" w14:textId="77777777" w:rsidTr="00583899">
        <w:trPr>
          <w:trHeight w:val="814"/>
        </w:trPr>
        <w:tc>
          <w:tcPr>
            <w:tcW w:w="4922" w:type="dxa"/>
            <w:gridSpan w:val="2"/>
            <w:tcBorders>
              <w:top w:val="nil"/>
              <w:left w:val="nil"/>
              <w:bottom w:val="single" w:sz="8" w:space="0" w:color="auto"/>
              <w:right w:val="single" w:sz="8" w:space="0" w:color="000000"/>
            </w:tcBorders>
            <w:noWrap/>
            <w:vAlign w:val="bottom"/>
            <w:hideMark/>
          </w:tcPr>
          <w:p w14:paraId="2CF917A4" w14:textId="77777777" w:rsidR="00583899" w:rsidRDefault="00583899">
            <w:pPr>
              <w:spacing w:beforeLines="60" w:before="144" w:afterLines="60" w:after="144" w:line="276" w:lineRule="auto"/>
              <w:jc w:val="center"/>
              <w:rPr>
                <w:rFonts w:ascii="Arial" w:eastAsia="Times New Roman" w:hAnsi="Arial"/>
                <w:b/>
                <w:color w:val="000000"/>
                <w:sz w:val="20"/>
              </w:rPr>
            </w:pPr>
            <w:r>
              <w:rPr>
                <w:rFonts w:ascii="Arial" w:hAnsi="Arial"/>
                <w:b/>
                <w:color w:val="000000"/>
                <w:sz w:val="20"/>
              </w:rPr>
              <w:t>Κατηγορία Περιφέρειας</w:t>
            </w:r>
          </w:p>
        </w:tc>
        <w:tc>
          <w:tcPr>
            <w:tcW w:w="1784" w:type="dxa"/>
            <w:tcBorders>
              <w:top w:val="single" w:sz="8" w:space="0" w:color="auto"/>
              <w:left w:val="nil"/>
              <w:bottom w:val="single" w:sz="8" w:space="0" w:color="auto"/>
              <w:right w:val="single" w:sz="8" w:space="0" w:color="auto"/>
            </w:tcBorders>
            <w:vAlign w:val="center"/>
            <w:hideMark/>
          </w:tcPr>
          <w:p w14:paraId="6B0CC1D2" w14:textId="77777777" w:rsidR="00583899" w:rsidRDefault="00583899">
            <w:pPr>
              <w:spacing w:beforeLines="60" w:before="144" w:afterLines="60" w:after="144" w:line="276" w:lineRule="auto"/>
              <w:jc w:val="center"/>
              <w:rPr>
                <w:rFonts w:ascii="Arial" w:hAnsi="Arial"/>
                <w:color w:val="000000"/>
                <w:sz w:val="18"/>
              </w:rPr>
            </w:pPr>
            <w:r>
              <w:rPr>
                <w:rFonts w:ascii="Arial" w:hAnsi="Arial"/>
                <w:color w:val="000000"/>
                <w:sz w:val="18"/>
              </w:rPr>
              <w:t>Άξονας Προτεραιότητας 3</w:t>
            </w:r>
          </w:p>
        </w:tc>
        <w:tc>
          <w:tcPr>
            <w:tcW w:w="1784" w:type="dxa"/>
            <w:tcBorders>
              <w:top w:val="single" w:sz="8" w:space="0" w:color="auto"/>
              <w:left w:val="nil"/>
              <w:bottom w:val="single" w:sz="8" w:space="0" w:color="auto"/>
              <w:right w:val="single" w:sz="8" w:space="0" w:color="auto"/>
            </w:tcBorders>
            <w:vAlign w:val="center"/>
            <w:hideMark/>
          </w:tcPr>
          <w:p w14:paraId="63748DEC" w14:textId="77777777" w:rsidR="00583899" w:rsidRDefault="00583899">
            <w:pPr>
              <w:spacing w:beforeLines="60" w:before="144" w:afterLines="60" w:after="144" w:line="276" w:lineRule="auto"/>
              <w:jc w:val="center"/>
              <w:rPr>
                <w:rFonts w:ascii="Arial" w:hAnsi="Arial"/>
                <w:color w:val="000000"/>
                <w:sz w:val="18"/>
              </w:rPr>
            </w:pPr>
            <w:r>
              <w:rPr>
                <w:rFonts w:ascii="Arial" w:hAnsi="Arial"/>
                <w:color w:val="000000"/>
                <w:sz w:val="18"/>
              </w:rPr>
              <w:t>Άξονας Προτεραιότητας 3Σ</w:t>
            </w:r>
          </w:p>
        </w:tc>
      </w:tr>
      <w:tr w:rsidR="00583899" w14:paraId="1E0521A8" w14:textId="77777777" w:rsidTr="00583899">
        <w:trPr>
          <w:trHeight w:val="969"/>
        </w:trPr>
        <w:tc>
          <w:tcPr>
            <w:tcW w:w="1501" w:type="dxa"/>
            <w:tcBorders>
              <w:top w:val="nil"/>
              <w:left w:val="single" w:sz="8" w:space="0" w:color="auto"/>
              <w:bottom w:val="single" w:sz="8" w:space="0" w:color="auto"/>
              <w:right w:val="single" w:sz="8" w:space="0" w:color="auto"/>
            </w:tcBorders>
            <w:vAlign w:val="center"/>
            <w:hideMark/>
          </w:tcPr>
          <w:p w14:paraId="7BFBEB96" w14:textId="77777777" w:rsidR="00583899" w:rsidRDefault="00583899">
            <w:pPr>
              <w:spacing w:beforeLines="60" w:before="144" w:afterLines="60" w:after="144" w:line="276" w:lineRule="auto"/>
              <w:rPr>
                <w:rFonts w:ascii="Arial" w:hAnsi="Arial"/>
                <w:color w:val="000000"/>
                <w:sz w:val="20"/>
              </w:rPr>
            </w:pPr>
            <w:r>
              <w:rPr>
                <w:rFonts w:ascii="Arial" w:hAnsi="Arial"/>
                <w:color w:val="000000"/>
                <w:sz w:val="20"/>
              </w:rPr>
              <w:t>Λιγότερο ανεπτυγμένες περιφέρειες</w:t>
            </w:r>
          </w:p>
        </w:tc>
        <w:tc>
          <w:tcPr>
            <w:tcW w:w="3421" w:type="dxa"/>
            <w:tcBorders>
              <w:top w:val="nil"/>
              <w:left w:val="nil"/>
              <w:bottom w:val="single" w:sz="8" w:space="0" w:color="auto"/>
              <w:right w:val="single" w:sz="8" w:space="0" w:color="auto"/>
            </w:tcBorders>
            <w:vAlign w:val="center"/>
            <w:hideMark/>
          </w:tcPr>
          <w:p w14:paraId="0A89C65E" w14:textId="77777777" w:rsidR="00583899" w:rsidRDefault="00583899">
            <w:pPr>
              <w:spacing w:beforeLines="60" w:before="144" w:afterLines="60" w:after="144" w:line="276" w:lineRule="auto"/>
              <w:rPr>
                <w:rFonts w:ascii="Arial" w:hAnsi="Arial"/>
                <w:color w:val="000000"/>
                <w:sz w:val="20"/>
              </w:rPr>
            </w:pPr>
            <w:r>
              <w:rPr>
                <w:rFonts w:ascii="Arial" w:hAnsi="Arial"/>
                <w:color w:val="000000"/>
                <w:sz w:val="20"/>
              </w:rPr>
              <w:t>Ανατολική Μακεδονία και Θράκη, Κεντρική Μακεδονία, Ήπειρος, Θεσσαλία, Δυτική Ελλάδα</w:t>
            </w:r>
          </w:p>
        </w:tc>
        <w:tc>
          <w:tcPr>
            <w:tcW w:w="1784" w:type="dxa"/>
            <w:tcBorders>
              <w:top w:val="nil"/>
              <w:left w:val="nil"/>
              <w:bottom w:val="single" w:sz="8" w:space="0" w:color="auto"/>
              <w:right w:val="single" w:sz="8" w:space="0" w:color="auto"/>
            </w:tcBorders>
            <w:noWrap/>
            <w:vAlign w:val="center"/>
            <w:hideMark/>
          </w:tcPr>
          <w:p w14:paraId="628BB4C6" w14:textId="77777777" w:rsidR="00583899" w:rsidRDefault="00583899">
            <w:pPr>
              <w:jc w:val="right"/>
              <w:rPr>
                <w:rFonts w:ascii="Calibri" w:eastAsia="Times New Roman" w:hAnsi="Calibri" w:cs="Times New Roman"/>
                <w:color w:val="000000"/>
              </w:rPr>
            </w:pPr>
            <w:r>
              <w:rPr>
                <w:rFonts w:ascii="Calibri" w:hAnsi="Calibri"/>
                <w:color w:val="000000"/>
              </w:rPr>
              <w:t>48.367.860,91</w:t>
            </w:r>
          </w:p>
        </w:tc>
        <w:tc>
          <w:tcPr>
            <w:tcW w:w="1784" w:type="dxa"/>
            <w:tcBorders>
              <w:top w:val="nil"/>
              <w:left w:val="nil"/>
              <w:bottom w:val="single" w:sz="8" w:space="0" w:color="auto"/>
              <w:right w:val="single" w:sz="8" w:space="0" w:color="auto"/>
            </w:tcBorders>
            <w:noWrap/>
            <w:vAlign w:val="center"/>
          </w:tcPr>
          <w:p w14:paraId="24A30BB7" w14:textId="77777777" w:rsidR="00583899" w:rsidRDefault="00583899">
            <w:pPr>
              <w:spacing w:beforeLines="60" w:before="144" w:afterLines="60" w:after="144" w:line="276" w:lineRule="auto"/>
              <w:rPr>
                <w:rFonts w:ascii="Arial" w:hAnsi="Arial"/>
                <w:color w:val="000000"/>
                <w:sz w:val="20"/>
              </w:rPr>
            </w:pPr>
          </w:p>
        </w:tc>
      </w:tr>
      <w:tr w:rsidR="00583899" w14:paraId="58BCF274" w14:textId="77777777" w:rsidTr="00583899">
        <w:trPr>
          <w:trHeight w:val="751"/>
        </w:trPr>
        <w:tc>
          <w:tcPr>
            <w:tcW w:w="1501" w:type="dxa"/>
            <w:tcBorders>
              <w:top w:val="nil"/>
              <w:left w:val="single" w:sz="8" w:space="0" w:color="auto"/>
              <w:bottom w:val="single" w:sz="8" w:space="0" w:color="auto"/>
              <w:right w:val="single" w:sz="8" w:space="0" w:color="auto"/>
            </w:tcBorders>
            <w:vAlign w:val="center"/>
            <w:hideMark/>
          </w:tcPr>
          <w:p w14:paraId="45E8EA05" w14:textId="77777777" w:rsidR="00583899" w:rsidRDefault="00583899">
            <w:pPr>
              <w:spacing w:beforeLines="60" w:before="144" w:afterLines="60" w:after="144" w:line="276" w:lineRule="auto"/>
              <w:rPr>
                <w:rFonts w:ascii="Arial" w:hAnsi="Arial"/>
                <w:color w:val="000000"/>
                <w:sz w:val="20"/>
              </w:rPr>
            </w:pPr>
            <w:r>
              <w:rPr>
                <w:rFonts w:ascii="Arial" w:hAnsi="Arial"/>
                <w:color w:val="000000"/>
                <w:sz w:val="20"/>
              </w:rPr>
              <w:t>Περισσότερο αναπτυγμένες περιφέρειες</w:t>
            </w:r>
          </w:p>
        </w:tc>
        <w:tc>
          <w:tcPr>
            <w:tcW w:w="3421" w:type="dxa"/>
            <w:tcBorders>
              <w:top w:val="nil"/>
              <w:left w:val="nil"/>
              <w:bottom w:val="single" w:sz="8" w:space="0" w:color="auto"/>
              <w:right w:val="single" w:sz="8" w:space="0" w:color="auto"/>
            </w:tcBorders>
            <w:vAlign w:val="center"/>
            <w:hideMark/>
          </w:tcPr>
          <w:p w14:paraId="1366A04E" w14:textId="77777777" w:rsidR="00583899" w:rsidRDefault="00583899">
            <w:pPr>
              <w:spacing w:beforeLines="60" w:before="144" w:afterLines="60" w:after="144" w:line="276" w:lineRule="auto"/>
              <w:rPr>
                <w:rFonts w:ascii="Arial" w:hAnsi="Arial"/>
                <w:color w:val="000000"/>
                <w:sz w:val="20"/>
              </w:rPr>
            </w:pPr>
            <w:r>
              <w:rPr>
                <w:rFonts w:ascii="Arial" w:hAnsi="Arial"/>
                <w:color w:val="000000"/>
                <w:sz w:val="20"/>
              </w:rPr>
              <w:t>Αττική, Νότιο Αιγαίο</w:t>
            </w:r>
          </w:p>
        </w:tc>
        <w:tc>
          <w:tcPr>
            <w:tcW w:w="1784" w:type="dxa"/>
            <w:tcBorders>
              <w:top w:val="nil"/>
              <w:left w:val="nil"/>
              <w:bottom w:val="single" w:sz="8" w:space="0" w:color="auto"/>
              <w:right w:val="single" w:sz="8" w:space="0" w:color="auto"/>
            </w:tcBorders>
            <w:noWrap/>
            <w:vAlign w:val="center"/>
            <w:hideMark/>
          </w:tcPr>
          <w:p w14:paraId="632085AF" w14:textId="77777777" w:rsidR="00583899" w:rsidRDefault="00583899">
            <w:pPr>
              <w:jc w:val="right"/>
              <w:rPr>
                <w:rFonts w:ascii="Calibri" w:eastAsia="Times New Roman" w:hAnsi="Calibri" w:cs="Times New Roman"/>
                <w:color w:val="000000"/>
              </w:rPr>
            </w:pPr>
            <w:r>
              <w:rPr>
                <w:rFonts w:ascii="Calibri" w:hAnsi="Calibri"/>
                <w:color w:val="000000"/>
              </w:rPr>
              <w:t>17.760.495,38</w:t>
            </w:r>
          </w:p>
        </w:tc>
        <w:tc>
          <w:tcPr>
            <w:tcW w:w="1784" w:type="dxa"/>
            <w:tcBorders>
              <w:top w:val="nil"/>
              <w:left w:val="nil"/>
              <w:bottom w:val="single" w:sz="8" w:space="0" w:color="auto"/>
              <w:right w:val="single" w:sz="8" w:space="0" w:color="auto"/>
            </w:tcBorders>
            <w:noWrap/>
            <w:vAlign w:val="center"/>
            <w:hideMark/>
          </w:tcPr>
          <w:p w14:paraId="71B57100" w14:textId="77777777" w:rsidR="00583899" w:rsidRDefault="00583899">
            <w:pPr>
              <w:jc w:val="right"/>
              <w:rPr>
                <w:rFonts w:ascii="Calibri" w:eastAsia="Times New Roman" w:hAnsi="Calibri"/>
                <w:color w:val="000000"/>
              </w:rPr>
            </w:pPr>
            <w:r>
              <w:rPr>
                <w:rFonts w:ascii="Calibri" w:hAnsi="Calibri"/>
                <w:color w:val="000000"/>
              </w:rPr>
              <w:t>1.096.035,91</w:t>
            </w:r>
          </w:p>
        </w:tc>
      </w:tr>
      <w:tr w:rsidR="00583899" w14:paraId="1E11BF49" w14:textId="77777777" w:rsidTr="00583899">
        <w:trPr>
          <w:trHeight w:val="637"/>
        </w:trPr>
        <w:tc>
          <w:tcPr>
            <w:tcW w:w="1501" w:type="dxa"/>
            <w:tcBorders>
              <w:top w:val="nil"/>
              <w:left w:val="single" w:sz="8" w:space="0" w:color="auto"/>
              <w:bottom w:val="single" w:sz="8" w:space="0" w:color="auto"/>
              <w:right w:val="single" w:sz="8" w:space="0" w:color="auto"/>
            </w:tcBorders>
            <w:vAlign w:val="center"/>
            <w:hideMark/>
          </w:tcPr>
          <w:p w14:paraId="63AE23E1" w14:textId="77777777" w:rsidR="00583899" w:rsidRDefault="00583899">
            <w:pPr>
              <w:spacing w:beforeLines="60" w:before="144" w:afterLines="60" w:after="144" w:line="276" w:lineRule="auto"/>
              <w:rPr>
                <w:rFonts w:ascii="Arial" w:hAnsi="Arial"/>
                <w:color w:val="000000"/>
                <w:sz w:val="20"/>
              </w:rPr>
            </w:pPr>
            <w:r>
              <w:rPr>
                <w:rFonts w:ascii="Arial" w:hAnsi="Arial"/>
                <w:color w:val="000000"/>
                <w:sz w:val="20"/>
              </w:rPr>
              <w:t>Σε Μετάβαση</w:t>
            </w:r>
          </w:p>
        </w:tc>
        <w:tc>
          <w:tcPr>
            <w:tcW w:w="3421" w:type="dxa"/>
            <w:tcBorders>
              <w:top w:val="nil"/>
              <w:left w:val="nil"/>
              <w:bottom w:val="single" w:sz="8" w:space="0" w:color="auto"/>
              <w:right w:val="single" w:sz="8" w:space="0" w:color="auto"/>
            </w:tcBorders>
            <w:vAlign w:val="center"/>
            <w:hideMark/>
          </w:tcPr>
          <w:p w14:paraId="2AA3637A" w14:textId="77777777" w:rsidR="00583899" w:rsidRDefault="00583899">
            <w:pPr>
              <w:spacing w:beforeLines="60" w:before="144" w:afterLines="60" w:after="144" w:line="276" w:lineRule="auto"/>
              <w:rPr>
                <w:rFonts w:ascii="Arial" w:hAnsi="Arial"/>
                <w:color w:val="000000"/>
                <w:sz w:val="20"/>
              </w:rPr>
            </w:pPr>
            <w:r>
              <w:rPr>
                <w:rFonts w:ascii="Arial" w:hAnsi="Arial"/>
                <w:color w:val="000000"/>
                <w:sz w:val="20"/>
              </w:rPr>
              <w:t>Στερεά Ελλάδα, Δυτική Μακεδονία, Πελοπόννησος , Ιόνια νησιά, Βόρειο Αιγαίο και Κρήτη</w:t>
            </w:r>
          </w:p>
        </w:tc>
        <w:tc>
          <w:tcPr>
            <w:tcW w:w="1784" w:type="dxa"/>
            <w:tcBorders>
              <w:top w:val="nil"/>
              <w:left w:val="nil"/>
              <w:bottom w:val="single" w:sz="8" w:space="0" w:color="auto"/>
              <w:right w:val="single" w:sz="8" w:space="0" w:color="auto"/>
            </w:tcBorders>
            <w:noWrap/>
            <w:vAlign w:val="center"/>
            <w:hideMark/>
          </w:tcPr>
          <w:p w14:paraId="592C1902" w14:textId="77777777" w:rsidR="00583899" w:rsidRDefault="00583899">
            <w:pPr>
              <w:jc w:val="right"/>
              <w:rPr>
                <w:rFonts w:ascii="Calibri" w:eastAsia="Times New Roman" w:hAnsi="Calibri" w:cs="Times New Roman"/>
                <w:color w:val="000000"/>
              </w:rPr>
            </w:pPr>
            <w:r>
              <w:rPr>
                <w:rFonts w:ascii="Calibri" w:hAnsi="Calibri"/>
                <w:color w:val="000000"/>
              </w:rPr>
              <w:t>15.593.177,42</w:t>
            </w:r>
          </w:p>
        </w:tc>
        <w:tc>
          <w:tcPr>
            <w:tcW w:w="1784" w:type="dxa"/>
            <w:tcBorders>
              <w:top w:val="nil"/>
              <w:left w:val="nil"/>
              <w:bottom w:val="single" w:sz="8" w:space="0" w:color="auto"/>
              <w:right w:val="single" w:sz="8" w:space="0" w:color="auto"/>
            </w:tcBorders>
            <w:noWrap/>
            <w:vAlign w:val="center"/>
            <w:hideMark/>
          </w:tcPr>
          <w:p w14:paraId="0BC84BD4" w14:textId="77777777" w:rsidR="00583899" w:rsidRDefault="00583899">
            <w:pPr>
              <w:jc w:val="right"/>
              <w:rPr>
                <w:rFonts w:ascii="Calibri" w:eastAsia="Times New Roman" w:hAnsi="Calibri"/>
                <w:color w:val="000000"/>
              </w:rPr>
            </w:pPr>
            <w:r>
              <w:rPr>
                <w:rFonts w:ascii="Calibri" w:hAnsi="Calibri"/>
                <w:color w:val="000000"/>
              </w:rPr>
              <w:t>5.182.430,38</w:t>
            </w:r>
          </w:p>
        </w:tc>
      </w:tr>
      <w:tr w:rsidR="00583899" w14:paraId="7DB64CF0" w14:textId="77777777" w:rsidTr="00583899">
        <w:trPr>
          <w:trHeight w:val="342"/>
        </w:trPr>
        <w:tc>
          <w:tcPr>
            <w:tcW w:w="4922" w:type="dxa"/>
            <w:gridSpan w:val="2"/>
            <w:tcBorders>
              <w:top w:val="single" w:sz="8" w:space="0" w:color="auto"/>
              <w:left w:val="single" w:sz="8" w:space="0" w:color="auto"/>
              <w:bottom w:val="single" w:sz="8" w:space="0" w:color="auto"/>
              <w:right w:val="single" w:sz="8" w:space="0" w:color="000000"/>
            </w:tcBorders>
            <w:vAlign w:val="center"/>
            <w:hideMark/>
          </w:tcPr>
          <w:p w14:paraId="29E420FF" w14:textId="77777777" w:rsidR="00583899" w:rsidRDefault="00583899">
            <w:pPr>
              <w:spacing w:beforeLines="60" w:before="144" w:afterLines="60" w:after="144" w:line="276" w:lineRule="auto"/>
              <w:rPr>
                <w:rFonts w:ascii="Arial" w:hAnsi="Arial"/>
                <w:b/>
                <w:color w:val="000000"/>
                <w:sz w:val="20"/>
              </w:rPr>
            </w:pPr>
            <w:r>
              <w:rPr>
                <w:rFonts w:ascii="Arial" w:hAnsi="Arial"/>
                <w:b/>
                <w:color w:val="000000"/>
                <w:sz w:val="20"/>
              </w:rPr>
              <w:t>Σύνολα</w:t>
            </w:r>
          </w:p>
        </w:tc>
        <w:tc>
          <w:tcPr>
            <w:tcW w:w="1784" w:type="dxa"/>
            <w:tcBorders>
              <w:top w:val="nil"/>
              <w:left w:val="nil"/>
              <w:bottom w:val="single" w:sz="8" w:space="0" w:color="auto"/>
              <w:right w:val="single" w:sz="8" w:space="0" w:color="auto"/>
            </w:tcBorders>
            <w:noWrap/>
            <w:vAlign w:val="center"/>
            <w:hideMark/>
          </w:tcPr>
          <w:p w14:paraId="2FD2A96F" w14:textId="77777777" w:rsidR="00583899" w:rsidRDefault="00583899">
            <w:pPr>
              <w:jc w:val="right"/>
              <w:rPr>
                <w:rFonts w:ascii="Arial" w:eastAsia="Times New Roman" w:hAnsi="Arial"/>
                <w:b/>
                <w:bCs/>
                <w:color w:val="000000"/>
                <w:sz w:val="20"/>
                <w:szCs w:val="20"/>
              </w:rPr>
            </w:pPr>
            <w:r>
              <w:rPr>
                <w:rFonts w:ascii="Arial" w:hAnsi="Arial"/>
                <w:b/>
                <w:bCs/>
                <w:color w:val="000000"/>
                <w:sz w:val="20"/>
                <w:szCs w:val="20"/>
              </w:rPr>
              <w:t>81.721.533,71</w:t>
            </w:r>
          </w:p>
        </w:tc>
        <w:tc>
          <w:tcPr>
            <w:tcW w:w="1784" w:type="dxa"/>
            <w:tcBorders>
              <w:top w:val="nil"/>
              <w:left w:val="nil"/>
              <w:bottom w:val="single" w:sz="8" w:space="0" w:color="auto"/>
              <w:right w:val="single" w:sz="8" w:space="0" w:color="auto"/>
            </w:tcBorders>
            <w:noWrap/>
            <w:vAlign w:val="center"/>
            <w:hideMark/>
          </w:tcPr>
          <w:p w14:paraId="3FBAD626" w14:textId="77777777" w:rsidR="00583899" w:rsidRDefault="00583899">
            <w:pPr>
              <w:jc w:val="right"/>
              <w:rPr>
                <w:rFonts w:ascii="Arial" w:eastAsia="Times New Roman" w:hAnsi="Arial"/>
                <w:b/>
                <w:bCs/>
                <w:color w:val="000000"/>
                <w:sz w:val="20"/>
                <w:szCs w:val="20"/>
              </w:rPr>
            </w:pPr>
            <w:r>
              <w:rPr>
                <w:rFonts w:ascii="Arial" w:hAnsi="Arial"/>
                <w:b/>
                <w:bCs/>
                <w:color w:val="000000"/>
                <w:sz w:val="20"/>
                <w:szCs w:val="20"/>
              </w:rPr>
              <w:t>6.278.466,29</w:t>
            </w:r>
          </w:p>
        </w:tc>
      </w:tr>
    </w:tbl>
    <w:p w14:paraId="6612FA88" w14:textId="77777777" w:rsidR="00583899" w:rsidRPr="00583899" w:rsidRDefault="00583899" w:rsidP="00F23ADB">
      <w:pPr>
        <w:spacing w:line="360" w:lineRule="auto"/>
      </w:pPr>
    </w:p>
    <w:p w14:paraId="7574A1BB" w14:textId="77777777" w:rsidR="00F23ADB" w:rsidRPr="00F23ADB" w:rsidRDefault="00F23ADB" w:rsidP="00FA5CD9">
      <w:pPr>
        <w:pStyle w:val="3"/>
      </w:pPr>
      <w:bookmarkStart w:id="55" w:name="_Toc464038690"/>
      <w:bookmarkStart w:id="56" w:name="_Toc36639227"/>
      <w:r w:rsidRPr="00F23ADB">
        <w:t xml:space="preserve">Συγκριτική αξιολόγηση του </w:t>
      </w:r>
      <w:proofErr w:type="spellStart"/>
      <w:r w:rsidRPr="00F23ADB">
        <w:t>συσταθέντος</w:t>
      </w:r>
      <w:proofErr w:type="spellEnd"/>
      <w:r w:rsidRPr="00F23ADB">
        <w:t xml:space="preserve"> </w:t>
      </w:r>
      <w:r w:rsidR="005E65CC">
        <w:t>Χρηματοοικονομικού Εργαλείου (FI)</w:t>
      </w:r>
      <w:r w:rsidRPr="00F23ADB">
        <w:t xml:space="preserve"> «Ταμείο Εξοικονομώ ΙΙ» με το «Ταμείο Εξοικονομώ»</w:t>
      </w:r>
      <w:bookmarkEnd w:id="55"/>
      <w:r w:rsidRPr="00F23ADB">
        <w:t xml:space="preserve"> της </w:t>
      </w:r>
      <w:r w:rsidR="00E5630E">
        <w:t>Προγραμματ</w:t>
      </w:r>
      <w:r w:rsidRPr="00F23ADB">
        <w:t xml:space="preserve">ικής </w:t>
      </w:r>
      <w:r w:rsidR="00EB38B3">
        <w:t>Περιόδου</w:t>
      </w:r>
      <w:r w:rsidRPr="00F23ADB">
        <w:t xml:space="preserve"> 2007-2013</w:t>
      </w:r>
      <w:bookmarkEnd w:id="56"/>
    </w:p>
    <w:p w14:paraId="166D7C52" w14:textId="77777777" w:rsidR="00F23ADB" w:rsidRPr="00F23ADB" w:rsidRDefault="00F23ADB" w:rsidP="00F23ADB">
      <w:pPr>
        <w:spacing w:line="360" w:lineRule="auto"/>
      </w:pPr>
      <w:r w:rsidRPr="00F23ADB">
        <w:t xml:space="preserve">Η ενίσχυση ιδιοκτητών ακινήτων με πόρους από τα διαρθρωτικά ταμεία ξεκίνησε για πρώτη φορά την </w:t>
      </w:r>
      <w:r w:rsidR="00E5630E">
        <w:t>Προγραμματ</w:t>
      </w:r>
      <w:r w:rsidRPr="00F23ADB">
        <w:t xml:space="preserve">ική </w:t>
      </w:r>
      <w:r w:rsidR="00EB38B3">
        <w:t>Περίοδο</w:t>
      </w:r>
      <w:r w:rsidRPr="00F23ADB">
        <w:t xml:space="preserve"> 2007-2013, αφού τότε για πρώτη φορά κρίθηκαν επιλέξιμες από την Ε.Ε. οι δαπάνες για δράσεις εξοικονόμησης ενέργειας στις κατοικίες.</w:t>
      </w:r>
    </w:p>
    <w:p w14:paraId="01471329" w14:textId="77777777" w:rsidR="00F23ADB" w:rsidRPr="00F23ADB" w:rsidRDefault="00F23ADB" w:rsidP="00F23ADB">
      <w:pPr>
        <w:spacing w:line="360" w:lineRule="auto"/>
      </w:pPr>
      <w:r w:rsidRPr="00F23ADB">
        <w:t xml:space="preserve">Η χώρα μας την </w:t>
      </w:r>
      <w:r w:rsidR="00A66891">
        <w:t>π</w:t>
      </w:r>
      <w:r w:rsidR="00EB38B3">
        <w:t>ερίοδο</w:t>
      </w:r>
      <w:r w:rsidRPr="00F23ADB">
        <w:t xml:space="preserve"> 2010-2015 διέθεσε από τα διαρθρωτικά ταμεία για την ενεργειακή αναβάθμιση των κατοικιών το μεγαλύτερο κονδύλι σε σχέση με τα άλλα κράτη μέλη της Ε.Ε.. Το ποσό αυτό εκτιμάται ότι θα οριστικοποιηθεί περίπου στα 100 εκ. € για το «Ταμείο Εξοικονομώ» και στα 295 εκ. € για τις επιχορηγήσεις των ενεργειακών παρεμβάσεων, καθώς υπενθυμίζεται η διττή μορφή των ενισχύσεων.</w:t>
      </w:r>
    </w:p>
    <w:p w14:paraId="1EB6B64E" w14:textId="77777777" w:rsidR="00F23ADB" w:rsidRPr="00F23ADB" w:rsidRDefault="00F23ADB" w:rsidP="00F23ADB">
      <w:pPr>
        <w:spacing w:line="360" w:lineRule="auto"/>
      </w:pPr>
      <w:r w:rsidRPr="00F23ADB">
        <w:t xml:space="preserve">Όπως προαναφέρθηκε ο υπολογισμός υλοποίησης για την </w:t>
      </w:r>
      <w:r w:rsidR="00E5630E">
        <w:t>Προγραμματ</w:t>
      </w:r>
      <w:r w:rsidRPr="00F23ADB">
        <w:t xml:space="preserve">ική </w:t>
      </w:r>
      <w:r w:rsidR="00EB38B3">
        <w:t>Περίοδο</w:t>
      </w:r>
      <w:r w:rsidRPr="00F23ADB">
        <w:t xml:space="preserve"> 2014 – 2020, καταλήγει στην αναβάθμιση 38.920 κατοικιών στον Α΄ Κύκλο &amp; </w:t>
      </w:r>
      <w:proofErr w:type="spellStart"/>
      <w:r w:rsidRPr="00F23ADB">
        <w:t>κατ΄εκτίμηση</w:t>
      </w:r>
      <w:proofErr w:type="spellEnd"/>
      <w:r w:rsidRPr="00F23ADB">
        <w:t xml:space="preserve"> 21.482 κατοικιών στον </w:t>
      </w:r>
      <w:r w:rsidR="00B925F9">
        <w:t>Β’ Κύκλο</w:t>
      </w:r>
      <w:r w:rsidRPr="00F23ADB">
        <w:t xml:space="preserve"> του </w:t>
      </w:r>
      <w:r w:rsidR="00971D9A">
        <w:t>Προγράμματος</w:t>
      </w:r>
      <w:r w:rsidRPr="00F23ADB">
        <w:t xml:space="preserve">, με το σύνολο Α’ &amp; </w:t>
      </w:r>
      <w:r w:rsidR="00B925F9">
        <w:t>Β’ Κύκλο</w:t>
      </w:r>
      <w:r w:rsidRPr="00F23ADB">
        <w:t>υ να ανέρχεται σε 60.402 κατοικίες, ενώ υπήρχε η αρχική πρόβλεψη για αναβάθμιση 38.572 κατοικιών με ποσοστό επιχορήγησης των δαπανών κατά 50%, γεγονός που επέφερε  την σύσταση του Ταμείου Εξοικονομώ ΙΙ ύψους 68,4εκ.€.</w:t>
      </w:r>
    </w:p>
    <w:p w14:paraId="627CA0D5" w14:textId="77777777" w:rsidR="00F23ADB" w:rsidRPr="00F23ADB" w:rsidRDefault="00F23ADB" w:rsidP="00F23ADB">
      <w:pPr>
        <w:spacing w:line="360" w:lineRule="auto"/>
      </w:pPr>
      <w:r w:rsidRPr="00F23ADB">
        <w:t>Στον πίνακα που ακολουθεί παρουσιάζονταν διάφορα βασικά ποσοτικά και ποιοτικά χαρακτηριστικά αυτών των δύο μέσων χρηματοοικονομικής τεχνικής</w:t>
      </w:r>
      <w:r w:rsidRPr="00F23ADB">
        <w:rPr>
          <w:rStyle w:val="ac"/>
          <w:color w:val="000000" w:themeColor="text1"/>
        </w:rPr>
        <w:footnoteReference w:id="32"/>
      </w:r>
      <w:r w:rsidRPr="00F23ADB">
        <w:t xml:space="preserve"> μεταξύ του Ταμείου «Εξοικονομώ» της </w:t>
      </w:r>
      <w:r w:rsidR="00E5630E">
        <w:t>Προγραμματ</w:t>
      </w:r>
      <w:r w:rsidRPr="00F23ADB">
        <w:t xml:space="preserve">ικής </w:t>
      </w:r>
      <w:r w:rsidR="00EB38B3">
        <w:t>Περιόδου</w:t>
      </w:r>
      <w:r w:rsidRPr="00F23ADB">
        <w:t xml:space="preserve"> 2007-2013 και του </w:t>
      </w:r>
      <w:r w:rsidR="005E65CC">
        <w:t>Χρηματοοικονομικού Εργαλείου (FI)</w:t>
      </w:r>
      <w:r w:rsidRPr="00F23ADB">
        <w:t xml:space="preserve"> που υιοθετήθηκε και οδήγησε στην σύσταση του Ταμείου «Εξοικονομώ ΙΙ» στην τρέχουσα </w:t>
      </w:r>
      <w:r w:rsidR="00E5630E">
        <w:t>Προγραμματ</w:t>
      </w:r>
      <w:r w:rsidRPr="00F23ADB">
        <w:t xml:space="preserve">ική </w:t>
      </w:r>
      <w:r w:rsidR="00EB38B3">
        <w:t>Περίοδο</w:t>
      </w:r>
      <w:r w:rsidRPr="00F23ADB">
        <w:t xml:space="preserve"> 2014-2020.</w:t>
      </w:r>
    </w:p>
    <w:p w14:paraId="6232F031" w14:textId="77777777" w:rsidR="00F23ADB" w:rsidRPr="00F23ADB" w:rsidRDefault="00F23ADB" w:rsidP="00F23ADB">
      <w:pPr>
        <w:spacing w:line="360" w:lineRule="auto"/>
        <w:rPr>
          <w:color w:val="000000" w:themeColor="text1"/>
        </w:rPr>
      </w:pPr>
      <w:r w:rsidRPr="00F23ADB">
        <w:rPr>
          <w:noProof/>
          <w:lang w:eastAsia="el-GR"/>
        </w:rPr>
        <w:lastRenderedPageBreak/>
        <w:drawing>
          <wp:inline distT="0" distB="0" distL="0" distR="0" wp14:anchorId="50A4DFD6" wp14:editId="602C0176">
            <wp:extent cx="5553075" cy="2495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14528"/>
                    <a:stretch/>
                  </pic:blipFill>
                  <pic:spPr bwMode="auto">
                    <a:xfrm>
                      <a:off x="0" y="0"/>
                      <a:ext cx="5598355" cy="2515899"/>
                    </a:xfrm>
                    <a:prstGeom prst="rect">
                      <a:avLst/>
                    </a:prstGeom>
                    <a:noFill/>
                    <a:ln>
                      <a:noFill/>
                    </a:ln>
                    <a:extLst>
                      <a:ext uri="{53640926-AAD7-44D8-BBD7-CCE9431645EC}">
                        <a14:shadowObscured xmlns:a14="http://schemas.microsoft.com/office/drawing/2010/main"/>
                      </a:ext>
                    </a:extLst>
                  </pic:spPr>
                </pic:pic>
              </a:graphicData>
            </a:graphic>
          </wp:inline>
        </w:drawing>
      </w:r>
    </w:p>
    <w:p w14:paraId="57358408" w14:textId="77777777" w:rsidR="00F23ADB" w:rsidRPr="00F23ADB" w:rsidRDefault="00F23ADB" w:rsidP="00F23ADB">
      <w:pPr>
        <w:spacing w:line="360" w:lineRule="auto"/>
      </w:pPr>
      <w:r w:rsidRPr="00F23ADB">
        <w:t xml:space="preserve">Ο δείκτης «απόδοση </w:t>
      </w:r>
      <w:r w:rsidR="001E5965" w:rsidRPr="001E5965">
        <w:t>Χρηματοοικονομικού Εργαλείου (FI)</w:t>
      </w:r>
      <w:r w:rsidRPr="00F23ADB">
        <w:t xml:space="preserve"> ανά κατοικία» παρατίθεται για να αναδείξει την αποδοτικότερη χρήση του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rsidR="004C42EA" w:rsidRPr="00C11A76">
        <w:t xml:space="preserve"> </w:t>
      </w:r>
      <w:r w:rsidRPr="00F23ADB">
        <w:t xml:space="preserve">την </w:t>
      </w:r>
      <w:r w:rsidR="00EB38B3">
        <w:t>Περίοδο</w:t>
      </w:r>
      <w:r w:rsidRPr="00F23ADB">
        <w:t xml:space="preserve"> 2014-2020. Η βελτίωση αυτή οφείλεται στον περιορισμό του ποσοστού επιχορήγησης των δαπανών και στην μετατόπιση του βάρους της ενίσχυσης στο </w:t>
      </w:r>
      <w:r w:rsidR="004C42EA" w:rsidRPr="004C42EA">
        <w:t>Χρηματοοικονομικ</w:t>
      </w:r>
      <w:r w:rsidR="004C42EA">
        <w:t>ό</w:t>
      </w:r>
      <w:r w:rsidR="004C42EA" w:rsidRPr="004C42EA">
        <w:t xml:space="preserve"> Εργαλεί</w:t>
      </w:r>
      <w:r w:rsidR="004C42EA">
        <w:t>ο</w:t>
      </w:r>
      <w:r w:rsidR="004C42EA" w:rsidRPr="004C42EA">
        <w:t xml:space="preserve"> (FI)</w:t>
      </w:r>
      <w:r w:rsidRPr="00F23ADB">
        <w:t>.</w:t>
      </w:r>
    </w:p>
    <w:p w14:paraId="3B1706E4" w14:textId="77777777" w:rsidR="00F23ADB" w:rsidRPr="00F23ADB" w:rsidRDefault="00F23ADB" w:rsidP="00F23ADB">
      <w:pPr>
        <w:spacing w:line="360" w:lineRule="auto"/>
      </w:pPr>
      <w:r w:rsidRPr="00F23ADB">
        <w:t xml:space="preserve">Οι 45.373 κατοικίες που χρηματοδοτήθηκαν την </w:t>
      </w:r>
      <w:r w:rsidR="00EB38B3">
        <w:t>Περίοδο</w:t>
      </w:r>
      <w:r w:rsidRPr="00F23ADB">
        <w:t xml:space="preserve"> 2011-2015 από το υφιστάμενο ταμείο «εξοικονομώ </w:t>
      </w:r>
      <w:proofErr w:type="spellStart"/>
      <w:r w:rsidRPr="00F23ADB">
        <w:t>κατ΄οίκον</w:t>
      </w:r>
      <w:proofErr w:type="spellEnd"/>
      <w:r w:rsidRPr="00F23ADB">
        <w:t xml:space="preserve">», γνωρίζουμε πως το συνολικό ποσό επένδυσης ανήλθε στα 592εκ.€, εκ των οποίων το καθαρό ποσό που διοχετεύθηκε στην αγορά (μετά την αφαίρεση τόκων, εξόδων τραπεζών, έξοδα για ενεργειακές επιθεωρήσεις και ενεργειακό σύμβουλο) εκτιμάται στα 529εκ.€. </w:t>
      </w:r>
    </w:p>
    <w:p w14:paraId="7D702673" w14:textId="77777777" w:rsidR="00F23ADB" w:rsidRPr="00F23ADB" w:rsidRDefault="00F23ADB" w:rsidP="00F23ADB">
      <w:pPr>
        <w:spacing w:line="360" w:lineRule="auto"/>
      </w:pPr>
      <w:r w:rsidRPr="00F23ADB">
        <w:t xml:space="preserve">Λαμβάνοντας υπόψη ότι η εγχώρια προστιθέμενη αξία κυμαίνεται περίπου στο 60% (αφαιρείται εισαγόμενος εξοπλισμός, υλικά κλπ.), το παραπάνω ποσό εκτιμάται στα 318εκ.€. Από το ποσό αυτό υπολογίζεται ότι το 65% δηλαδή 206,6εκ.€, διατίθεται για την κάλυψη του εργασιακού κόστους. </w:t>
      </w:r>
    </w:p>
    <w:p w14:paraId="528010DF" w14:textId="77777777" w:rsidR="00F23ADB" w:rsidRPr="00F23ADB" w:rsidRDefault="00F23ADB" w:rsidP="00F23ADB">
      <w:pPr>
        <w:spacing w:line="360" w:lineRule="auto"/>
      </w:pPr>
      <w:r w:rsidRPr="00F23ADB">
        <w:t xml:space="preserve">Εάν υποθέσουμε ότι το ετήσιο εργασιακό κόστος είναι περίπου 20.000€, τότε το παραπάνω αναφερόμενο ποσό μπορεί να καλύψει 10.333 ισοδύναμα </w:t>
      </w:r>
      <w:proofErr w:type="spellStart"/>
      <w:r w:rsidRPr="00F23ADB">
        <w:t>ανθρωποέτη</w:t>
      </w:r>
      <w:proofErr w:type="spellEnd"/>
      <w:r w:rsidRPr="00F23ADB">
        <w:t xml:space="preserve">. Εκτιμούμε ότι τα εν λόγω </w:t>
      </w:r>
      <w:proofErr w:type="spellStart"/>
      <w:r w:rsidRPr="00F23ADB">
        <w:t>ανθρωποέτη</w:t>
      </w:r>
      <w:proofErr w:type="spellEnd"/>
      <w:r w:rsidRPr="00F23ADB">
        <w:t xml:space="preserve"> πρόκειται να καλυφθούν στα επόμενα πέντε κατασκευαστικά έτη, που σημαίνει ότι σε ετήσια βάση τα ισοδύναμα </w:t>
      </w:r>
      <w:proofErr w:type="spellStart"/>
      <w:r w:rsidRPr="00F23ADB">
        <w:t>ανθρωποέτη</w:t>
      </w:r>
      <w:proofErr w:type="spellEnd"/>
      <w:r w:rsidRPr="00F23ADB">
        <w:t xml:space="preserve"> υπολογίζονται στα 2.226.</w:t>
      </w:r>
    </w:p>
    <w:p w14:paraId="16142809" w14:textId="77777777" w:rsidR="00F23ADB" w:rsidRPr="00F23ADB" w:rsidRDefault="00F23ADB" w:rsidP="00F23ADB">
      <w:pPr>
        <w:spacing w:line="360" w:lineRule="auto"/>
      </w:pPr>
      <w:r w:rsidRPr="00F23ADB">
        <w:t xml:space="preserve"> Με ανάλογο τρόπο υπολογίζεται η εκτίμηση για </w:t>
      </w:r>
      <w:r w:rsidR="005B76B8">
        <w:t>την τρέχουσα εφαρμογή του νέου Προγράμματος</w:t>
      </w:r>
      <w:r w:rsidRPr="00F23ADB">
        <w:t>.</w:t>
      </w:r>
    </w:p>
    <w:p w14:paraId="1E509FC3" w14:textId="77777777" w:rsidR="00F23ADB" w:rsidRPr="00F23ADB" w:rsidRDefault="00F23ADB" w:rsidP="00DC12D0">
      <w:pPr>
        <w:pStyle w:val="4"/>
      </w:pPr>
      <w:bookmarkStart w:id="57" w:name="_Toc464038691"/>
      <w:r w:rsidRPr="00F23ADB">
        <w:t xml:space="preserve">Εκτίμηση της συνέργειας του </w:t>
      </w:r>
      <w:proofErr w:type="spellStart"/>
      <w:r w:rsidRPr="00F23ADB">
        <w:t>συσταθέντος</w:t>
      </w:r>
      <w:proofErr w:type="spellEnd"/>
      <w:r w:rsidRPr="00F23ADB">
        <w:t xml:space="preserve"> </w:t>
      </w:r>
      <w:r w:rsidR="005E65CC">
        <w:t>Χρηματοοικονομικού Εργαλείου (FI)</w:t>
      </w:r>
      <w:r w:rsidRPr="00F23ADB">
        <w:t xml:space="preserve"> με θεσμικές παρεμβάσεις στον κτιριακό τομέα.</w:t>
      </w:r>
      <w:bookmarkEnd w:id="57"/>
    </w:p>
    <w:p w14:paraId="160DC20D" w14:textId="77777777" w:rsidR="00F23ADB" w:rsidRPr="00F23ADB" w:rsidRDefault="00F23ADB" w:rsidP="00F23ADB">
      <w:pPr>
        <w:spacing w:line="360" w:lineRule="auto"/>
        <w:rPr>
          <w:rFonts w:cs="Calibri"/>
        </w:rPr>
      </w:pPr>
      <w:r w:rsidRPr="00F23ADB">
        <w:rPr>
          <w:rFonts w:cs="Calibri"/>
        </w:rPr>
        <w:t xml:space="preserve">Όπως έχει ήδη αναδειχτεί, ο προσδιορισμός της προστιθέμενης αξίας του </w:t>
      </w:r>
      <w:r w:rsidR="001E5965" w:rsidRPr="001E5965">
        <w:rPr>
          <w:rFonts w:cs="Calibri"/>
        </w:rPr>
        <w:t>Χρηματοοικονομικού Εργαλείου (FI)</w:t>
      </w:r>
      <w:r w:rsidRPr="00F23ADB">
        <w:rPr>
          <w:rFonts w:cs="Calibri"/>
        </w:rPr>
        <w:t xml:space="preserve"> εξυπηρετεί την ανάγκη της διερεύνησης της συνοχής με άλλες δημόσιες παρεμβάσεις που περιλαμβάνουν επιχορηγήσεις και ενισχύσεις με άλλες πολιτικές και θεσμικά </w:t>
      </w:r>
      <w:r w:rsidRPr="00F23ADB">
        <w:rPr>
          <w:rFonts w:cs="Calibri"/>
        </w:rPr>
        <w:lastRenderedPageBreak/>
        <w:t xml:space="preserve">μέτρα.  Η πλέον συμβατή θεσμική παρέμβαση αφορά αυτήν του Ν.4646/2019,ΦΕΚ Α 201/12.12.2019, όπου σύμφωνα με το άρθρο 16 προστίθεται άρθρο στον Ν 4172/2013: ΚΩΔ.ΦΟΡ.ΕΙΣΟΔ. όπου δίνεται η δυνατότητα: </w:t>
      </w:r>
    </w:p>
    <w:p w14:paraId="28DA27C5" w14:textId="77777777" w:rsidR="00F23ADB" w:rsidRPr="00F23ADB" w:rsidRDefault="00F23ADB" w:rsidP="00F23ADB">
      <w:pPr>
        <w:pStyle w:val="-HTML"/>
        <w:spacing w:line="360" w:lineRule="auto"/>
        <w:ind w:left="720"/>
        <w:jc w:val="both"/>
        <w:rPr>
          <w:rFonts w:asciiTheme="minorHAnsi" w:hAnsiTheme="minorHAnsi"/>
          <w:i/>
          <w:sz w:val="22"/>
          <w:szCs w:val="22"/>
        </w:rPr>
      </w:pPr>
      <w:r w:rsidRPr="00F23ADB">
        <w:rPr>
          <w:rFonts w:asciiTheme="minorHAnsi" w:hAnsiTheme="minorHAnsi"/>
          <w:i/>
          <w:sz w:val="22"/>
          <w:szCs w:val="22"/>
        </w:rPr>
        <w:t xml:space="preserve">«1. Οι δαπάνες που θα πραγματοποιηθούν για τη λήψη υπηρεσιών που σχετίζονται με την ενεργειακή, λειτουργική και αισθητική αναβάθμιση κτιρίων, τα οποία δεν έχουν ήδη ενταχθεί ή δεν θα ενταχθούν σε </w:t>
      </w:r>
      <w:r w:rsidR="00971D9A">
        <w:rPr>
          <w:rFonts w:asciiTheme="minorHAnsi" w:hAnsiTheme="minorHAnsi"/>
          <w:i/>
          <w:sz w:val="22"/>
          <w:szCs w:val="22"/>
        </w:rPr>
        <w:t>Πρόγραμμα</w:t>
      </w:r>
      <w:r w:rsidRPr="00F23ADB">
        <w:rPr>
          <w:rFonts w:asciiTheme="minorHAnsi" w:hAnsiTheme="minorHAnsi"/>
          <w:i/>
          <w:sz w:val="22"/>
          <w:szCs w:val="22"/>
        </w:rPr>
        <w:t xml:space="preserve"> αναβάθμισης κτιρίων, μειώνουν ισόποσα κατανεμημένες σε </w:t>
      </w:r>
      <w:r w:rsidR="00EB38B3">
        <w:rPr>
          <w:rFonts w:asciiTheme="minorHAnsi" w:hAnsiTheme="minorHAnsi"/>
          <w:i/>
          <w:sz w:val="22"/>
          <w:szCs w:val="22"/>
        </w:rPr>
        <w:t>Περίοδο</w:t>
      </w:r>
      <w:r w:rsidRPr="00F23ADB">
        <w:rPr>
          <w:rFonts w:asciiTheme="minorHAnsi" w:hAnsiTheme="minorHAnsi"/>
          <w:i/>
          <w:sz w:val="22"/>
          <w:szCs w:val="22"/>
        </w:rPr>
        <w:t xml:space="preserve"> τεσσάρων (4) ετών, σε ποσοστό σαράντα τοις εκατό (40 %) του ύψους τους, τον φόρο εισοδήματος των φυσικών προσώπων, μέχρι του αναλογούντος για κάθε φορολογικό έτος φόρου, με ανώτατο συνολικά όριο δαπάνης τις δεκαέξι χιλιάδες (16.000) ευρώ.</w:t>
      </w:r>
    </w:p>
    <w:p w14:paraId="54346923" w14:textId="77777777" w:rsidR="00F23ADB" w:rsidRPr="00F23ADB" w:rsidRDefault="00F23ADB" w:rsidP="00F23ADB">
      <w:pPr>
        <w:pStyle w:val="-HTML"/>
        <w:spacing w:line="360" w:lineRule="auto"/>
        <w:ind w:left="720"/>
        <w:jc w:val="both"/>
        <w:rPr>
          <w:rFonts w:asciiTheme="minorHAnsi" w:hAnsiTheme="minorHAnsi"/>
          <w:i/>
          <w:sz w:val="22"/>
          <w:szCs w:val="22"/>
        </w:rPr>
      </w:pPr>
      <w:r w:rsidRPr="00F23ADB">
        <w:rPr>
          <w:rFonts w:asciiTheme="minorHAnsi" w:hAnsiTheme="minorHAnsi"/>
          <w:i/>
          <w:sz w:val="22"/>
          <w:szCs w:val="22"/>
        </w:rPr>
        <w:t xml:space="preserve"> 2. Απαραίτητη προϋπόθεση για τη μείωση του φόρου από το ποσό των δαπανών, αποτελεί η απόδειξή τους με νόμιμα παραστατικά του ν. </w:t>
      </w:r>
      <w:hyperlink r:id="rId38" w:history="1">
        <w:r w:rsidRPr="00F23ADB">
          <w:rPr>
            <w:rStyle w:val="-"/>
            <w:rFonts w:asciiTheme="minorHAnsi" w:hAnsiTheme="minorHAnsi"/>
            <w:b/>
            <w:bCs/>
            <w:i/>
            <w:color w:val="0062B7"/>
            <w:sz w:val="22"/>
            <w:szCs w:val="22"/>
          </w:rPr>
          <w:t>4308/2014</w:t>
        </w:r>
      </w:hyperlink>
      <w:r w:rsidRPr="00F23ADB">
        <w:rPr>
          <w:rFonts w:asciiTheme="minorHAnsi" w:hAnsiTheme="minorHAnsi"/>
          <w:i/>
          <w:sz w:val="22"/>
          <w:szCs w:val="22"/>
        </w:rPr>
        <w:t xml:space="preserve"> και η εξόφλησή τους με ηλεκτρονικά μέσα πληρωμής ή μέσω </w:t>
      </w:r>
      <w:proofErr w:type="spellStart"/>
      <w:r w:rsidRPr="00F23ADB">
        <w:rPr>
          <w:rFonts w:asciiTheme="minorHAnsi" w:hAnsiTheme="minorHAnsi"/>
          <w:i/>
          <w:sz w:val="22"/>
          <w:szCs w:val="22"/>
        </w:rPr>
        <w:t>παρόχου</w:t>
      </w:r>
      <w:proofErr w:type="spellEnd"/>
      <w:r w:rsidRPr="00F23ADB">
        <w:rPr>
          <w:rFonts w:asciiTheme="minorHAnsi" w:hAnsiTheme="minorHAnsi"/>
          <w:i/>
          <w:sz w:val="22"/>
          <w:szCs w:val="22"/>
        </w:rPr>
        <w:t xml:space="preserve"> υπηρεσιών πληρωμών.»</w:t>
      </w:r>
    </w:p>
    <w:p w14:paraId="79B242DF" w14:textId="77777777" w:rsidR="00F23ADB" w:rsidRPr="00F23ADB" w:rsidRDefault="00F23ADB" w:rsidP="00F23ADB">
      <w:pPr>
        <w:spacing w:line="360" w:lineRule="auto"/>
        <w:rPr>
          <w:rFonts w:cs="Calibri"/>
        </w:rPr>
      </w:pPr>
      <w:r w:rsidRPr="00F23ADB">
        <w:rPr>
          <w:rFonts w:cs="Calibri"/>
        </w:rPr>
        <w:t xml:space="preserve">Όπως φαίνεται η δυνατότητα αυτή είναι συμπληρωματική με το </w:t>
      </w:r>
      <w:r w:rsidR="00971D9A">
        <w:rPr>
          <w:rFonts w:cs="Calibri"/>
        </w:rPr>
        <w:t>Πρόγραμμα</w:t>
      </w:r>
      <w:r w:rsidRPr="00F23ADB">
        <w:rPr>
          <w:rFonts w:cs="Calibri"/>
        </w:rPr>
        <w:t xml:space="preserve"> «εξοικονομώ </w:t>
      </w:r>
      <w:proofErr w:type="spellStart"/>
      <w:r w:rsidRPr="00F23ADB">
        <w:rPr>
          <w:rFonts w:cs="Calibri"/>
        </w:rPr>
        <w:t>κατ’οίκον</w:t>
      </w:r>
      <w:proofErr w:type="spellEnd"/>
      <w:r w:rsidRPr="00F23ADB">
        <w:rPr>
          <w:rFonts w:cs="Calibri"/>
        </w:rPr>
        <w:t xml:space="preserve">» και αφορά σε κατοικίες που δεν συμμετέχουν στο </w:t>
      </w:r>
      <w:r w:rsidR="00971D9A">
        <w:rPr>
          <w:rFonts w:cs="Calibri"/>
        </w:rPr>
        <w:t>Πρόγραμμα</w:t>
      </w:r>
      <w:r w:rsidRPr="00F23ADB">
        <w:rPr>
          <w:rFonts w:cs="Calibri"/>
        </w:rPr>
        <w:t xml:space="preserve">. </w:t>
      </w:r>
    </w:p>
    <w:p w14:paraId="46BC5913" w14:textId="77777777" w:rsidR="00F23ADB" w:rsidRPr="00F23ADB" w:rsidRDefault="00F23ADB" w:rsidP="00F23ADB">
      <w:pPr>
        <w:spacing w:line="360" w:lineRule="auto"/>
        <w:rPr>
          <w:rFonts w:cs="Calibri"/>
        </w:rPr>
      </w:pPr>
      <w:r w:rsidRPr="00F23ADB">
        <w:rPr>
          <w:rFonts w:cs="Calibri"/>
        </w:rPr>
        <w:t>Οι παρεμβάσεις ενεργειακής αναβάθμισης προς επιδότηση αφορούν στο κέλυφος του κτιρίου, περιλαμβανομένων των ανοιγμάτων, όσο και στα συστήματα θέρμανσης, ψύξης, κλιματισμού και παροχής ζεστού νερού χρήσης. Η υλοποίηση των παρεμβάσεων πραγματοποιείται βάσει των ελάχιστων απαιτήσεων του Κανονισμού Ενεργειακής Απόδοσης Κτιρίων (ΚΕΝΑΚ), όπως εξειδικεύονται στην Υπουργική Απόφαση 42554 (ΦΕΚ 2440/Β/15</w:t>
      </w:r>
      <w:r w:rsidR="00E5630E">
        <w:rPr>
          <w:rFonts w:cs="Calibri"/>
        </w:rPr>
        <w:t>.09.</w:t>
      </w:r>
      <w:r w:rsidRPr="00F23ADB">
        <w:rPr>
          <w:rFonts w:cs="Calibri"/>
        </w:rPr>
        <w:t xml:space="preserve">2014). </w:t>
      </w:r>
    </w:p>
    <w:p w14:paraId="42B215AE" w14:textId="77777777" w:rsidR="00F23ADB" w:rsidRPr="00F23ADB" w:rsidRDefault="00F23ADB" w:rsidP="00F23ADB">
      <w:pPr>
        <w:spacing w:line="360" w:lineRule="auto"/>
      </w:pPr>
      <w:r w:rsidRPr="00F23ADB">
        <w:rPr>
          <w:rFonts w:cs="Calibri"/>
        </w:rPr>
        <w:t>Η παρακολούθηση και επαλήθευση του ενεργειακού στόχου επιτυγχάνεται μέσω της διενέργειας δύο ενεργειακών επιθεωρήσεων στο κτίριο (πριν και μετά την υλοποίηση των παρεμβάσεων). Εκτιμάται ότι, σύμφωνα με στοιχεία του ΕΣΔΕΑ, θα επέλθει συμψηφισμός σε 90.000 κατοικίες.</w:t>
      </w:r>
    </w:p>
    <w:p w14:paraId="44F67DA4" w14:textId="77777777" w:rsidR="00F23ADB" w:rsidRPr="00F23ADB" w:rsidRDefault="00F23ADB" w:rsidP="00F23ADB">
      <w:pPr>
        <w:spacing w:line="360" w:lineRule="auto"/>
        <w:rPr>
          <w:rStyle w:val="af3"/>
          <w:b w:val="0"/>
          <w:bCs/>
        </w:rPr>
      </w:pPr>
    </w:p>
    <w:p w14:paraId="3F3ED6B8" w14:textId="77777777" w:rsidR="00F23ADB" w:rsidRPr="00FA5CD9" w:rsidRDefault="00F23ADB" w:rsidP="00FA5CD9">
      <w:pPr>
        <w:pStyle w:val="3"/>
      </w:pPr>
      <w:bookmarkStart w:id="58" w:name="_Toc36639228"/>
      <w:bookmarkStart w:id="59" w:name="_Toc464038692"/>
      <w:r w:rsidRPr="00FA5CD9">
        <w:rPr>
          <w:rStyle w:val="4Char"/>
          <w:b/>
          <w:i/>
        </w:rPr>
        <w:t xml:space="preserve">Αντιμετώπιση των επιπλοκών κρατικών ενισχύσεων του </w:t>
      </w:r>
      <w:r w:rsidR="005E65CC">
        <w:rPr>
          <w:rStyle w:val="4Char"/>
          <w:b/>
          <w:i/>
        </w:rPr>
        <w:t>Χρηματοοικονομικού Εργαλείου (FI)</w:t>
      </w:r>
      <w:bookmarkEnd w:id="58"/>
      <w:r w:rsidRPr="00FA5CD9">
        <w:t xml:space="preserve"> </w:t>
      </w:r>
      <w:bookmarkEnd w:id="59"/>
    </w:p>
    <w:p w14:paraId="68C01806" w14:textId="77777777" w:rsidR="00F23ADB" w:rsidRPr="00F23ADB" w:rsidRDefault="00F23ADB" w:rsidP="00F23ADB">
      <w:pPr>
        <w:spacing w:line="360" w:lineRule="auto"/>
      </w:pPr>
      <w:r w:rsidRPr="00F23ADB">
        <w:t xml:space="preserve">Το προϊόν του </w:t>
      </w:r>
      <w:proofErr w:type="spellStart"/>
      <w:r w:rsidRPr="00F23ADB">
        <w:t>συσταθέντος</w:t>
      </w:r>
      <w:proofErr w:type="spellEnd"/>
      <w:r w:rsidRPr="00F23ADB">
        <w:t xml:space="preserve"> </w:t>
      </w:r>
      <w:r w:rsidR="005E65CC">
        <w:t>Χρηματοοικονομικού Εργαλείου (FI)</w:t>
      </w:r>
      <w:r w:rsidRPr="00F23ADB">
        <w:t xml:space="preserve"> για παρεμβάσεις εξοικονόμησης ενέργειας στον οικιακό τομέα, είναι δάνεια με επιδότηση επιτοκίου για νέες εργασίες εξοικονόμησης ενέργειας, δηλαδή αποκλείεται ρητά η </w:t>
      </w:r>
      <w:proofErr w:type="spellStart"/>
      <w:r w:rsidRPr="00F23ADB">
        <w:t>αναχρηματοδότηση</w:t>
      </w:r>
      <w:proofErr w:type="spellEnd"/>
      <w:r w:rsidRPr="00F23ADB">
        <w:t xml:space="preserve"> υφιστάμενων δανείων καθώς οι εργασίες χρηματοδοτούνται και με επιχορηγήσεις.</w:t>
      </w:r>
    </w:p>
    <w:p w14:paraId="2C668D73" w14:textId="77777777" w:rsidR="00F23ADB" w:rsidRPr="00F23ADB" w:rsidRDefault="00F23ADB" w:rsidP="00F23ADB">
      <w:pPr>
        <w:spacing w:line="360" w:lineRule="auto"/>
      </w:pPr>
      <w:r w:rsidRPr="00F23ADB">
        <w:t xml:space="preserve">Στόχος του </w:t>
      </w:r>
      <w:proofErr w:type="spellStart"/>
      <w:r w:rsidRPr="00F23ADB">
        <w:t>συσταθέντος</w:t>
      </w:r>
      <w:proofErr w:type="spellEnd"/>
      <w:r w:rsidRPr="00F23ADB">
        <w:t xml:space="preserve">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Pr="00F23ADB">
        <w:t xml:space="preserve"> είναι να προσφέρει δάνεια με ευνοϊκούς όρους και επιδότηση επιτοκίου σε ιδιοκτήτες ακινήτων για την ενεργειακή αναβάθμιση των ακινήτων τους. Δεδομένου ότι η συντριπτική πλειονότητα των ακινήτων γενικά ανήκει σε </w:t>
      </w:r>
      <w:r w:rsidRPr="00F23ADB">
        <w:lastRenderedPageBreak/>
        <w:t>φυσικά πρόσωπα, το μέσο θα ενισχύει μόνο φυσικά πρόσωπα και μάλιστα με κοινωνικά κριτήρια.</w:t>
      </w:r>
      <w:r w:rsidRPr="00F23ADB">
        <w:rPr>
          <w:rStyle w:val="ac"/>
          <w:color w:val="000000"/>
        </w:rPr>
        <w:footnoteReference w:id="33"/>
      </w:r>
    </w:p>
    <w:p w14:paraId="754D4480" w14:textId="77777777" w:rsidR="00F23ADB" w:rsidRPr="00F23ADB" w:rsidRDefault="00F23ADB" w:rsidP="00F23ADB">
      <w:pPr>
        <w:spacing w:line="360" w:lineRule="auto"/>
      </w:pPr>
      <w:r w:rsidRPr="00F23ADB">
        <w:t xml:space="preserve">Οι πόροι που θα </w:t>
      </w:r>
      <w:proofErr w:type="spellStart"/>
      <w:r w:rsidRPr="00F23ADB">
        <w:t>μετακυληθούν</w:t>
      </w:r>
      <w:proofErr w:type="spellEnd"/>
      <w:r w:rsidRPr="00F23ADB">
        <w:t xml:space="preserve"> από το </w:t>
      </w:r>
      <w:r w:rsidR="00B925F9">
        <w:t>ΕΠΑνΕΚ</w:t>
      </w:r>
      <w:r w:rsidRPr="00F23ADB">
        <w:t xml:space="preserve"> στα πιστωτικά ιδρύματα που έχουν αναλάβει την υλοποίηση του </w:t>
      </w:r>
      <w:r w:rsidR="001E5965" w:rsidRPr="004C42EA">
        <w:t>Χρηματοοικονομικ</w:t>
      </w:r>
      <w:r w:rsidR="001E5965">
        <w:t>ού</w:t>
      </w:r>
      <w:r w:rsidR="001E5965" w:rsidRPr="004C42EA">
        <w:t xml:space="preserve"> Εργαλεί</w:t>
      </w:r>
      <w:r w:rsidR="001E5965">
        <w:t>ου</w:t>
      </w:r>
      <w:r w:rsidR="001E5965" w:rsidRPr="004C42EA">
        <w:t xml:space="preserve"> (FI)</w:t>
      </w:r>
      <w:r w:rsidRPr="00F23ADB">
        <w:t xml:space="preserve"> όπως και οι επιστροφές των ενισχύσεων από το υφιστάμενο Ταμείο «Εξοικονομώ </w:t>
      </w:r>
      <w:proofErr w:type="spellStart"/>
      <w:r w:rsidR="00EB38B3">
        <w:t>κατ</w:t>
      </w:r>
      <w:proofErr w:type="spellEnd"/>
      <w:r w:rsidR="00EB38B3">
        <w:t xml:space="preserve">΄ </w:t>
      </w:r>
      <w:proofErr w:type="spellStart"/>
      <w:r w:rsidR="00EB38B3">
        <w:t>Οίκον</w:t>
      </w:r>
      <w:proofErr w:type="spellEnd"/>
      <w:r w:rsidRPr="00F23ADB">
        <w:t xml:space="preserve">», συμμετέχουν στις ζημίες/αθετήσεις πληρωμών και τις ανακτήσεις των δανείων στο χαρτοφυλάκιο αυτό με βάση επιμέρους δάνεια και στην ίδια αναλογία με τη συνεισφορά του Επιχειρησιακού </w:t>
      </w:r>
      <w:r w:rsidR="00971D9A">
        <w:t>Προγράμματος</w:t>
      </w:r>
      <w:r w:rsidRPr="00F23ADB">
        <w:t xml:space="preserve"> στο μέσο.</w:t>
      </w:r>
    </w:p>
    <w:p w14:paraId="3049C688" w14:textId="77777777" w:rsidR="00F23ADB" w:rsidRPr="00F23ADB" w:rsidRDefault="00F23ADB" w:rsidP="00F23ADB">
      <w:pPr>
        <w:spacing w:line="360" w:lineRule="auto"/>
      </w:pPr>
      <w:r w:rsidRPr="00F23ADB">
        <w:t xml:space="preserve">Θεωρείται λοιπόν ότι οι ενισχύσεις προς τα πιστωτικά ιδρύματα που συμμετέχουν στην υλοποίηση του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4C42EA">
        <w:t xml:space="preserve"> </w:t>
      </w:r>
      <w:r w:rsidRPr="00F23ADB">
        <w:t>, είναι συμβατές με την εσωτερική αγορά όταν τηρούνται σωρευτικά οι ακόλουθες προϋποθέσεις:</w:t>
      </w:r>
    </w:p>
    <w:p w14:paraId="195215C4" w14:textId="77777777" w:rsidR="00F23ADB" w:rsidRPr="00F23ADB" w:rsidRDefault="00F23ADB" w:rsidP="00F23ADB">
      <w:pPr>
        <w:spacing w:line="360" w:lineRule="auto"/>
      </w:pPr>
      <w:r w:rsidRPr="00F23ADB">
        <w:t xml:space="preserve">Οι εμπλεκόμενοι φορείς υλοποίησης του μέσου αναλαμβάνουν ανά πάσα στιγμή τις ζημιές και τα οφέλη </w:t>
      </w:r>
      <w:proofErr w:type="spellStart"/>
      <w:r w:rsidRPr="00F23ADB">
        <w:t>κατ</w:t>
      </w:r>
      <w:proofErr w:type="spellEnd"/>
      <w:r w:rsidRPr="00F23ADB">
        <w:t>΄ αναλογία των συνεισφορών τους (</w:t>
      </w:r>
      <w:r w:rsidRPr="00F23ADB">
        <w:rPr>
          <w:lang w:val="en-US"/>
        </w:rPr>
        <w:t>pro</w:t>
      </w:r>
      <w:r w:rsidRPr="00F23ADB">
        <w:t>-</w:t>
      </w:r>
      <w:r w:rsidRPr="00F23ADB">
        <w:rPr>
          <w:lang w:val="en-US"/>
        </w:rPr>
        <w:t>rata</w:t>
      </w:r>
      <w:r w:rsidRPr="00F23ADB">
        <w:t xml:space="preserve">) και το ποσοστό συμμετοχής του ενδιάμεσου φορέα χρηματοδότησης στο δάνειο είναι οικονομικά σημαντικό. </w:t>
      </w:r>
    </w:p>
    <w:p w14:paraId="7D19C92E" w14:textId="77777777" w:rsidR="00F23ADB" w:rsidRPr="00F23ADB" w:rsidRDefault="00F23ADB" w:rsidP="00F23ADB">
      <w:pPr>
        <w:spacing w:line="360" w:lineRule="auto"/>
      </w:pPr>
      <w:r w:rsidRPr="00F23ADB">
        <w:t xml:space="preserve">Δεδομένου ότι η </w:t>
      </w:r>
      <w:proofErr w:type="spellStart"/>
      <w:r w:rsidRPr="00F23ADB">
        <w:t>μόχλευση</w:t>
      </w:r>
      <w:proofErr w:type="spellEnd"/>
      <w:r w:rsidRPr="00F23ADB">
        <w:t xml:space="preserve"> (</w:t>
      </w:r>
      <w:r w:rsidRPr="00F23ADB">
        <w:rPr>
          <w:lang w:val="en-US"/>
        </w:rPr>
        <w:t>leverage</w:t>
      </w:r>
      <w:r w:rsidRPr="00F23ADB">
        <w:t>) ανέρχεται στην τιμή 2, και η ονομαστική αξία του δανείου είναι μικρή, τηρούνται οι απαιτήσεις του άρθρου 39 του κανονισμού 651/2014</w:t>
      </w:r>
      <w:r w:rsidRPr="00F23ADB">
        <w:rPr>
          <w:rStyle w:val="ac"/>
          <w:color w:val="000000"/>
        </w:rPr>
        <w:footnoteReference w:id="34"/>
      </w:r>
      <w:r w:rsidRPr="00F23ADB">
        <w:t xml:space="preserve"> και ειδικότερα των παραγράφων 5,6 και 7:</w:t>
      </w:r>
    </w:p>
    <w:p w14:paraId="6147E6C4" w14:textId="77777777" w:rsidR="00F23ADB" w:rsidRPr="00F23ADB" w:rsidRDefault="00F23ADB" w:rsidP="00F23ADB">
      <w:pPr>
        <w:spacing w:line="360" w:lineRule="auto"/>
        <w:ind w:left="720"/>
        <w:rPr>
          <w:i/>
        </w:rPr>
      </w:pPr>
      <w:r w:rsidRPr="00F23ADB">
        <w:rPr>
          <w:color w:val="000000"/>
        </w:rPr>
        <w:t>«</w:t>
      </w:r>
      <w:r w:rsidRPr="00F23ADB">
        <w:rPr>
          <w:i/>
        </w:rPr>
        <w:t>5. Η ενίσχυση που χορηγείται από το ταμείο ενεργειακής απόδοσης ή άλλον ενδιάμεσο χρηματοπιστωτικό οργανισμό στα επιλέξιμα έργα ενεργειακής απόδοσης μπορεί να λάβει τη μορφή δανείων ή εγγυήσεων. Η ονομαστική αξία του δανείου ή του εγγυημένου ποσού δεν υπερβαίνει το ποσό των 10 εκατ. ευρώ ανά έργο σε επίπεδο τελικών δικαιούχων. Η εγγύηση δεν μπορεί να υπερβαίνει το 80 % του υποκείμενου δανείου.</w:t>
      </w:r>
    </w:p>
    <w:p w14:paraId="1E6CCD30" w14:textId="77777777" w:rsidR="00F23ADB" w:rsidRPr="00F23ADB" w:rsidRDefault="00F23ADB" w:rsidP="00F23ADB">
      <w:pPr>
        <w:spacing w:line="360" w:lineRule="auto"/>
        <w:ind w:left="720"/>
        <w:rPr>
          <w:i/>
        </w:rPr>
      </w:pPr>
      <w:r w:rsidRPr="00F23ADB">
        <w:rPr>
          <w:i/>
        </w:rPr>
        <w:t>6. Η αποπληρωμή από τους ιδιοκτήτες των κτιρίων στο ταμείο ενεργειακής απόδοσης ή σε άλλον ενδιάμεσο χρηματοπιστωτικό οργανισμό δεν αφορά ποσό μικρότερο από την ονομαστική αξία του δανείου.</w:t>
      </w:r>
    </w:p>
    <w:p w14:paraId="4F087810" w14:textId="77777777" w:rsidR="00F23ADB" w:rsidRPr="00F23ADB" w:rsidRDefault="00F23ADB" w:rsidP="00F23ADB">
      <w:pPr>
        <w:spacing w:line="360" w:lineRule="auto"/>
        <w:ind w:left="720"/>
        <w:rPr>
          <w:color w:val="000000"/>
        </w:rPr>
      </w:pPr>
      <w:r w:rsidRPr="00F23ADB">
        <w:rPr>
          <w:i/>
        </w:rPr>
        <w:t xml:space="preserve">7. Οι ενισχύσεις ενεργειακής απόδοσης δημιουργούν </w:t>
      </w:r>
      <w:proofErr w:type="spellStart"/>
      <w:r w:rsidRPr="00F23ADB">
        <w:rPr>
          <w:i/>
        </w:rPr>
        <w:t>μόχλευση</w:t>
      </w:r>
      <w:proofErr w:type="spellEnd"/>
      <w:r w:rsidRPr="00F23ADB">
        <w:rPr>
          <w:i/>
        </w:rPr>
        <w:t xml:space="preserve"> επιπρόσθετων επενδύσεων από ιδιώτες επενδυτές ύψους τουλάχιστον 30% της συνολικής χρηματοδότησης που παρέχεται σε έργο ενεργειακής απόδοσης. Όταν οι ενισχύσεις παρέχονται από ταμείο ενεργειακής απόδοσης, η </w:t>
      </w:r>
      <w:proofErr w:type="spellStart"/>
      <w:r w:rsidRPr="00F23ADB">
        <w:rPr>
          <w:i/>
        </w:rPr>
        <w:t>μόχλευση</w:t>
      </w:r>
      <w:proofErr w:type="spellEnd"/>
      <w:r w:rsidRPr="00F23ADB">
        <w:rPr>
          <w:i/>
        </w:rPr>
        <w:t xml:space="preserve"> των ιδιωτικών επενδύσεων </w:t>
      </w:r>
      <w:r w:rsidRPr="00F23ADB">
        <w:rPr>
          <w:i/>
        </w:rPr>
        <w:lastRenderedPageBreak/>
        <w:t>μπορεί να επιτευχθεί στο επίπεδο του ταμείου ενεργειακής απόδοσης και/ή στο επίπεδο των έργων ενεργειακής απόδοσης, ούτως ώστε να επιτευχθεί συνολικό ποσό ίσο τουλάχιστον με το 30 % της συνολικής χρηματοδότησης που παρέχεται σε ένα έργο ενεργειακής απόδοσης</w:t>
      </w:r>
      <w:r w:rsidRPr="00F23ADB">
        <w:t>»</w:t>
      </w:r>
    </w:p>
    <w:p w14:paraId="12F2DE8C" w14:textId="77777777" w:rsidR="00F23ADB" w:rsidRPr="00F23ADB" w:rsidRDefault="00F23ADB" w:rsidP="00F23ADB">
      <w:pPr>
        <w:spacing w:line="360" w:lineRule="auto"/>
      </w:pPr>
      <w:r w:rsidRPr="00F23ADB">
        <w:t xml:space="preserve">Υπάρχει πλήρης μεταβίβαση του οικονομικού πλεονεκτήματος από τα πιστωτικά ιδρύματα που συμμετέχουν στην υλοποίηση του μέσου στους τελικούς αποδέκτες. Οι αμοιβές διαχείρισης των πιστωτικών ιδρυμάτων, συνάδουν με τους περιορισμούς των άρθρων 12 και 13 του </w:t>
      </w:r>
      <w:proofErr w:type="spellStart"/>
      <w:r w:rsidRPr="00F23ADB">
        <w:t>κατ</w:t>
      </w:r>
      <w:proofErr w:type="spellEnd"/>
      <w:r w:rsidRPr="00F23ADB">
        <w:t xml:space="preserve">΄ εξουσιοδότηση κανονισμού 480/2014 της </w:t>
      </w:r>
      <w:r w:rsidR="0062368F">
        <w:t>Ε.Ε.</w:t>
      </w:r>
      <w:r w:rsidRPr="00F23ADB">
        <w:t xml:space="preserve"> και δεν παρέχονται άλλα πλεονεκτήματα από το κράτος.</w:t>
      </w:r>
    </w:p>
    <w:p w14:paraId="0A506772" w14:textId="77777777" w:rsidR="00F23ADB" w:rsidRPr="00F23ADB" w:rsidRDefault="00F23ADB" w:rsidP="00F23ADB">
      <w:pPr>
        <w:spacing w:line="360" w:lineRule="auto"/>
        <w:rPr>
          <w:color w:val="000000" w:themeColor="text1"/>
        </w:rPr>
      </w:pPr>
      <w:r w:rsidRPr="00F23ADB">
        <w:t xml:space="preserve">Το οικονομικό πλεονέκτημα της δημόσιας συνεισφοράς του </w:t>
      </w:r>
      <w:r w:rsidR="00971D9A">
        <w:t>Προγράμματος</w:t>
      </w:r>
      <w:r w:rsidRPr="00F23ADB">
        <w:t xml:space="preserve"> προς το μέσο μεταβιβάζεται εξ΄ ολοκλήρου στους τελικούς αποδέκτες με τη μορφή μείωσης του επιτοκίου, καθώς θα τοκίζονται μόνο τα δανειακά κεφάλαια που θα επενδύονται από τα πιστωτικά ιδρύματα. Όταν το πιστωτικό ίδρυμα δεν μεταβιβάζει εξ ολοκλήρου το οικονομικό πλεονέκτημα στους τελικούς αποδέκτες, η δημόσια συνεισφορά που δεν έχει εκταμιευθεί </w:t>
      </w:r>
      <w:r w:rsidRPr="00F23ADB">
        <w:rPr>
          <w:color w:val="000000" w:themeColor="text1"/>
        </w:rPr>
        <w:t xml:space="preserve">επιστρέφεται στη διαχειριστική αρχή. </w:t>
      </w:r>
    </w:p>
    <w:p w14:paraId="499D37F0" w14:textId="77777777" w:rsidR="00F23ADB" w:rsidRPr="00F23ADB" w:rsidRDefault="00F23ADB" w:rsidP="00F23ADB">
      <w:pPr>
        <w:spacing w:line="360" w:lineRule="auto"/>
      </w:pPr>
      <w:r w:rsidRPr="00F23ADB">
        <w:t xml:space="preserve">Στο τρίτο μέρος της εργασίας εξετάζεται εάν η συμμετοχή του </w:t>
      </w:r>
      <w:proofErr w:type="spellStart"/>
      <w:r w:rsidRPr="00F23ADB">
        <w:t>συσταθέντος</w:t>
      </w:r>
      <w:proofErr w:type="spellEnd"/>
      <w:r w:rsidRPr="00F23ADB">
        <w:t xml:space="preserve"> ταμείου στην επιδότηση επιτοκίου των δανείων, υποχρεώνει τον διαχειριστή του ταμείου να αναθέσει στα πιστωτικά ιδρύματα την υλοποίηση του μέσου εφαρμόζοντας τις διατάξεις της οδηγίας 2014/24.</w:t>
      </w:r>
      <w:r w:rsidRPr="00F23ADB">
        <w:rPr>
          <w:rStyle w:val="ac"/>
          <w:color w:val="000000"/>
        </w:rPr>
        <w:footnoteReference w:id="35"/>
      </w:r>
      <w:r w:rsidRPr="00F23ADB">
        <w:t xml:space="preserve"> Όπως αναφέρεται στην παράγραφο 13 του άρθρου 5 της εν λόγω οδηγίας :</w:t>
      </w:r>
    </w:p>
    <w:p w14:paraId="2F77BC85" w14:textId="77777777" w:rsidR="00F23ADB" w:rsidRPr="00F23ADB" w:rsidRDefault="00F23ADB" w:rsidP="00F23ADB">
      <w:pPr>
        <w:spacing w:line="360" w:lineRule="auto"/>
      </w:pPr>
      <w:r w:rsidRPr="00F23ADB">
        <w:t xml:space="preserve">«13. Όσον αφορά τις δημόσιες συμβάσεις υπηρεσιών, η βάση για τον υπολογισμό της εκτιμώμενης αξίας της σύμβασης είναι, ανάλογα με την περίπτωση, η εξής: </w:t>
      </w:r>
    </w:p>
    <w:p w14:paraId="1F87F4FD" w14:textId="77777777" w:rsidR="00F23ADB" w:rsidRPr="00F23ADB" w:rsidRDefault="00F23ADB" w:rsidP="00F23ADB">
      <w:pPr>
        <w:spacing w:line="360" w:lineRule="auto"/>
      </w:pPr>
      <w:r w:rsidRPr="00F23ADB">
        <w:t xml:space="preserve">α) ασφαλιστικές υπηρεσίες: το καταβλητέο ασφάλιστρο και οι άλλοι τρόποι αμοιβής· </w:t>
      </w:r>
    </w:p>
    <w:p w14:paraId="3DCE4A01" w14:textId="77777777" w:rsidR="00F23ADB" w:rsidRPr="00F23ADB" w:rsidRDefault="00F23ADB" w:rsidP="00F23ADB">
      <w:pPr>
        <w:spacing w:line="360" w:lineRule="auto"/>
      </w:pPr>
      <w:r w:rsidRPr="00F23ADB">
        <w:t>β) τραπεζικές και άλλες χρηματοπιστωτικές υπηρεσίες: οι αμοιβές, οι καταβλητέες προμήθειες, οι τόκοι και οι άλλοι τρόποι αμοιβής»</w:t>
      </w:r>
    </w:p>
    <w:p w14:paraId="2DF9D5C4" w14:textId="77777777" w:rsidR="00F23ADB" w:rsidRPr="00F23ADB" w:rsidRDefault="00F23ADB" w:rsidP="00F23ADB">
      <w:pPr>
        <w:spacing w:line="360" w:lineRule="auto"/>
      </w:pPr>
      <w:r w:rsidRPr="00F23ADB">
        <w:t>Εάν θα πρέπει να εφαρμοσθούν οι διατάξεις της οδηγίας 2014/24 τότε δεν τίθεται ζήτημα εξέτασης κρατικής ενίσχυσης κατά την ανάθεση της σύμβασης, εκτός και εάν η αναθέτουσα αρχή κρίνει ότι οι προσφορές είναι ασυνήθιστα χαμηλές (άρθρο 69 οδηγίας).</w:t>
      </w:r>
    </w:p>
    <w:p w14:paraId="648A8C07" w14:textId="77777777" w:rsidR="00F23ADB" w:rsidRPr="00F23ADB" w:rsidRDefault="00F23ADB" w:rsidP="00F23ADB">
      <w:pPr>
        <w:spacing w:line="360" w:lineRule="auto"/>
      </w:pPr>
      <w:r w:rsidRPr="00F23ADB">
        <w:t xml:space="preserve">Στο επίπεδο των τελικών αποδεκτών (ιδιοκτήτες ακινήτων) που είναι φυσικά πρόσωπα δεν λογίζονται ως λήπτες κρατικής ενίσχυσης εάν αποδεδειγμένα οι ενισχύσεις δεν αφορούν οικονομική δραστηριότητα. </w:t>
      </w:r>
    </w:p>
    <w:p w14:paraId="322AE1DA" w14:textId="77777777" w:rsidR="00F23ADB" w:rsidRPr="00F23ADB" w:rsidRDefault="00F23ADB" w:rsidP="00F23ADB">
      <w:pPr>
        <w:spacing w:line="360" w:lineRule="auto"/>
      </w:pPr>
      <w:r w:rsidRPr="00F23ADB">
        <w:lastRenderedPageBreak/>
        <w:t>Σύμφωνα με τις διατάξεις του εκτελεστικού κανονισμού 964/2014, οι ιδιοκτήτες με οικονομική δραστηριότητα θεωρούνται «επιχειρήσεις» και υπόκεινται στους κανόνες περί κρατικών ενισχύσεων. Αυτό συμβαίνει στην περίπτωση των εκμισθωτών καθώς η ενοικίαση συνιστά οικονομική δραστηριότητα</w:t>
      </w:r>
      <w:r w:rsidRPr="00F23ADB">
        <w:rPr>
          <w:rStyle w:val="ac"/>
        </w:rPr>
        <w:footnoteReference w:id="36"/>
      </w:r>
      <w:r w:rsidRPr="00F23ADB">
        <w:t xml:space="preserve">. Αποτελεί άλλωστε πάγια τακτική των οργάνων της Ε.Ε. να θεωρείται «οικονομική δραστηριότητα», οποιαδήποτε δραστηριότητα αγαθών ή υπηρεσιών στην αγορά όπως και στην περίπτωση της εγκατάστασης συστημάτων ανανεώσιμων πηγών ενέργειας, εφόσον μέρος της παραγόμενης ενέργειας από τις ανανεώσιμες πηγές παρέχεται στο δίκτυο (η παροχή ενέργειας στο δίκτυο θεωρείται οικονομική δραστηριότητα). </w:t>
      </w:r>
    </w:p>
    <w:p w14:paraId="322744F5" w14:textId="77777777" w:rsidR="00F23ADB" w:rsidRPr="00F23ADB" w:rsidRDefault="00F23ADB" w:rsidP="00F23ADB">
      <w:pPr>
        <w:spacing w:line="360" w:lineRule="auto"/>
      </w:pPr>
      <w:r w:rsidRPr="00F23ADB">
        <w:t>Εάν λοιπόν δεχθούμε ότι οι ιδιοκτήτες ακινήτων ασκούν οικονομική δραστηριότητα όταν μισθώνουν την κατοικία που αναβαθμίζουν ενεργειακά με ενίσχυση του μέσου τότε:</w:t>
      </w:r>
    </w:p>
    <w:p w14:paraId="278D3FE6" w14:textId="77777777" w:rsidR="00F23ADB" w:rsidRPr="00F23ADB" w:rsidRDefault="00F23ADB" w:rsidP="00F23ADB">
      <w:pPr>
        <w:spacing w:line="360" w:lineRule="auto"/>
      </w:pPr>
      <w:r w:rsidRPr="00F23ADB">
        <w:t xml:space="preserve">α) Θα πρέπει να υπολογισθεί το ακαθάριστο ισοδύναμο επιχορήγησης. Έστω για παράδειγμα ότι το δάνειο είναι πενταετούς διάρκειας και παρέχεται από το μέσο με </w:t>
      </w:r>
      <w:proofErr w:type="spellStart"/>
      <w:r w:rsidRPr="00F23ADB">
        <w:t>μόχλευση</w:t>
      </w:r>
      <w:proofErr w:type="spellEnd"/>
      <w:r w:rsidRPr="00F23ADB">
        <w:t xml:space="preserve"> δύο. </w:t>
      </w:r>
    </w:p>
    <w:p w14:paraId="70D92CAC" w14:textId="77777777" w:rsidR="00F23ADB" w:rsidRPr="00F23ADB" w:rsidRDefault="00F23ADB" w:rsidP="00F23ADB">
      <w:pPr>
        <w:spacing w:line="360" w:lineRule="auto"/>
      </w:pPr>
      <w:r w:rsidRPr="00F23ADB">
        <w:t xml:space="preserve">Εάν για παράδειγμα η ονομαστική αξία αυτού του δανείου είναι 7.500€ τότε τα 5.000€ (τα 2/3) δίνονται με αμιγώς τραπεζικούς όρους και δεν εμπεριέχουν κανένα στοιχείο ενίσχυσης, άρα για αυτό το ποσό δεν υπολογίζουμε το ισοδύναμο ποσό επιχορήγησης. Για το υπόλοιπο ποσό των 2.500€ χρησιμοποιούμε το επιτόκιο αναφοράς που μας δίνετε από πίνακα της </w:t>
      </w:r>
      <w:r w:rsidR="0062368F">
        <w:t>Ε.Ε.</w:t>
      </w:r>
      <w:r w:rsidRPr="00F23ADB">
        <w:t>. Έστω ότι το δάνειο εκταμιεύθηκε το δεύτερο εξάμηνο του 2015 τότε το επιτόκιο αναφοράς ήταν 0,34% και το προσαυξάνουμε κατά 60 μονάδες βάσης</w:t>
      </w:r>
      <w:r w:rsidRPr="00F23ADB">
        <w:rPr>
          <w:rStyle w:val="ac"/>
        </w:rPr>
        <w:footnoteReference w:id="37"/>
      </w:r>
      <w:r w:rsidRPr="00F23ADB">
        <w:t>. Οπότε το επιτόκιο αναφοράς διαμορφώνεται σε 0,94%. Στη συνέχεια υπολογίζεται η καθαρά παρούσα αξία των δόσεων με επιτόκιο 0,94% και μηδενικό επιτόκιο. Η διαφορά τους αποτελεί το ΑΙΕ. Το προεξοφλητικό επιτόκιο που χρησιμοποιούμε για την καθαρά παρούσα αξία είναι το ίδιο με το επιτόκιο αναφοράς προσαυξημένο κατά 100 μονάδες.</w:t>
      </w:r>
      <w:r>
        <w:t xml:space="preserve"> </w:t>
      </w:r>
      <w:r w:rsidRPr="00F23ADB">
        <w:t>Με αυτόν τον τρόπο υπολογίζουμε ότι το ακαθάριστο ισοδύναμο της επιχορήγησης ανέρχεται στο ποσό των 57,76€.</w:t>
      </w:r>
    </w:p>
    <w:p w14:paraId="5693C5AF" w14:textId="77777777" w:rsidR="00F23ADB" w:rsidRPr="00F23ADB" w:rsidRDefault="00F23ADB" w:rsidP="00F23ADB">
      <w:pPr>
        <w:spacing w:line="360" w:lineRule="auto"/>
      </w:pPr>
      <w:r w:rsidRPr="00F23ADB">
        <w:t xml:space="preserve">β) για τους τελικούς αποδέκτες που είναι εκμισθωτές εφαρμόζεται ο κανονισμός </w:t>
      </w:r>
      <w:r w:rsidRPr="00F23ADB">
        <w:rPr>
          <w:lang w:val="en-US"/>
        </w:rPr>
        <w:t>de</w:t>
      </w:r>
      <w:r w:rsidRPr="00F23ADB">
        <w:t xml:space="preserve"> </w:t>
      </w:r>
      <w:proofErr w:type="spellStart"/>
      <w:r w:rsidRPr="00F23ADB">
        <w:rPr>
          <w:lang w:val="en-US"/>
        </w:rPr>
        <w:t>minimis</w:t>
      </w:r>
      <w:proofErr w:type="spellEnd"/>
      <w:r w:rsidRPr="00F23ADB">
        <w:t xml:space="preserve">. Εάν εφαρμοσθούν οι διατάξεις του κανονισμού </w:t>
      </w:r>
      <w:r w:rsidRPr="00F23ADB">
        <w:rPr>
          <w:lang w:val="en-US"/>
        </w:rPr>
        <w:t>de</w:t>
      </w:r>
      <w:r w:rsidRPr="00F23ADB">
        <w:t xml:space="preserve"> </w:t>
      </w:r>
      <w:proofErr w:type="spellStart"/>
      <w:r w:rsidRPr="00F23ADB">
        <w:rPr>
          <w:lang w:val="en-US"/>
        </w:rPr>
        <w:t>minimis</w:t>
      </w:r>
      <w:proofErr w:type="spellEnd"/>
      <w:r w:rsidRPr="00F23ADB">
        <w:t xml:space="preserve"> τότε το συνολικό ποσό της ενίσχυσης που υπολογίζεται με τη μέθοδο του ΑΙΕ παραπάνω, δεν υπερβαίνει το ποσό των 200.000€ για </w:t>
      </w:r>
      <w:r w:rsidR="00EB38B3">
        <w:t>Περίοδο</w:t>
      </w:r>
      <w:r w:rsidRPr="00F23ADB">
        <w:t xml:space="preserve"> τριών οικονομικών ετών και φυσικά στο ποσό αυτό θα σωρεύονται και οι επιχορηγήσεις που παρέχονται στους τελικούς αποδέκτες χωρίς να εμπλέκονται τυχόν επιχειρηματικές δραστηριότητές τους ή τυχόν άλλα ωφελήματα όπως η επιδότηση επιτοκίου.</w:t>
      </w:r>
    </w:p>
    <w:p w14:paraId="7E13A682" w14:textId="77777777" w:rsidR="00F23ADB" w:rsidRPr="00F23ADB" w:rsidRDefault="00F23ADB" w:rsidP="00F23ADB">
      <w:pPr>
        <w:spacing w:line="360" w:lineRule="auto"/>
      </w:pPr>
      <w:r w:rsidRPr="00F23ADB">
        <w:lastRenderedPageBreak/>
        <w:t xml:space="preserve">Σημειώνεται ότι για την παρακολούθηση των ενοικιαζόμενων κατοικιών που εμπίπτουν στο καθεστώς, έχουν καταχωρηθεί σε ξεχωριστά </w:t>
      </w:r>
      <w:proofErr w:type="spellStart"/>
      <w:r w:rsidRPr="00F23ADB">
        <w:t>υποέργα</w:t>
      </w:r>
      <w:proofErr w:type="spellEnd"/>
      <w:r w:rsidRPr="00F23ADB">
        <w:t xml:space="preserve"> στις πράξεις και παρακολουθούνται για σώρευση από το σύστημα κρατικών ενισχύσεων.</w:t>
      </w:r>
    </w:p>
    <w:p w14:paraId="52E7C48F" w14:textId="77777777" w:rsidR="00F23ADB" w:rsidRPr="00F23ADB" w:rsidRDefault="00F23ADB" w:rsidP="00FA5CD9">
      <w:pPr>
        <w:pStyle w:val="3"/>
      </w:pPr>
      <w:bookmarkStart w:id="60" w:name="_Toc464038693"/>
      <w:bookmarkStart w:id="61" w:name="_Toc36639229"/>
      <w:r w:rsidRPr="00F23ADB">
        <w:t xml:space="preserve">Προσδιορισμός των πρόσθετων δημόσιων και ιδιωτικών πόρων που δύναται να συγκεντρώσει ένα </w:t>
      </w:r>
      <w:bookmarkEnd w:id="60"/>
      <w:r w:rsidR="005E65CC">
        <w:t>Χρηματοοικονομικό Εργαλείο (FI)</w:t>
      </w:r>
      <w:bookmarkEnd w:id="61"/>
    </w:p>
    <w:p w14:paraId="206C7B31" w14:textId="77777777" w:rsidR="00F23ADB" w:rsidRPr="00F23ADB" w:rsidRDefault="00F23ADB" w:rsidP="00F23ADB">
      <w:pPr>
        <w:spacing w:line="360" w:lineRule="auto"/>
      </w:pPr>
      <w:r w:rsidRPr="00F23ADB">
        <w:t xml:space="preserve">Το </w:t>
      </w:r>
      <w:r w:rsidR="005E65CC">
        <w:t>Χρηματοοικονομικό Εργαλείο (FI)</w:t>
      </w:r>
      <w:r w:rsidRPr="00F23ADB">
        <w:t xml:space="preserve"> με τίτλο «Ταμείο Εξοικονομώ ΙΙ»  συστάθηκε από : </w:t>
      </w:r>
    </w:p>
    <w:p w14:paraId="7CBEC716" w14:textId="77777777" w:rsidR="00F23ADB" w:rsidRPr="00F23ADB" w:rsidRDefault="00F23ADB" w:rsidP="00F23ADB">
      <w:pPr>
        <w:pStyle w:val="a3"/>
        <w:numPr>
          <w:ilvl w:val="0"/>
          <w:numId w:val="35"/>
        </w:numPr>
        <w:spacing w:line="360" w:lineRule="auto"/>
      </w:pPr>
      <w:r w:rsidRPr="00F23ADB">
        <w:t xml:space="preserve">επιστροφές των ενισχύσεων του υφιστάμενου Ταμείου «Εξοικονομώ </w:t>
      </w:r>
      <w:proofErr w:type="spellStart"/>
      <w:r w:rsidR="00EB38B3">
        <w:t>κατ</w:t>
      </w:r>
      <w:proofErr w:type="spellEnd"/>
      <w:r w:rsidR="00EB38B3">
        <w:t xml:space="preserve">΄ </w:t>
      </w:r>
      <w:proofErr w:type="spellStart"/>
      <w:r w:rsidR="00EB38B3">
        <w:t>Οίκον</w:t>
      </w:r>
      <w:proofErr w:type="spellEnd"/>
      <w:r w:rsidRPr="00F23ADB">
        <w:t xml:space="preserve">» της </w:t>
      </w:r>
      <w:r w:rsidR="00E5630E">
        <w:t>Προγραμματ</w:t>
      </w:r>
      <w:r w:rsidRPr="00F23ADB">
        <w:t xml:space="preserve">ικής </w:t>
      </w:r>
      <w:r w:rsidR="00EB38B3">
        <w:t>Περιόδου</w:t>
      </w:r>
      <w:r w:rsidRPr="00F23ADB">
        <w:t xml:space="preserve"> 2007-2013 και τα έσοδα από πλειστηριασμούς των αδιάθετων δικαιωμάτων εκπομπών αερίων θερμοκηπίου.</w:t>
      </w:r>
    </w:p>
    <w:p w14:paraId="3DE8915A" w14:textId="77777777" w:rsidR="00F23ADB" w:rsidRPr="00F23ADB" w:rsidRDefault="00F23ADB" w:rsidP="00F23ADB">
      <w:pPr>
        <w:pStyle w:val="a3"/>
        <w:numPr>
          <w:ilvl w:val="0"/>
          <w:numId w:val="35"/>
        </w:numPr>
        <w:spacing w:line="360" w:lineRule="auto"/>
      </w:pPr>
      <w:r w:rsidRPr="00F23ADB">
        <w:t xml:space="preserve">δημόσιους πόρους του </w:t>
      </w:r>
      <w:r w:rsidR="00B925F9">
        <w:t>ΕΠΑνΕΚ</w:t>
      </w:r>
      <w:r w:rsidRPr="00F23ADB">
        <w:t>,</w:t>
      </w:r>
    </w:p>
    <w:p w14:paraId="1E1CF500" w14:textId="77777777" w:rsidR="00F23ADB" w:rsidRPr="00F23ADB" w:rsidRDefault="00F23ADB" w:rsidP="00F23ADB">
      <w:pPr>
        <w:pStyle w:val="a3"/>
        <w:numPr>
          <w:ilvl w:val="0"/>
          <w:numId w:val="35"/>
        </w:numPr>
        <w:spacing w:line="360" w:lineRule="auto"/>
      </w:pPr>
      <w:r w:rsidRPr="00F23ADB">
        <w:t xml:space="preserve">ιδιωτικούς πόρους των πιστωτικών ιδρυμάτων που συμμετέχουν στην υλοποίηση του μέσου </w:t>
      </w:r>
    </w:p>
    <w:p w14:paraId="57EFC988" w14:textId="77777777" w:rsidR="00F23ADB" w:rsidRPr="00F23ADB" w:rsidRDefault="00F23ADB" w:rsidP="00F23ADB">
      <w:pPr>
        <w:spacing w:line="360" w:lineRule="auto"/>
      </w:pPr>
      <w:r w:rsidRPr="00F23ADB">
        <w:t>Έχει προηγηθεί εκτενής αναφορά τόσο στους Ιδιωτικούς, όσο και στους Συγχρηματοδοτούμενους και τους Εθνικούς πόρους.</w:t>
      </w:r>
    </w:p>
    <w:p w14:paraId="251339A7" w14:textId="77777777" w:rsidR="00F23ADB" w:rsidRPr="00F23ADB" w:rsidRDefault="00F23ADB" w:rsidP="00FA5CD9">
      <w:pPr>
        <w:pStyle w:val="3"/>
      </w:pPr>
      <w:bookmarkStart w:id="62" w:name="_Toc464038694"/>
      <w:bookmarkStart w:id="63" w:name="_Toc36639230"/>
      <w:r w:rsidRPr="00F23ADB">
        <w:t>Ιδιωτικοί Πόροι</w:t>
      </w:r>
      <w:bookmarkEnd w:id="62"/>
      <w:bookmarkEnd w:id="63"/>
      <w:r w:rsidRPr="00F23ADB">
        <w:t xml:space="preserve"> </w:t>
      </w:r>
    </w:p>
    <w:p w14:paraId="6D978DF0" w14:textId="77777777" w:rsidR="00F23ADB" w:rsidRPr="00F23ADB" w:rsidRDefault="00F23ADB" w:rsidP="00F23ADB">
      <w:pPr>
        <w:spacing w:line="360" w:lineRule="auto"/>
      </w:pPr>
      <w:r w:rsidRPr="00F23ADB">
        <w:t xml:space="preserve">Η προσέλκυση των ιδιωτικών πόρων προέρχεται είτε από τα χρηματοπιστωτικά ιδρύματα για όσους παίρνουν δάνειο είτε από ιδιωτικά κεφάλαια που συμπληρώνουν το ύψος της δαπάνης των παρεμβάσεων. Το σημαντικό επενδυτικό κενό του πλήθους των κατοικιών και της έλλειψης κεφαλαίων προς επένδυση και από τον τραπεζικό τομέα αλλά και από τα φυσικά πρόσωπα, ιδιαίτερα των πλέον ασθενέστερων εισοδημάτων  και η ωριμότητα πλέον των ιδιοκτητών ακινήτων που έχουν εξοικειωθεί μέσω του </w:t>
      </w:r>
      <w:r w:rsidR="00971D9A">
        <w:t>Προγράμματος</w:t>
      </w:r>
      <w:r w:rsidRPr="00F23ADB">
        <w:t xml:space="preserve"> «Εξοικονόμηση </w:t>
      </w:r>
      <w:proofErr w:type="spellStart"/>
      <w:r w:rsidR="00EB38B3">
        <w:t>κατ</w:t>
      </w:r>
      <w:proofErr w:type="spellEnd"/>
      <w:r w:rsidR="00EB38B3">
        <w:t xml:space="preserve">΄ </w:t>
      </w:r>
      <w:proofErr w:type="spellStart"/>
      <w:r w:rsidR="00EB38B3">
        <w:t>Οίκον</w:t>
      </w:r>
      <w:proofErr w:type="spellEnd"/>
      <w:r w:rsidRPr="00F23ADB">
        <w:t xml:space="preserve">», έχει διαμορφώνει τις κατάλληλες προϋποθέσεις, ώστε το </w:t>
      </w:r>
      <w:r w:rsidR="005B76B8">
        <w:t>συγκεκριμένο</w:t>
      </w:r>
      <w:r w:rsidRPr="00F23ADB">
        <w:t xml:space="preserve"> </w:t>
      </w:r>
      <w:r w:rsidR="005E65CC">
        <w:t>Χρηματοοικονομικό Εργαλείο (FI)</w:t>
      </w:r>
      <w:r w:rsidRPr="00F23ADB">
        <w:t xml:space="preserve"> να αποτελέσει σημαντική επενδυτική ευκαιρία για τα χρηματοπιστωτικά ιδρύματα. </w:t>
      </w:r>
      <w:bookmarkStart w:id="64" w:name="_Toc464038695"/>
    </w:p>
    <w:p w14:paraId="6A2D1AF5" w14:textId="77777777" w:rsidR="00F23ADB" w:rsidRPr="00F23ADB" w:rsidRDefault="00F23ADB" w:rsidP="00FA5CD9">
      <w:pPr>
        <w:pStyle w:val="3"/>
      </w:pPr>
      <w:bookmarkStart w:id="65" w:name="_Toc36639231"/>
      <w:r w:rsidRPr="00F23ADB">
        <w:t xml:space="preserve">Περιφερειακά Επιχειρησιακά </w:t>
      </w:r>
      <w:r w:rsidR="00E5630E">
        <w:t>Προγράμματ</w:t>
      </w:r>
      <w:r w:rsidRPr="00F23ADB">
        <w:t>α (ΠΕΠ)</w:t>
      </w:r>
      <w:bookmarkEnd w:id="64"/>
      <w:bookmarkEnd w:id="65"/>
      <w:r w:rsidRPr="00F23ADB">
        <w:t xml:space="preserve"> </w:t>
      </w:r>
    </w:p>
    <w:p w14:paraId="5F70230F" w14:textId="77777777" w:rsidR="00F23ADB" w:rsidRPr="00F23ADB" w:rsidRDefault="00F23ADB" w:rsidP="00F23ADB">
      <w:pPr>
        <w:spacing w:line="360" w:lineRule="auto"/>
      </w:pPr>
      <w:r w:rsidRPr="00F23ADB">
        <w:t xml:space="preserve">Τα ΠΕΠ είναι προσαρμοσμένα στις ανάγκες και στις αναπτυξιακές προτεραιότητες κάθε </w:t>
      </w:r>
      <w:r w:rsidR="00E5630E">
        <w:t>Περιφέρ</w:t>
      </w:r>
      <w:r w:rsidRPr="00F23ADB">
        <w:t xml:space="preserve">ειας, περιλαμβάνουν αναπτυξιακούς άξονες και επενδυτικές προτεραιότητες για την εξυπηρέτηση της έξυπνης και βιώσιμης ανάπτυξης χωρίς αποκλεισμούς σε κάθε </w:t>
      </w:r>
      <w:r w:rsidR="00E5630E">
        <w:t>Περιφέρ</w:t>
      </w:r>
      <w:r w:rsidRPr="00F23ADB">
        <w:t xml:space="preserve">εια, εξυπηρετώντας συμπληρωματικά με τα τομεακά επιχειρησιακά </w:t>
      </w:r>
      <w:r w:rsidR="00E5630E">
        <w:t>Προγράμματ</w:t>
      </w:r>
      <w:r w:rsidRPr="00F23ADB">
        <w:t xml:space="preserve">α, τους στρατηγικούς στόχους της χώρας. </w:t>
      </w:r>
    </w:p>
    <w:p w14:paraId="6BFDF287" w14:textId="77777777" w:rsidR="00F23ADB" w:rsidRPr="00F23ADB" w:rsidRDefault="00F23ADB" w:rsidP="00F23ADB">
      <w:pPr>
        <w:spacing w:line="360" w:lineRule="auto"/>
      </w:pPr>
      <w:r w:rsidRPr="00F23ADB">
        <w:t xml:space="preserve">Ορισμένα από τα Περιφερειακά Επιχειρησιακά </w:t>
      </w:r>
      <w:r w:rsidR="00E5630E">
        <w:t>Προγράμματ</w:t>
      </w:r>
      <w:r w:rsidRPr="00F23ADB">
        <w:t xml:space="preserve">α της νέας </w:t>
      </w:r>
      <w:r w:rsidR="00E5630E">
        <w:t>Προγραμματ</w:t>
      </w:r>
      <w:r w:rsidRPr="00F23ADB">
        <w:t xml:space="preserve">ικής </w:t>
      </w:r>
      <w:r w:rsidR="00EB38B3">
        <w:t>Περιόδου</w:t>
      </w:r>
      <w:r w:rsidRPr="00F23ADB">
        <w:t xml:space="preserve"> 2014-2020 έχουν δεσμεύσει πόρους για την υλοποίηση δράσεων που αφορούν στην ενεργειακή αναβάθμιση των κτιρίων στον τομέα της στέγασης. </w:t>
      </w:r>
    </w:p>
    <w:p w14:paraId="084E1D75" w14:textId="77777777" w:rsidR="00F23ADB" w:rsidRPr="00F23ADB" w:rsidRDefault="00F23ADB" w:rsidP="00F23ADB">
      <w:pPr>
        <w:spacing w:line="360" w:lineRule="auto"/>
      </w:pPr>
      <w:r w:rsidRPr="00F23ADB">
        <w:lastRenderedPageBreak/>
        <w:t xml:space="preserve">Παρ’ όλα αυτά, το υφιστάμενο θεσμικό πλαίσιο καθιστούσε διαχειριστικά πολύπλοκη την τοποθέτηση δημοσίων πόρων στο </w:t>
      </w:r>
      <w:proofErr w:type="spellStart"/>
      <w:r w:rsidRPr="00F23ADB">
        <w:t>συσταθέν</w:t>
      </w:r>
      <w:proofErr w:type="spellEnd"/>
      <w:r w:rsidRPr="00F23ADB">
        <w:t xml:space="preserve"> ταμείο και ως εκ τούτου δεν προτάθηκε. </w:t>
      </w:r>
    </w:p>
    <w:p w14:paraId="37CCC116" w14:textId="77777777" w:rsidR="00F23ADB" w:rsidRDefault="00F23ADB" w:rsidP="00F23ADB">
      <w:pPr>
        <w:spacing w:line="360" w:lineRule="auto"/>
      </w:pPr>
      <w:r w:rsidRPr="00F23ADB">
        <w:t xml:space="preserve">Παραμένει, βέβαια, η δυνατότητα αξιοποίησης αυτών των πόρων με την μορφή επιχορήγησης, όμως η διαχείριση αυτών </w:t>
      </w:r>
      <w:r w:rsidR="004E4951">
        <w:t>των πράξεων ε</w:t>
      </w:r>
      <w:r w:rsidRPr="00F23ADB">
        <w:t xml:space="preserve">ίναι αρμοδιότητα του εκάστοτε Περιφερειακού Επιχειρησιακού </w:t>
      </w:r>
      <w:r w:rsidR="00971D9A">
        <w:t>Προγράμματος</w:t>
      </w:r>
      <w:r w:rsidRPr="00F23ADB">
        <w:t xml:space="preserve">. </w:t>
      </w:r>
    </w:p>
    <w:p w14:paraId="45182995" w14:textId="77777777" w:rsidR="004E4951" w:rsidRDefault="00F42BBF" w:rsidP="004E4951">
      <w:pPr>
        <w:spacing w:line="360" w:lineRule="auto"/>
      </w:pPr>
      <w:r>
        <w:t xml:space="preserve">Μετά την λήξη υποβολής προτάσεων του </w:t>
      </w:r>
      <w:proofErr w:type="spellStart"/>
      <w:r>
        <w:t>Β’Κύκλου</w:t>
      </w:r>
      <w:proofErr w:type="spellEnd"/>
      <w:r>
        <w:t xml:space="preserve"> και </w:t>
      </w:r>
      <w:r w:rsidR="004E4951">
        <w:t xml:space="preserve">δεδομένου του μεγάλου ενδιαφέροντος του Προγράμματος από τους πολίτες καθώς </w:t>
      </w:r>
      <w:r w:rsidR="003E55A5">
        <w:t>υπήρχαν</w:t>
      </w:r>
      <w:r w:rsidR="003E55A5" w:rsidRPr="003E55A5">
        <w:t xml:space="preserve"> </w:t>
      </w:r>
      <w:r w:rsidR="003E55A5">
        <w:t>καταχωρημένες στο σύστημα 17.327 αιτήσεις που δεν πρόλαβαν να δεσμεύσουν πόρους</w:t>
      </w:r>
      <w:r w:rsidR="004E4951">
        <w:t xml:space="preserve">, το Υπουργείο Περιβάλλοντος απευθύνθηκε προς τους Περιφερειάρχες, ζητώντας επιπλέον </w:t>
      </w:r>
      <w:r w:rsidR="003E55A5">
        <w:t>χρηματοδότηση</w:t>
      </w:r>
      <w:r w:rsidR="004E4951">
        <w:t>. Από την σχετική αλληλογραφία με τις ΕΥΔ των ΕΠ των Περιφερειών για την εξέταση της δυνατότητας διάθεσης πρόσθετων πόρων από τα Επιχειρησιακά</w:t>
      </w:r>
      <w:r w:rsidR="003E55A5">
        <w:t xml:space="preserve"> Προγράμματα αρμοδιότητάς τους και τις </w:t>
      </w:r>
      <w:r w:rsidR="004E4951">
        <w:t>απαντήσεις που δόθηκαν</w:t>
      </w:r>
      <w:r w:rsidR="003E55A5">
        <w:t>,</w:t>
      </w:r>
      <w:r w:rsidR="004E4951">
        <w:t xml:space="preserve"> φαίνεται ότι </w:t>
      </w:r>
      <w:r w:rsidR="003E55A5">
        <w:t xml:space="preserve">θα μπορούσαν να συγκεντρωθούν </w:t>
      </w:r>
      <w:r w:rsidR="004E4951">
        <w:t xml:space="preserve">συγχρηματοδοτούμενοι πόροι </w:t>
      </w:r>
      <w:r w:rsidR="003E55A5">
        <w:t>τουλάχιστον</w:t>
      </w:r>
      <w:r w:rsidR="004E4951">
        <w:t xml:space="preserve"> 138εκ€.</w:t>
      </w:r>
    </w:p>
    <w:p w14:paraId="4B0002A2" w14:textId="77777777" w:rsidR="00F23ADB" w:rsidRPr="00F23ADB" w:rsidRDefault="00F23ADB" w:rsidP="00FA5CD9">
      <w:pPr>
        <w:pStyle w:val="3"/>
      </w:pPr>
      <w:r w:rsidRPr="00F23ADB">
        <w:t xml:space="preserve"> </w:t>
      </w:r>
      <w:bookmarkStart w:id="66" w:name="_Toc464038696"/>
      <w:bookmarkStart w:id="67" w:name="_Toc36639232"/>
      <w:r w:rsidRPr="00F23ADB">
        <w:t xml:space="preserve">Εθνικοί πόροι – </w:t>
      </w:r>
      <w:bookmarkEnd w:id="66"/>
      <w:r w:rsidRPr="00F23ADB">
        <w:t>Πράσινο ταμείο – Σύστημα Εμπορίας των Δικαιωμάτων εκπομπών Ρύπων</w:t>
      </w:r>
      <w:bookmarkEnd w:id="67"/>
      <w:r w:rsidRPr="00F23ADB">
        <w:t xml:space="preserve">  </w:t>
      </w:r>
    </w:p>
    <w:p w14:paraId="5A71E1F5" w14:textId="77777777" w:rsidR="00F23ADB" w:rsidRPr="00F23ADB" w:rsidRDefault="00F23ADB" w:rsidP="00DC12D0">
      <w:pPr>
        <w:pStyle w:val="4"/>
      </w:pPr>
      <w:r w:rsidRPr="00F23ADB">
        <w:t xml:space="preserve">Α. Πράσινο Ταμείο: </w:t>
      </w:r>
    </w:p>
    <w:p w14:paraId="5DF65D6D" w14:textId="77777777" w:rsidR="00F23ADB" w:rsidRPr="00F23ADB" w:rsidRDefault="00F23ADB" w:rsidP="00F23ADB">
      <w:pPr>
        <w:spacing w:line="360" w:lineRule="auto"/>
      </w:pPr>
      <w:r w:rsidRPr="00F23ADB">
        <w:t xml:space="preserve">Αν και δεν έχει ακόμη ιδρυθεί εθνικό ταμείο ενεργειακής απόδοσης, το συγκεκριμένο ρόλο δύναται να διαδραματίσει το Πράσινο Ταμείο. Στις αρμοδιότητες του Πράσινου Ταμείου ανήκουν, εκτός των άλλων, και όλες οι αρμοδιότητες που προβλέπονται στην παρ. 5 του Άρθρου 9 του Ν. 3855/2010, μέχρι την ίδρυση εθνικού ταμείου ενεργειακής απόδοσης που προβλέπεται στον εν λόγω νόμο. Πιο συγκεκριμένα, δύναται να επιδοτηθούν </w:t>
      </w:r>
      <w:r w:rsidR="00E5630E">
        <w:t>Προγράμματ</w:t>
      </w:r>
      <w:r w:rsidRPr="00F23ADB">
        <w:t xml:space="preserve">α και μέτρα βελτίωσης της ενεργειακής απόδοσης, καθώς και η ανάπτυξη αγοράς παροχής ενεργειακών υπηρεσιών ή μέτρων βελτίωσης ενεργειακής απόδοσης, με σκοπό την εξυπηρέτηση των στόχων της εθνικής ενεργειακής πολιτικής για ορθολογική χρήση και εξοικονόμηση ενέργειας. Ειδικότερα, αντικείμενο δραστηριότητας του Ταμείου αποτελεί η ενθάρρυνση των επενδύσεων και η ενίσχυση των πάσης φύσεως δραστηριοτήτων που σκοπεύουν στην εξοικονόμηση, στην ορθολογική χρήση ενέργειας, στον περιορισμό χρήσης </w:t>
      </w:r>
      <w:proofErr w:type="spellStart"/>
      <w:r w:rsidRPr="00F23ADB">
        <w:t>ενεργοβόρων</w:t>
      </w:r>
      <w:proofErr w:type="spellEnd"/>
      <w:r w:rsidRPr="00F23ADB">
        <w:t xml:space="preserve"> παραγωγικών διαδικασιών, στην ανάπτυξη αγοράς παροχής ενεργειακών υπηρεσιών. Για το σκοπό αυτό, το Ταμείο επιδοτεί το ίδιο ή εξασφαλίζει δυνατότητες χρηματοδότησης επιχειρηματικών σχεδίων, επενδύσεων και προγραμμάτων που συνδέονται με τη βιώσιμη χρήση της ενέργειας και την αειφόρο ανάπτυξη. </w:t>
      </w:r>
    </w:p>
    <w:p w14:paraId="4F6B0E3D" w14:textId="77777777" w:rsidR="00F23ADB" w:rsidRPr="00F23ADB" w:rsidRDefault="00F23ADB" w:rsidP="00F23ADB">
      <w:pPr>
        <w:spacing w:line="360" w:lineRule="auto"/>
      </w:pPr>
      <w:r w:rsidRPr="00F23ADB">
        <w:t xml:space="preserve">Το Ταμείο μπορεί να συγχρηματοδοτείται από κοινοτικά </w:t>
      </w:r>
      <w:r w:rsidR="00E5630E">
        <w:t>Προγράμματ</w:t>
      </w:r>
      <w:r w:rsidRPr="00F23ADB">
        <w:t xml:space="preserve">α. Οι πόροι του Ταμείου είναι διαθέσιμοι σε όλους τους </w:t>
      </w:r>
      <w:proofErr w:type="spellStart"/>
      <w:r w:rsidRPr="00F23ADB">
        <w:t>παρόχους</w:t>
      </w:r>
      <w:proofErr w:type="spellEnd"/>
      <w:r w:rsidRPr="00F23ADB">
        <w:t xml:space="preserve"> μέτρων βελτίωσης της ενεργειακής απόδοσης, όπως Επιχειρήσεις Ενεργειακών Υπηρεσιών (</w:t>
      </w:r>
      <w:r w:rsidR="0062368F">
        <w:t>Ε.Ε.</w:t>
      </w:r>
      <w:r w:rsidRPr="00F23ADB">
        <w:t xml:space="preserve">Υ - </w:t>
      </w:r>
      <w:proofErr w:type="spellStart"/>
      <w:r w:rsidRPr="00F23ADB">
        <w:t>ESCOs</w:t>
      </w:r>
      <w:proofErr w:type="spellEnd"/>
      <w:r w:rsidRPr="00F23ADB">
        <w:t xml:space="preserve">), ανεξάρτητους ενεργειακούς συμβούλους, </w:t>
      </w:r>
      <w:r w:rsidRPr="00F23ADB">
        <w:lastRenderedPageBreak/>
        <w:t>διανομείς ενέργειας, διαχειριστές δικτύων διανομής, επιχειρήσεις λιανικής πώλησης ενέργειας και εγκαταστάτες, καθώς και στους τελικούς καταναλωτές.</w:t>
      </w:r>
    </w:p>
    <w:p w14:paraId="590E2CB9" w14:textId="77777777" w:rsidR="00F23ADB" w:rsidRPr="00F23ADB" w:rsidRDefault="00F23ADB" w:rsidP="00F23ADB">
      <w:pPr>
        <w:spacing w:line="360" w:lineRule="auto"/>
      </w:pPr>
      <w:r w:rsidRPr="00F23ADB">
        <w:t>Η αξιοποίηση των πόρων από το Πράσινο Ταμείο γίνεται μέσω προγραμμάτων για τη χρηματοδότηση δράσεων προστασίας, αναβάθμισης και αποκατάστασης του περιβάλλοντος που υλοποιούν τρίτοι (φορείς υλοποίησης) και μπορεί να έχει τη μορφή επιχορηγήσεων, δανείων, κεφαλαιακής συμμετοχής ή άλλης ισοδύναμης μορφής κεφαλαιακής ενίσχυσης. Οι δράσεις αυτές επιτρέπεται ταυτόχρονα να συγχρηματοδοτούνται ή να ενισχύονται και από άλλες δημόσιες ή ευρωπαϊκές πηγές ή/και ιδιωτικούς πόρους ή που δανειοδοτούνται από την Ευρωπαϊκή Τράπεζα Επενδύσεων ή άλλους φορείς.</w:t>
      </w:r>
    </w:p>
    <w:p w14:paraId="0FD6AAFF" w14:textId="77777777" w:rsidR="00F23ADB" w:rsidRPr="00F23ADB" w:rsidRDefault="00F23ADB" w:rsidP="00DC12D0">
      <w:pPr>
        <w:pStyle w:val="4"/>
      </w:pPr>
      <w:r w:rsidRPr="00F23ADB">
        <w:t xml:space="preserve">Β. Σύστημα Εμπορίας των Δικαιωμάτων εκπομπών Ρύπων  </w:t>
      </w:r>
    </w:p>
    <w:p w14:paraId="396AC0CB" w14:textId="77777777" w:rsidR="00F23ADB" w:rsidRPr="00F23ADB" w:rsidRDefault="00F23ADB" w:rsidP="00F23ADB">
      <w:pPr>
        <w:spacing w:line="360" w:lineRule="auto"/>
      </w:pPr>
      <w:r w:rsidRPr="00F23ADB">
        <w:t>Με την Οδηγία 2003/87/ΕΚ του Ευρωπαϊκού Κοινοβουλίου και του Συμβουλίου της 13ης Οκτωβρίου 2003 (L 275/ 25.10.</w:t>
      </w:r>
      <w:r w:rsidR="00F42BBF">
        <w:t>20</w:t>
      </w:r>
      <w:r w:rsidRPr="00F23ADB">
        <w:t xml:space="preserve">03) θεσπίστηκε το σύστημα εμπορίας δικαιωμάτων εκπομπών αερίων του θερμοκηπίου στην Ευρωπαϊκή Κοινότητα και με την τροποποίηση της οδηγίας 96/61/ΕΚ του Συμβουλίου, υιοθετήθηκε το Κοινοτικό ΣΕΔΕ (EU </w:t>
      </w:r>
      <w:proofErr w:type="spellStart"/>
      <w:r w:rsidRPr="00F23ADB">
        <w:t>emissions</w:t>
      </w:r>
      <w:proofErr w:type="spellEnd"/>
      <w:r w:rsidRPr="00F23ADB">
        <w:t xml:space="preserve"> </w:t>
      </w:r>
      <w:proofErr w:type="spellStart"/>
      <w:r w:rsidRPr="00F23ADB">
        <w:t>trading</w:t>
      </w:r>
      <w:proofErr w:type="spellEnd"/>
      <w:r w:rsidRPr="00F23ADB">
        <w:t xml:space="preserve"> </w:t>
      </w:r>
      <w:proofErr w:type="spellStart"/>
      <w:r w:rsidRPr="00F23ADB">
        <w:t>system</w:t>
      </w:r>
      <w:proofErr w:type="spellEnd"/>
      <w:r w:rsidRPr="00F23ADB">
        <w:t xml:space="preserve"> - EU ETS), με στόχο την αποτελεσματικότερη εκπλήρωση των δεσμεύσεων της Ευρωπαϊκής Ένωσης για μείωση των εκπομπών αερίων του θερμοκηπίου.</w:t>
      </w:r>
    </w:p>
    <w:p w14:paraId="4F730283" w14:textId="77777777" w:rsidR="00F23ADB" w:rsidRPr="00F23ADB" w:rsidRDefault="00F23ADB" w:rsidP="00F23ADB">
      <w:pPr>
        <w:spacing w:line="360" w:lineRule="auto"/>
      </w:pPr>
      <w:r w:rsidRPr="00F23ADB">
        <w:t>Στις 14 Μαρτίου 2018 δημοσιεύτηκε η Οδηγία 2018/410/</w:t>
      </w:r>
      <w:r w:rsidR="0062368F">
        <w:t>Ε.Ε.</w:t>
      </w:r>
      <w:r w:rsidRPr="00F23ADB">
        <w:t>, για την τροποποίηση της Οδηγίας 2003/87/ΕΚ με σκοπό την ενίσχυση οικονομικά αποδοτικών μειώσεων των εκπομπών και την προώθηση επενδύσεων χαμηλών ανθρακούχων εκπομπών και της απόφασης (</w:t>
      </w:r>
      <w:r w:rsidR="0062368F">
        <w:t>Ε.Ε.</w:t>
      </w:r>
      <w:r w:rsidRPr="00F23ADB">
        <w:t xml:space="preserve">) 2015/1814, για την </w:t>
      </w:r>
      <w:r w:rsidR="00EB38B3">
        <w:t>Περίοδο</w:t>
      </w:r>
      <w:r w:rsidRPr="00F23ADB">
        <w:t xml:space="preserve"> μετά το 2020.</w:t>
      </w:r>
    </w:p>
    <w:p w14:paraId="0A344278" w14:textId="77777777" w:rsidR="00F23ADB" w:rsidRPr="00F23ADB" w:rsidRDefault="00F23ADB" w:rsidP="00F23ADB">
      <w:pPr>
        <w:spacing w:line="360" w:lineRule="auto"/>
      </w:pPr>
      <w:r w:rsidRPr="00F23ADB">
        <w:t xml:space="preserve">Το ΣΕΔΕ περιορίζει τις εκπομπές από περισσότερες από 11.000 εγκαταστάσεις που καταναλώνουν ενέργεια (σταθμοί παραγωγής ηλεκτρικής ενέργειας και βιομηχανικές εγκαταστάσεις) καθώς και αεροπορικές εταιρίες που εκτελούν πτήσεις μεταξύ των χωρών αυτών. Καλύπτει περίπου το 45 % των εκπομπών αερίων του θερμοκηπίου στην </w:t>
      </w:r>
      <w:r w:rsidR="0062368F">
        <w:t>Ε.Ε.</w:t>
      </w:r>
      <w:r w:rsidRPr="00F23ADB">
        <w:t>.</w:t>
      </w:r>
    </w:p>
    <w:p w14:paraId="11E6B822" w14:textId="77777777" w:rsidR="00F23ADB" w:rsidRPr="00F23ADB" w:rsidRDefault="00F23ADB" w:rsidP="00F23ADB">
      <w:pPr>
        <w:spacing w:line="360" w:lineRule="auto"/>
      </w:pPr>
      <w:r w:rsidRPr="00F23ADB">
        <w:t>Το (ΣΕΔΕ) θέτει ανώτατο όριο στις ποσότητες CO2 που μπορούν να εκπέμπουν η βιομηχανία και οι σταθμοί παραγωγής ηλεκτρικής ενέργειας. Ο συνολικός όγκος των επιτρεπόμενων εκπομπών διανέμεται σε εταιρίες με τη μορφή δωρεάν κατανομή δικαιωμάτων εκπομπών CO2, τα οποία μπορούν να αποτελέσουν και αντικείμενο συναλλαγής.</w:t>
      </w:r>
    </w:p>
    <w:p w14:paraId="5B32AF37" w14:textId="77777777" w:rsidR="00F23ADB" w:rsidRPr="00F23ADB" w:rsidRDefault="00F23ADB" w:rsidP="00F23ADB">
      <w:pPr>
        <w:spacing w:line="360" w:lineRule="auto"/>
      </w:pPr>
      <w:r w:rsidRPr="00F23ADB">
        <w:t>Σύμφωνα με την ΥΑ 47692 (ΦΕΚ Β’ 3245/2016) «</w:t>
      </w:r>
      <w:r w:rsidRPr="00F23ADB">
        <w:rPr>
          <w:i/>
        </w:rPr>
        <w:t>Τρόπος κατανομής εσόδων από πλειστηριασμούς</w:t>
      </w:r>
      <w:r>
        <w:rPr>
          <w:i/>
        </w:rPr>
        <w:t xml:space="preserve"> </w:t>
      </w:r>
      <w:r w:rsidRPr="00F23ADB">
        <w:rPr>
          <w:i/>
        </w:rPr>
        <w:t>δικαιωμάτων εκπομπών αερίων θερμοκηπίου για το έτος 2016</w:t>
      </w:r>
      <w:r w:rsidRPr="00F23ADB">
        <w:t xml:space="preserve">» και έχοντας υπόψη την υπ’ </w:t>
      </w:r>
      <w:proofErr w:type="spellStart"/>
      <w:r w:rsidRPr="00F23ADB">
        <w:t>αριθμ</w:t>
      </w:r>
      <w:proofErr w:type="spellEnd"/>
      <w:r w:rsidRPr="00F23ADB">
        <w:t xml:space="preserve">. 2/2016 γνωμοδότηση της Ρυθμιστικής Αρχής Ενέργειας (ΡΑΕ) σχετικά με την κατανομή των εσόδων από πλειστηριασμούς αδιάθετων δικαιωμάτων εκπομπών αερίων θερμοκηπίου, για το </w:t>
      </w:r>
      <w:r w:rsidRPr="00F23ADB">
        <w:lastRenderedPageBreak/>
        <w:t>ημερολογιακό έτος 2016 (σύμφωνα με την παράγραφο Α</w:t>
      </w:r>
      <w:r w:rsidR="00E5630E">
        <w:t>.02.</w:t>
      </w:r>
      <w:r w:rsidRPr="00F23ADB">
        <w:t xml:space="preserve"> του άρθρου 25 του Ν. 3468/2006, όπως τροποποιήθηκε και ισχύει με το άρθρο 50 του Ν. 4369/2016 και το άρθρο 47 του Ν. 4409/2016.): </w:t>
      </w:r>
    </w:p>
    <w:p w14:paraId="4278BA08" w14:textId="77777777" w:rsidR="00F23ADB" w:rsidRPr="00F23ADB" w:rsidRDefault="00F23ADB" w:rsidP="00F23ADB">
      <w:pPr>
        <w:spacing w:line="360" w:lineRule="auto"/>
        <w:ind w:left="720"/>
        <w:rPr>
          <w:i/>
        </w:rPr>
      </w:pPr>
      <w:r w:rsidRPr="00F23ADB">
        <w:rPr>
          <w:i/>
        </w:rPr>
        <w:t>«γ. Ποσοστό δεκατρία τοις εκατό (13%) των εσόδων διατίθεται για την άμεση ενίσχυση παρεμβάσεων για βελτίωση ενεργειακής απόδοσης υφιστάμενων οικιών. Οι ανωτέρω πόροι συνδυάζονται με πόρους του «ΤΑΜΕΙΟΥ ΕΞΟΙΚΟΝΟΜΩ ΚΑΤ΄ ΟΙΚΟΝ» (κοινή υπουργική απόφαση 31654/ΕΘΥ1415/20</w:t>
      </w:r>
      <w:r w:rsidR="00E5630E">
        <w:rPr>
          <w:i/>
        </w:rPr>
        <w:t>.07.</w:t>
      </w:r>
      <w:r w:rsidRPr="00F23ADB">
        <w:rPr>
          <w:i/>
        </w:rPr>
        <w:t>2010 - ΦΕΚ 1262/Β/</w:t>
      </w:r>
      <w:r w:rsidR="00F42BBF">
        <w:rPr>
          <w:i/>
        </w:rPr>
        <w:t>0</w:t>
      </w:r>
      <w:r w:rsidRPr="00F23ADB">
        <w:rPr>
          <w:i/>
        </w:rPr>
        <w:t>6</w:t>
      </w:r>
      <w:r w:rsidR="00E5630E">
        <w:rPr>
          <w:i/>
        </w:rPr>
        <w:t>.08.</w:t>
      </w:r>
      <w:r w:rsidRPr="00F23ADB">
        <w:rPr>
          <w:i/>
        </w:rPr>
        <w:t xml:space="preserve">2010) για την υλοποίηση παρεμβάσεων εξοικονόμησης ενέργειας σε υφιστάμενες οικίες στο πλαίσιο της κοινής υπουργικής απόφασης με </w:t>
      </w:r>
      <w:proofErr w:type="spellStart"/>
      <w:r w:rsidRPr="00F23ADB">
        <w:rPr>
          <w:i/>
        </w:rPr>
        <w:t>αριθμ</w:t>
      </w:r>
      <w:proofErr w:type="spellEnd"/>
      <w:r w:rsidRPr="00F23ADB">
        <w:rPr>
          <w:i/>
        </w:rPr>
        <w:t>. Φ.Β1/Ε2.1/244/6/</w:t>
      </w:r>
      <w:r w:rsidR="00F42BBF">
        <w:rPr>
          <w:i/>
        </w:rPr>
        <w:t>0</w:t>
      </w:r>
      <w:r w:rsidRPr="00F23ADB">
        <w:rPr>
          <w:i/>
        </w:rPr>
        <w:t>5</w:t>
      </w:r>
      <w:r w:rsidR="00E5630E">
        <w:rPr>
          <w:i/>
        </w:rPr>
        <w:t>.01.</w:t>
      </w:r>
      <w:r w:rsidRPr="00F23ADB">
        <w:rPr>
          <w:i/>
        </w:rPr>
        <w:t xml:space="preserve">2011 (ΦΕΚ Β΄ 54/26.01.2011) με τίτλο «Προκήρυξη του Προ- γράμματος «Εξοικονόμηση </w:t>
      </w:r>
      <w:proofErr w:type="spellStart"/>
      <w:r w:rsidR="00EB38B3">
        <w:rPr>
          <w:i/>
        </w:rPr>
        <w:t>Κατ</w:t>
      </w:r>
      <w:proofErr w:type="spellEnd"/>
      <w:r w:rsidR="00EB38B3">
        <w:rPr>
          <w:i/>
        </w:rPr>
        <w:t xml:space="preserve">΄ </w:t>
      </w:r>
      <w:proofErr w:type="spellStart"/>
      <w:r w:rsidR="00EB38B3">
        <w:rPr>
          <w:i/>
        </w:rPr>
        <w:t>Οίκον</w:t>
      </w:r>
      <w:proofErr w:type="spellEnd"/>
      <w:r w:rsidRPr="00F23ADB">
        <w:rPr>
          <w:i/>
        </w:rPr>
        <w:t xml:space="preserve">», που θα υλοποιηθεί στο πλαίσιο του ΕΣΠΑ 2007-2013», </w:t>
      </w:r>
    </w:p>
    <w:p w14:paraId="2C8591B6" w14:textId="77777777" w:rsidR="00F23ADB" w:rsidRPr="00F23ADB" w:rsidRDefault="00F23ADB" w:rsidP="00F23ADB">
      <w:pPr>
        <w:spacing w:line="360" w:lineRule="auto"/>
        <w:ind w:left="720"/>
        <w:rPr>
          <w:i/>
        </w:rPr>
      </w:pPr>
      <w:r w:rsidRPr="00F23ADB">
        <w:rPr>
          <w:i/>
        </w:rPr>
        <w:t xml:space="preserve">όπως κάθε φορά τροποποιείται και ισχύει. Προς επίτευξη του ανωτέρω σκοπού, οι πόροι μεταφέρονται σε σχετικό τραπεζικό λογαριασμό του Δικαιούχου του ανωτέρω </w:t>
      </w:r>
      <w:r w:rsidR="00971D9A">
        <w:rPr>
          <w:i/>
        </w:rPr>
        <w:t>Προγράμματος</w:t>
      </w:r>
      <w:r w:rsidRPr="00F23ADB">
        <w:rPr>
          <w:i/>
        </w:rPr>
        <w:t xml:space="preserve">, Εθνικό Ταμείο Επιχειρηματικότητας και Ανάπτυξης Α.Ε. (ΕΤΕΑΝ ΑΕ). Πόροι που τυχόν δε χρησιμοποιηθούν για το ανωτέρω </w:t>
      </w:r>
      <w:r w:rsidR="00971D9A">
        <w:rPr>
          <w:i/>
        </w:rPr>
        <w:t>Πρόγραμμα</w:t>
      </w:r>
      <w:r w:rsidRPr="00F23ADB">
        <w:rPr>
          <w:i/>
        </w:rPr>
        <w:t xml:space="preserve">, διατίθενται από την ΕΤΕΑΝ Α.Ε. σε λοιπά </w:t>
      </w:r>
      <w:r w:rsidR="00E5630E">
        <w:rPr>
          <w:i/>
        </w:rPr>
        <w:t>Προγράμματ</w:t>
      </w:r>
      <w:r w:rsidRPr="00F23ADB">
        <w:rPr>
          <w:i/>
        </w:rPr>
        <w:t>α εξοικονόμησης ενέργειας στον κτιριακό τομέα, που σχεδιάζονται από το Υπουργείο Περιβάλλοντος και Ενέργειας.»</w:t>
      </w:r>
    </w:p>
    <w:p w14:paraId="1B33AD90" w14:textId="77777777" w:rsidR="00F23ADB" w:rsidRPr="00F23ADB" w:rsidRDefault="00F23ADB" w:rsidP="00F23ADB">
      <w:pPr>
        <w:spacing w:line="360" w:lineRule="auto"/>
      </w:pPr>
      <w:r w:rsidRPr="00F23ADB">
        <w:t xml:space="preserve">Η ως άνω παρέμβαση του ΥΠΕΝ έγινε για την χρηματοδότηση των δύο «ενδιάμεσων» προγραμμάτων συνέχισης του «Εξοικονομώ </w:t>
      </w:r>
      <w:proofErr w:type="spellStart"/>
      <w:r w:rsidRPr="00F23ADB">
        <w:t>κατ’οίκον</w:t>
      </w:r>
      <w:proofErr w:type="spellEnd"/>
      <w:r w:rsidRPr="00F23ADB">
        <w:t xml:space="preserve"> Ι» της </w:t>
      </w:r>
      <w:r w:rsidR="00EB38B3">
        <w:t>Περιόδου</w:t>
      </w:r>
      <w:r w:rsidRPr="00F23ADB">
        <w:t xml:space="preserve"> 2007-2013 που παρέμεναν «ουρά» στο </w:t>
      </w:r>
      <w:r w:rsidR="00971D9A">
        <w:t>Πρόγραμμα</w:t>
      </w:r>
      <w:r w:rsidRPr="00F23ADB">
        <w:t xml:space="preserve"> λόγω εξάντλησης των συγχρηματοδοτούμενων πόρων</w:t>
      </w:r>
      <w:r>
        <w:t xml:space="preserve"> και αναμένονται παρόμοιες παρεμβάσεις για την εξασφάλιση των εθνικών πόρων</w:t>
      </w:r>
      <w:r w:rsidRPr="00F23ADB">
        <w:t>.</w:t>
      </w:r>
    </w:p>
    <w:p w14:paraId="28963ADD" w14:textId="77777777" w:rsidR="00F23ADB" w:rsidRPr="00F23ADB" w:rsidRDefault="00F23ADB" w:rsidP="00DC12D0">
      <w:pPr>
        <w:pStyle w:val="4"/>
      </w:pPr>
      <w:bookmarkStart w:id="68" w:name="_Toc464038698"/>
      <w:proofErr w:type="spellStart"/>
      <w:r w:rsidRPr="00F23ADB">
        <w:t>Μόχλευση</w:t>
      </w:r>
      <w:proofErr w:type="spellEnd"/>
      <w:r w:rsidRPr="00F23ADB">
        <w:t xml:space="preserve"> του </w:t>
      </w:r>
      <w:bookmarkEnd w:id="68"/>
      <w:proofErr w:type="spellStart"/>
      <w:r w:rsidRPr="00F23ADB">
        <w:t>συσταθέντος</w:t>
      </w:r>
      <w:proofErr w:type="spellEnd"/>
      <w:r w:rsidRPr="00F23ADB">
        <w:t xml:space="preserve"> </w:t>
      </w:r>
      <w:r w:rsidR="005E65CC">
        <w:t>Χρηματοοικονομικού Εργαλείου (FI)</w:t>
      </w:r>
      <w:r w:rsidRPr="00F23ADB">
        <w:t xml:space="preserve"> </w:t>
      </w:r>
    </w:p>
    <w:p w14:paraId="265D0A0D" w14:textId="77777777" w:rsidR="00F23ADB" w:rsidRPr="00F23ADB" w:rsidRDefault="00F23ADB" w:rsidP="00F23ADB">
      <w:pPr>
        <w:spacing w:line="360" w:lineRule="auto"/>
      </w:pPr>
      <w:r w:rsidRPr="00F23ADB">
        <w:t xml:space="preserve">Η </w:t>
      </w:r>
      <w:proofErr w:type="spellStart"/>
      <w:r w:rsidRPr="00F23ADB">
        <w:t>μόχλευση</w:t>
      </w:r>
      <w:proofErr w:type="spellEnd"/>
      <w:r w:rsidRPr="00F23ADB">
        <w:rPr>
          <w:rStyle w:val="ac"/>
          <w:color w:val="000000"/>
        </w:rPr>
        <w:footnoteReference w:id="38"/>
      </w:r>
      <w:r w:rsidRPr="00F23ADB">
        <w:t xml:space="preserve"> έχει προσδιοριστεί και λαμβάνει την τιμή 2 και αυτό έχει αποτυπωθεί επαρκώς στις ισχύουσες Επιχειρησιακές Συμφωνίες με τους χρηματοπιστωτικούς οργανισμούς. Βάσει αυτών λειτουργούν ήδη οι τρέχοντες Κύκλοι του </w:t>
      </w:r>
      <w:r w:rsidR="00971D9A">
        <w:t>Προγράμματος</w:t>
      </w:r>
      <w:r w:rsidRPr="00F23ADB">
        <w:t xml:space="preserve"> «Εξοικονόμηση </w:t>
      </w:r>
      <w:proofErr w:type="spellStart"/>
      <w:r w:rsidRPr="00F23ADB">
        <w:t>Κατ΄Οίκον</w:t>
      </w:r>
      <w:proofErr w:type="spellEnd"/>
      <w:r w:rsidRPr="00F23ADB">
        <w:t xml:space="preserve"> ΙΙ».</w:t>
      </w:r>
    </w:p>
    <w:p w14:paraId="5A575F6D" w14:textId="77777777" w:rsidR="00F23ADB" w:rsidRPr="00F23ADB" w:rsidRDefault="00F23ADB" w:rsidP="00F23ADB">
      <w:pPr>
        <w:spacing w:line="360" w:lineRule="auto"/>
      </w:pPr>
      <w:r w:rsidRPr="00F23ADB">
        <w:t xml:space="preserve">Η τιμή αυτή </w:t>
      </w:r>
      <w:proofErr w:type="spellStart"/>
      <w:r w:rsidRPr="00F23ADB">
        <w:t>μόχλευσης</w:t>
      </w:r>
      <w:proofErr w:type="spellEnd"/>
      <w:r w:rsidRPr="00F23ADB">
        <w:t xml:space="preserve"> κρίνεται ικανοποιητική για την υφιστάμενη κατάσταση του ελληνικού τραπεζικού συστήματος. </w:t>
      </w:r>
    </w:p>
    <w:p w14:paraId="64F4B61B" w14:textId="77777777" w:rsidR="00F23ADB" w:rsidRPr="00F23ADB" w:rsidRDefault="00F23ADB" w:rsidP="00F23ADB">
      <w:pPr>
        <w:spacing w:line="360" w:lineRule="auto"/>
      </w:pPr>
      <w:r w:rsidRPr="00F23ADB">
        <w:t xml:space="preserve">Το </w:t>
      </w:r>
      <w:r w:rsidR="005B76B8">
        <w:t>Χρηματοοικονομικό Εργαλείο (</w:t>
      </w:r>
      <w:r w:rsidR="005B76B8">
        <w:rPr>
          <w:lang w:val="en-US"/>
        </w:rPr>
        <w:t>FI</w:t>
      </w:r>
      <w:r w:rsidR="005B76B8" w:rsidRPr="005B76B8">
        <w:t>)</w:t>
      </w:r>
      <w:r w:rsidRPr="00F23ADB">
        <w:t xml:space="preserve"> που σκοπό έχει την ενεργειακή αναβάθμιση των κατοικιών, απευθύνεται σε νοικοκυριά των οποίων οι κατοικίες θα είναι αποδεδειγμένα </w:t>
      </w:r>
      <w:proofErr w:type="spellStart"/>
      <w:r w:rsidRPr="00F23ADB">
        <w:t>ενεργοβόρες</w:t>
      </w:r>
      <w:proofErr w:type="spellEnd"/>
      <w:r w:rsidRPr="00F23ADB">
        <w:t xml:space="preserve"> (π.χ. </w:t>
      </w:r>
      <w:r w:rsidRPr="00F23ADB">
        <w:lastRenderedPageBreak/>
        <w:t>μέσω ενεργειακής επιθεώρησης και έκδοσης ΠΕΑ). Το χρηματοοικονομικό εργαλείο διαμορφώνει τις προϋποθέσεις έτσι ώστε να είναι ιδιαίτερα ελκυστικό για την πλειονότητα των νοικοκυριών, αλλά και για τα χρηματοπιστωτικά ιδρύματα τα οποία πρόκειται να συμβάλουν ουσιαστικά στη χρηματοδότησ</w:t>
      </w:r>
      <w:r w:rsidR="005B76B8">
        <w:t>ή</w:t>
      </w:r>
      <w:r w:rsidRPr="00F23ADB">
        <w:t xml:space="preserve"> του</w:t>
      </w:r>
      <w:r w:rsidR="005B76B8">
        <w:t>.</w:t>
      </w:r>
      <w:r w:rsidRPr="00F23ADB">
        <w:t xml:space="preserve"> </w:t>
      </w:r>
    </w:p>
    <w:p w14:paraId="1AFB1E06" w14:textId="77777777" w:rsidR="00291D31" w:rsidRDefault="00F23ADB" w:rsidP="00291D31">
      <w:pPr>
        <w:spacing w:line="360" w:lineRule="auto"/>
      </w:pPr>
      <w:r w:rsidRPr="00F23ADB">
        <w:t xml:space="preserve">Η πρόσφατη εμπειρία από </w:t>
      </w:r>
      <w:r w:rsidR="00277CF4">
        <w:t>τον</w:t>
      </w:r>
      <w:r w:rsidRPr="00F23ADB">
        <w:t xml:space="preserve"> Α΄ Κύκλο του </w:t>
      </w:r>
      <w:r w:rsidR="00971D9A">
        <w:t>Προγράμματος</w:t>
      </w:r>
      <w:r w:rsidRPr="00F23ADB">
        <w:t xml:space="preserve"> «Εξοικονόμηση </w:t>
      </w:r>
      <w:proofErr w:type="spellStart"/>
      <w:r w:rsidR="00EB38B3">
        <w:t>κατ</w:t>
      </w:r>
      <w:proofErr w:type="spellEnd"/>
      <w:r w:rsidR="00EB38B3">
        <w:t xml:space="preserve">΄ </w:t>
      </w:r>
      <w:proofErr w:type="spellStart"/>
      <w:r w:rsidR="00EB38B3">
        <w:t>Οίκον</w:t>
      </w:r>
      <w:proofErr w:type="spellEnd"/>
      <w:r w:rsidRPr="00F23ADB">
        <w:t xml:space="preserve">» ανέδειξε την </w:t>
      </w:r>
      <w:r w:rsidR="00291D31">
        <w:t xml:space="preserve">συνεχιζόμενα διαχρονικά </w:t>
      </w:r>
      <w:r w:rsidRPr="00F23ADB">
        <w:t>ισχυρή πρόθεση των ιδιωτών να αναβαθμίσουν τις κατοικίες τους ενεργειακά.</w:t>
      </w:r>
      <w:r w:rsidR="00291D31">
        <w:t xml:space="preserve"> Ακόμα και για τις </w:t>
      </w:r>
      <w:proofErr w:type="spellStart"/>
      <w:r w:rsidR="00291D31">
        <w:t>βεβαρυμένες</w:t>
      </w:r>
      <w:proofErr w:type="spellEnd"/>
      <w:r w:rsidR="00291D31">
        <w:t xml:space="preserve"> οικονομικές συνθήκες της χώρας την τελευταία 10ετία,</w:t>
      </w:r>
      <w:r w:rsidRPr="00F23ADB">
        <w:t xml:space="preserve"> </w:t>
      </w:r>
      <w:r w:rsidR="00291D31">
        <w:t xml:space="preserve">ο Τραπεζικός τομέας αναγνωρίζει πως </w:t>
      </w:r>
      <w:r w:rsidRPr="00F23ADB">
        <w:t xml:space="preserve">πρόκειται για έργα με καλή οικονομική βιωσιμότητα και μέτριο ρίσκο. Για αυτό το λόγο οι φορείς υλοποίησης (πιστωτικά ιδρύματα) συνέχισαν να </w:t>
      </w:r>
      <w:proofErr w:type="spellStart"/>
      <w:r w:rsidRPr="00F23ADB">
        <w:t>συνεπενδύουν</w:t>
      </w:r>
      <w:proofErr w:type="spellEnd"/>
      <w:r w:rsidRPr="00F23ADB">
        <w:t xml:space="preserve"> χωρίς κάποιο επιπρόσθετο κίνητρο. </w:t>
      </w:r>
    </w:p>
    <w:p w14:paraId="2EBB9B75" w14:textId="77777777" w:rsidR="002821B5" w:rsidRDefault="00291D31" w:rsidP="00291D31">
      <w:pPr>
        <w:spacing w:line="360" w:lineRule="auto"/>
      </w:pPr>
      <w:r>
        <w:t>Χαρακτηριστικά, το «ΤΕΠΙΧ-Επιχειρηματική Επανεκκίνηση»</w:t>
      </w:r>
      <w:r w:rsidR="004C42EA">
        <w:t>,</w:t>
      </w:r>
      <w:r>
        <w:t xml:space="preserve"> </w:t>
      </w:r>
      <w:r w:rsidR="004C42EA" w:rsidRPr="004C42EA">
        <w:t>Χρηματοοικονομικ</w:t>
      </w:r>
      <w:r w:rsidR="004C42EA">
        <w:t>ό</w:t>
      </w:r>
      <w:r w:rsidR="004C42EA" w:rsidRPr="004C42EA">
        <w:t xml:space="preserve"> Εργαλεί</w:t>
      </w:r>
      <w:r w:rsidR="004C42EA">
        <w:t>ο</w:t>
      </w:r>
      <w:r w:rsidR="004C42EA" w:rsidRPr="004C42EA">
        <w:t xml:space="preserve"> (FI)</w:t>
      </w:r>
      <w:r w:rsidR="004C42EA">
        <w:t xml:space="preserve"> </w:t>
      </w:r>
      <w:r w:rsidR="004C42EA" w:rsidRPr="00C11A76">
        <w:t xml:space="preserve"> </w:t>
      </w:r>
      <w:r>
        <w:t xml:space="preserve"> του οποίου επίσης </w:t>
      </w:r>
      <w:r>
        <w:rPr>
          <w:lang w:val="en-US"/>
        </w:rPr>
        <w:t>fund</w:t>
      </w:r>
      <w:r w:rsidRPr="00291D31">
        <w:t xml:space="preserve"> </w:t>
      </w:r>
      <w:r>
        <w:rPr>
          <w:lang w:val="en-US"/>
        </w:rPr>
        <w:t>manager</w:t>
      </w:r>
      <w:r>
        <w:t xml:space="preserve"> είναι η ΕΑΤ Α.Ε. </w:t>
      </w:r>
      <w:r w:rsidR="002821B5">
        <w:t xml:space="preserve">και σκοπό την Επιχειρηματική Επανεκκίνηση, </w:t>
      </w:r>
      <w:r>
        <w:t xml:space="preserve">διαθέτει </w:t>
      </w:r>
      <w:r w:rsidR="00FA5CD9">
        <w:t>κεφάλαια</w:t>
      </w:r>
      <w:r>
        <w:t xml:space="preserve"> </w:t>
      </w:r>
      <w:r w:rsidR="00FA5CD9">
        <w:t xml:space="preserve">με τη συμμετοχή των Τραπεζών </w:t>
      </w:r>
      <w:r>
        <w:t xml:space="preserve">μέσω </w:t>
      </w:r>
      <w:proofErr w:type="spellStart"/>
      <w:r>
        <w:t>μόχλευσης</w:t>
      </w:r>
      <w:proofErr w:type="spellEnd"/>
      <w:r>
        <w:t xml:space="preserve"> Χ 1 </w:t>
      </w:r>
      <w:r w:rsidR="00FA5CD9">
        <w:t>προς διάθεση</w:t>
      </w:r>
      <w:r>
        <w:t xml:space="preserve"> σε ΜΜΕ.  Τα δάνεια </w:t>
      </w:r>
      <w:r w:rsidR="00FA5CD9">
        <w:t xml:space="preserve">δηλαδή </w:t>
      </w:r>
      <w:r>
        <w:t xml:space="preserve">που χορηγούνται από το Ταμείο, θα προέρχονται κατά 50% από </w:t>
      </w:r>
      <w:r w:rsidR="0052019E">
        <w:t xml:space="preserve">κεφάλαια των Τραπεζών </w:t>
      </w:r>
      <w:r>
        <w:t>ενώ το υπόλοιπο 50 % θα προέρχεται από</w:t>
      </w:r>
      <w:r w:rsidR="0052019E" w:rsidRPr="0052019E">
        <w:t xml:space="preserve"> </w:t>
      </w:r>
      <w:r w:rsidR="0052019E">
        <w:t>πόρους του Ταμείου</w:t>
      </w:r>
      <w:r>
        <w:t xml:space="preserve">. </w:t>
      </w:r>
    </w:p>
    <w:p w14:paraId="6E4791B8" w14:textId="77777777" w:rsidR="0052019E" w:rsidRDefault="002821B5" w:rsidP="00291D31">
      <w:pPr>
        <w:spacing w:line="360" w:lineRule="auto"/>
      </w:pPr>
      <w:r>
        <w:t xml:space="preserve">Επιπλέον, το </w:t>
      </w:r>
      <w:r w:rsidRPr="002821B5">
        <w:t>«Επιχειρηματική Χρηματοδότηση -ΤΕΠΙΧ II»</w:t>
      </w:r>
      <w:r>
        <w:t xml:space="preserve">  με σ</w:t>
      </w:r>
      <w:r w:rsidRPr="002821B5">
        <w:t xml:space="preserve">κοπό </w:t>
      </w:r>
      <w:r>
        <w:t>την</w:t>
      </w:r>
      <w:r w:rsidRPr="002821B5">
        <w:t xml:space="preserve"> ενίσχυση της ρευστότητας μικρομεσαίων επιχειρήσεων (ΜΜΕ), μέσω χαμηλότοκων χρηματοδοτικών προϊόντων που προέρχονται από τη </w:t>
      </w:r>
      <w:proofErr w:type="spellStart"/>
      <w:r w:rsidRPr="002821B5">
        <w:t>συνεπένδυση</w:t>
      </w:r>
      <w:proofErr w:type="spellEnd"/>
      <w:r w:rsidRPr="002821B5">
        <w:t xml:space="preserve"> μεταξύ του Ταμείου Επιχειρηματικότητας ΙΙ και της Τράπεζας (σε αναλογία 1:1,5). Δηλαδή το 60% των κεφαλαίων προέρχεται από την Τράπεζα και το 40% από το Ταμείο Επιχειρηματικότητας ΙΙ.</w:t>
      </w:r>
      <w:r>
        <w:t xml:space="preserve"> </w:t>
      </w:r>
    </w:p>
    <w:p w14:paraId="4AAE4537" w14:textId="77777777" w:rsidR="00F23ADB" w:rsidRPr="00F23ADB" w:rsidRDefault="0052019E" w:rsidP="00291D31">
      <w:pPr>
        <w:spacing w:line="360" w:lineRule="auto"/>
      </w:pPr>
      <w:r>
        <w:t>Προκύπτει επομένως πως για τις δεδομένες συνθήκες</w:t>
      </w:r>
      <w:r w:rsidR="00291D31">
        <w:t xml:space="preserve"> το ΕΞΟΙΚΟΝΟΜΩ ΙΙ βρίσκει καλύτερη </w:t>
      </w:r>
      <w:r>
        <w:t xml:space="preserve">συμπεριφορά </w:t>
      </w:r>
      <w:r w:rsidR="00291D31">
        <w:t xml:space="preserve">στην αγορά του χρηματοπιστωτικού τομέα. </w:t>
      </w:r>
      <w:r w:rsidR="00F23ADB" w:rsidRPr="00F23ADB">
        <w:t xml:space="preserve">Επομένως, δεν χρειάζεται να γίνει χρήση των διατάξεων του κανονισμού 1303/2013 που επιτρέπουν την αξιοποίηση των επιστρεφόμενων ενισχύσεων για προνομιακή αμοιβή των φορέων υλοποίησης. </w:t>
      </w:r>
    </w:p>
    <w:p w14:paraId="1AA2351C" w14:textId="77777777" w:rsidR="00F23ADB" w:rsidRPr="00F23ADB" w:rsidRDefault="0052019E" w:rsidP="00F23ADB">
      <w:pPr>
        <w:spacing w:line="360" w:lineRule="auto"/>
      </w:pPr>
      <w:r>
        <w:t>Σημειώνεται επιπλέον ότι ο</w:t>
      </w:r>
      <w:r w:rsidR="00F23ADB" w:rsidRPr="00F23ADB">
        <w:t xml:space="preserve">ι ενισχύσεις </w:t>
      </w:r>
      <w:r>
        <w:t xml:space="preserve">σε δάνεια </w:t>
      </w:r>
      <w:r w:rsidR="00F23ADB" w:rsidRPr="00F23ADB">
        <w:t xml:space="preserve">θα ακολουθούν την αρχή </w:t>
      </w:r>
      <w:proofErr w:type="spellStart"/>
      <w:r w:rsidR="00F23ADB" w:rsidRPr="00F23ADB">
        <w:rPr>
          <w:lang w:val="en-US"/>
        </w:rPr>
        <w:t>pari</w:t>
      </w:r>
      <w:proofErr w:type="spellEnd"/>
      <w:r w:rsidR="00F23ADB" w:rsidRPr="00F23ADB">
        <w:t xml:space="preserve"> </w:t>
      </w:r>
      <w:proofErr w:type="spellStart"/>
      <w:r w:rsidR="00F23ADB" w:rsidRPr="00F23ADB">
        <w:rPr>
          <w:lang w:val="en-US"/>
        </w:rPr>
        <w:t>passu</w:t>
      </w:r>
      <w:proofErr w:type="spellEnd"/>
      <w:r w:rsidR="00F23ADB" w:rsidRPr="00F23ADB">
        <w:t xml:space="preserve">, δηλαδή οι συμμετοχές του </w:t>
      </w:r>
      <w:proofErr w:type="spellStart"/>
      <w:r w:rsidR="00F23ADB" w:rsidRPr="00F23ADB">
        <w:t>συσταθέντος</w:t>
      </w:r>
      <w:proofErr w:type="spellEnd"/>
      <w:r w:rsidR="00F23ADB" w:rsidRPr="00F23ADB">
        <w:t xml:space="preserve"> μέσου και του φορέα υλοποίησης θα παρέχονται με ίδιους όρους και προϋποθέσεις, ταυτόχρονα με το ίδιο επίπεδο μειωμένης εξασφάλισης. Η δε αθέτηση των δανειακών υποχρεώσεων του λήπτη της ενίσχυσης θα επιμερίζεται ανάλογα στο </w:t>
      </w:r>
      <w:proofErr w:type="spellStart"/>
      <w:r w:rsidR="00F23ADB" w:rsidRPr="00F23ADB">
        <w:t>συσταθέν</w:t>
      </w:r>
      <w:proofErr w:type="spellEnd"/>
      <w:r w:rsidR="00F23ADB" w:rsidRPr="00F23ADB">
        <w:t xml:space="preserve"> μέσο και στο φορέα υλοποίησης ανάλογα με τη συμμετοχή του κάθε φορέα.</w:t>
      </w:r>
    </w:p>
    <w:p w14:paraId="5BDC3CC0" w14:textId="77777777" w:rsidR="00F23ADB" w:rsidRPr="00480379" w:rsidRDefault="00F23ADB" w:rsidP="00F23ADB">
      <w:pPr>
        <w:spacing w:line="360" w:lineRule="auto"/>
      </w:pPr>
      <w:r w:rsidRPr="00480379">
        <w:br w:type="page"/>
      </w:r>
    </w:p>
    <w:p w14:paraId="2B1379D4" w14:textId="77777777" w:rsidR="00C07DB8" w:rsidRPr="0086038C" w:rsidRDefault="00C07DB8" w:rsidP="00C07DB8">
      <w:pPr>
        <w:pStyle w:val="1"/>
      </w:pPr>
      <w:bookmarkStart w:id="69" w:name="_Toc464038699"/>
      <w:bookmarkStart w:id="70" w:name="_Toc36639233"/>
      <w:r w:rsidRPr="0086038C">
        <w:lastRenderedPageBreak/>
        <w:t xml:space="preserve">Τρίτο μέρος: </w:t>
      </w:r>
      <w:r w:rsidR="00473BB5">
        <w:t xml:space="preserve">Αξιολόγηση </w:t>
      </w:r>
      <w:r w:rsidRPr="0086038C">
        <w:t>Επενδυτική</w:t>
      </w:r>
      <w:r w:rsidR="00473BB5">
        <w:t>ς</w:t>
      </w:r>
      <w:r w:rsidRPr="0086038C">
        <w:t xml:space="preserve"> Στρατηγική</w:t>
      </w:r>
      <w:r w:rsidR="00473BB5">
        <w:t>ς και εξέταση επανακαθορισμού της</w:t>
      </w:r>
      <w:r w:rsidRPr="0086038C">
        <w:t xml:space="preserve">, εξειδίκευση αποτελεσμάτων &amp; Δείκτες, </w:t>
      </w:r>
      <w:proofErr w:type="spellStart"/>
      <w:r w:rsidRPr="0086038C">
        <w:t>Επικαιροποίηση</w:t>
      </w:r>
      <w:proofErr w:type="spellEnd"/>
      <w:r w:rsidRPr="0086038C">
        <w:t xml:space="preserve"> </w:t>
      </w:r>
      <w:bookmarkEnd w:id="69"/>
      <w:r w:rsidR="004C42EA" w:rsidRPr="004C42EA">
        <w:t>Χρηματοοικονομικ</w:t>
      </w:r>
      <w:r w:rsidR="004C42EA">
        <w:t>ού</w:t>
      </w:r>
      <w:r w:rsidR="004C42EA" w:rsidRPr="004C42EA">
        <w:t xml:space="preserve"> Εργαλεί</w:t>
      </w:r>
      <w:r w:rsidR="004C42EA">
        <w:t>ου</w:t>
      </w:r>
      <w:r w:rsidR="004C42EA" w:rsidRPr="004C42EA">
        <w:t xml:space="preserve"> (FI)</w:t>
      </w:r>
      <w:bookmarkEnd w:id="70"/>
      <w:r w:rsidR="004C42EA">
        <w:t xml:space="preserve"> </w:t>
      </w:r>
      <w:r w:rsidR="004C42EA" w:rsidRPr="00C11A76">
        <w:t xml:space="preserve"> </w:t>
      </w:r>
    </w:p>
    <w:p w14:paraId="253578F5" w14:textId="77777777" w:rsidR="00C07DB8" w:rsidRPr="00480379" w:rsidRDefault="00C07DB8" w:rsidP="00C07DB8">
      <w:pPr>
        <w:spacing w:line="360" w:lineRule="auto"/>
      </w:pPr>
    </w:p>
    <w:p w14:paraId="0F6E18A9" w14:textId="77777777" w:rsidR="00C07DB8" w:rsidRPr="00480379" w:rsidRDefault="00C07DB8" w:rsidP="00C07DB8">
      <w:pPr>
        <w:spacing w:line="360" w:lineRule="auto"/>
      </w:pPr>
      <w:r w:rsidRPr="00480379">
        <w:t xml:space="preserve">Το τρίτο μέρος της αξιολόγησης του </w:t>
      </w:r>
      <w:proofErr w:type="spellStart"/>
      <w:r w:rsidRPr="00480379">
        <w:t>συσταθέντος</w:t>
      </w:r>
      <w:proofErr w:type="spellEnd"/>
      <w:r w:rsidRPr="00480379">
        <w:t xml:space="preserve"> μέσου χρηματοοικονομικής τεχνικής αποτελείται από τρεις θεματικές ενότητες, τα περιεχόμενα των οποίων αποτυπώνονται στη συνέχεια.</w:t>
      </w:r>
    </w:p>
    <w:p w14:paraId="0DB4D414" w14:textId="77777777" w:rsidR="00C07DB8" w:rsidRPr="00EF55F9" w:rsidRDefault="004E5441" w:rsidP="00473BB5">
      <w:pPr>
        <w:pStyle w:val="4"/>
        <w:rPr>
          <w:rStyle w:val="af3"/>
          <w:b/>
        </w:rPr>
      </w:pPr>
      <w:r w:rsidRPr="00EF55F9">
        <w:rPr>
          <w:rStyle w:val="af3"/>
          <w:b/>
        </w:rPr>
        <w:t xml:space="preserve">Αξιολόγηση της </w:t>
      </w:r>
      <w:r w:rsidR="00C07DB8" w:rsidRPr="00EF55F9">
        <w:rPr>
          <w:rStyle w:val="af3"/>
          <w:b/>
        </w:rPr>
        <w:t>Επενδυτική</w:t>
      </w:r>
      <w:r w:rsidRPr="00EF55F9">
        <w:rPr>
          <w:rStyle w:val="af3"/>
          <w:b/>
        </w:rPr>
        <w:t>ς</w:t>
      </w:r>
      <w:r w:rsidR="00C07DB8" w:rsidRPr="00EF55F9">
        <w:rPr>
          <w:rStyle w:val="af3"/>
          <w:b/>
        </w:rPr>
        <w:t xml:space="preserve"> Στρατηγική</w:t>
      </w:r>
      <w:r w:rsidRPr="00EF55F9">
        <w:rPr>
          <w:rStyle w:val="af3"/>
          <w:b/>
        </w:rPr>
        <w:t>ς που εφαρμόστηκε</w:t>
      </w:r>
      <w:r w:rsidR="00C07DB8" w:rsidRPr="00EF55F9">
        <w:rPr>
          <w:rStyle w:val="af3"/>
          <w:b/>
        </w:rPr>
        <w:t>.</w:t>
      </w:r>
    </w:p>
    <w:p w14:paraId="6D38BE15" w14:textId="77777777" w:rsidR="00C07DB8" w:rsidRPr="00480379" w:rsidRDefault="00C07DB8" w:rsidP="00C07DB8">
      <w:pPr>
        <w:tabs>
          <w:tab w:val="left" w:pos="426"/>
        </w:tabs>
        <w:spacing w:line="360" w:lineRule="auto"/>
        <w:ind w:left="714" w:hanging="357"/>
        <w:contextualSpacing/>
      </w:pPr>
      <w:r w:rsidRPr="00480379">
        <w:t xml:space="preserve">- </w:t>
      </w:r>
      <w:r w:rsidRPr="00480379">
        <w:tab/>
      </w:r>
      <w:r w:rsidR="004E5441">
        <w:t>Αξιολόγηση</w:t>
      </w:r>
      <w:r w:rsidRPr="00480379">
        <w:t xml:space="preserve"> του εύρους παρέμβασης </w:t>
      </w:r>
      <w:r w:rsidR="00EF55F9">
        <w:t>τ</w:t>
      </w:r>
      <w:r w:rsidRPr="00480379">
        <w:t xml:space="preserve">ης στόχευσης του </w:t>
      </w:r>
      <w:r w:rsidR="005E65CC">
        <w:t>Χρηματοοικονομικού Εργαλείου (FI)</w:t>
      </w:r>
      <w:r w:rsidRPr="00480379">
        <w:t xml:space="preserve"> με</w:t>
      </w:r>
      <w:r w:rsidR="00EF55F9">
        <w:t>τά την</w:t>
      </w:r>
      <w:r w:rsidRPr="00480379">
        <w:t xml:space="preserve"> επιλογή </w:t>
      </w:r>
      <w:r w:rsidR="00EF55F9">
        <w:t>των</w:t>
      </w:r>
      <w:r w:rsidRPr="00480379">
        <w:t xml:space="preserve"> χρηματοδοτικ</w:t>
      </w:r>
      <w:r w:rsidR="00EF55F9">
        <w:t>ών</w:t>
      </w:r>
      <w:r w:rsidRPr="00480379">
        <w:t xml:space="preserve"> προϊόντ</w:t>
      </w:r>
      <w:r w:rsidR="00EF55F9">
        <w:t>ων</w:t>
      </w:r>
      <w:r w:rsidRPr="00480379">
        <w:t xml:space="preserve"> σύμφωνα </w:t>
      </w:r>
      <w:r w:rsidR="00EF55F9">
        <w:t xml:space="preserve">και </w:t>
      </w:r>
      <w:r w:rsidRPr="00480379">
        <w:t>με τα αποτελέσματα της ανάλυσης της ανεπάρκειας της αγοράς και της προστιθέμενης αξίας.</w:t>
      </w:r>
    </w:p>
    <w:p w14:paraId="34E11C06" w14:textId="77777777" w:rsidR="00C07DB8" w:rsidRPr="00480379" w:rsidRDefault="00EF55F9" w:rsidP="00C07DB8">
      <w:pPr>
        <w:pStyle w:val="a3"/>
        <w:numPr>
          <w:ilvl w:val="0"/>
          <w:numId w:val="36"/>
        </w:numPr>
        <w:tabs>
          <w:tab w:val="left" w:pos="426"/>
        </w:tabs>
        <w:spacing w:line="360" w:lineRule="auto"/>
        <w:ind w:left="714" w:hanging="357"/>
      </w:pPr>
      <w:r>
        <w:t>Αξιολόγηση</w:t>
      </w:r>
      <w:r w:rsidR="00C07DB8" w:rsidRPr="00480379">
        <w:t xml:space="preserve"> της δομής διαχείρισης του </w:t>
      </w:r>
      <w:r w:rsidR="005E65CC">
        <w:t>Χρηματοοικονομικού Εργαλείου (FI)</w:t>
      </w:r>
      <w:r w:rsidR="00C07DB8" w:rsidRPr="00480379">
        <w:t xml:space="preserve"> </w:t>
      </w:r>
      <w:r w:rsidRPr="00480379">
        <w:t xml:space="preserve">και </w:t>
      </w:r>
      <w:r>
        <w:t>του σχήματος</w:t>
      </w:r>
      <w:r w:rsidRPr="00480379">
        <w:t xml:space="preserve"> υλοποίησης </w:t>
      </w:r>
      <w:r>
        <w:t xml:space="preserve">(Διαχειριστική – </w:t>
      </w:r>
      <w:r>
        <w:rPr>
          <w:lang w:val="en-US"/>
        </w:rPr>
        <w:t>Fund</w:t>
      </w:r>
      <w:r w:rsidRPr="00EF55F9">
        <w:t xml:space="preserve"> </w:t>
      </w:r>
      <w:r>
        <w:rPr>
          <w:lang w:val="en-US"/>
        </w:rPr>
        <w:t>Manager</w:t>
      </w:r>
      <w:r w:rsidRPr="00EF55F9">
        <w:t xml:space="preserve"> – </w:t>
      </w:r>
      <w:r>
        <w:rPr>
          <w:lang w:val="en-US"/>
        </w:rPr>
        <w:t>EXO</w:t>
      </w:r>
      <w:r w:rsidRPr="00EF55F9">
        <w:t xml:space="preserve">) </w:t>
      </w:r>
    </w:p>
    <w:p w14:paraId="3AFCD757" w14:textId="77777777" w:rsidR="00C07DB8" w:rsidRPr="00EF55F9" w:rsidRDefault="00C07DB8" w:rsidP="00473BB5">
      <w:pPr>
        <w:pStyle w:val="4"/>
        <w:rPr>
          <w:rStyle w:val="af3"/>
          <w:b/>
          <w:i/>
          <w:iCs/>
        </w:rPr>
      </w:pPr>
      <w:r w:rsidRPr="00EF55F9">
        <w:rPr>
          <w:rStyle w:val="af3"/>
          <w:b/>
          <w:i/>
        </w:rPr>
        <w:t>Εξειδίκευση των αναμενόμενων αποτελεσμάτων και των αντίστοιχων δεικτών μέτρησης και πρόταση σύστασης μηχανισμού παρακολούθησης</w:t>
      </w:r>
    </w:p>
    <w:p w14:paraId="10DDF12F" w14:textId="77777777" w:rsidR="00C07DB8" w:rsidRPr="00480379" w:rsidRDefault="00C07DB8" w:rsidP="00C07DB8">
      <w:pPr>
        <w:pStyle w:val="a3"/>
        <w:numPr>
          <w:ilvl w:val="0"/>
          <w:numId w:val="36"/>
        </w:numPr>
        <w:spacing w:line="360" w:lineRule="auto"/>
        <w:ind w:left="714" w:hanging="357"/>
      </w:pPr>
      <w:r w:rsidRPr="00480379">
        <w:t xml:space="preserve">Καθορισμός και ποσοτικοποίηση των αναμενόμενων αποτελεσμάτων του  </w:t>
      </w:r>
      <w:r w:rsidR="005E65CC">
        <w:t>Χρηματοοικονομικού Εργαλείου (FI)</w:t>
      </w:r>
      <w:r w:rsidRPr="00480379">
        <w:t xml:space="preserve"> με χρήση δεικτών αποτελέσματος, δεικτών εκροών και δεικτών επίδοσης σε συσχετισμό με τους ειδικούς στόχους και δείκτες του Επιχειρησιακού Προγράμματος.</w:t>
      </w:r>
    </w:p>
    <w:p w14:paraId="2D7A63FA" w14:textId="77777777" w:rsidR="00C07DB8" w:rsidRPr="00480379" w:rsidRDefault="00C07DB8" w:rsidP="00C07DB8">
      <w:pPr>
        <w:pStyle w:val="a3"/>
        <w:numPr>
          <w:ilvl w:val="0"/>
          <w:numId w:val="36"/>
        </w:numPr>
        <w:spacing w:line="360" w:lineRule="auto"/>
        <w:ind w:left="714" w:hanging="357"/>
      </w:pPr>
      <w:r w:rsidRPr="00480379">
        <w:t>Εξειδίκευση του τρόπου συνεισφοράς των προτεινόμενων Χρηματοδοτικών Μέσων στην επίτευξη των στρατηγικών στόχων της επενδυτικής στρατηγικής.</w:t>
      </w:r>
    </w:p>
    <w:p w14:paraId="4B5A47BC" w14:textId="77777777" w:rsidR="00C07DB8" w:rsidRPr="00480379" w:rsidRDefault="00C07DB8" w:rsidP="00C07DB8">
      <w:pPr>
        <w:pStyle w:val="a3"/>
        <w:numPr>
          <w:ilvl w:val="0"/>
          <w:numId w:val="36"/>
        </w:numPr>
        <w:spacing w:line="360" w:lineRule="auto"/>
        <w:ind w:left="714" w:hanging="357"/>
      </w:pPr>
      <w:r w:rsidRPr="00480379">
        <w:t xml:space="preserve"> Προσδιορισμός του συστήματος παρακολούθησης έτσι ώστε να παρακολουθούνται αποδοτικά τα προτεινόμενα Χρηματοδοτικά Μέσα, να καλύπτονται οι σχετικές απαιτήσεις αναφοράς και να εντοπίζονται οι όποιες περιοχές βελτίωσης.</w:t>
      </w:r>
    </w:p>
    <w:p w14:paraId="617ECFEF" w14:textId="77777777" w:rsidR="00C07DB8" w:rsidRPr="007B307C" w:rsidRDefault="00C07DB8" w:rsidP="00473BB5">
      <w:pPr>
        <w:pStyle w:val="4"/>
        <w:rPr>
          <w:rStyle w:val="af3"/>
          <w:b/>
          <w:i/>
        </w:rPr>
      </w:pPr>
      <w:r w:rsidRPr="007B307C">
        <w:rPr>
          <w:rStyle w:val="af3"/>
          <w:b/>
          <w:i/>
        </w:rPr>
        <w:t xml:space="preserve">Προσδιορισμός διαδικασίας </w:t>
      </w:r>
      <w:proofErr w:type="spellStart"/>
      <w:r w:rsidRPr="007B307C">
        <w:rPr>
          <w:rStyle w:val="af3"/>
          <w:b/>
          <w:i/>
        </w:rPr>
        <w:t>επικαιροποίησης</w:t>
      </w:r>
      <w:proofErr w:type="spellEnd"/>
      <w:r w:rsidRPr="007B307C">
        <w:rPr>
          <w:rStyle w:val="af3"/>
          <w:b/>
          <w:i/>
        </w:rPr>
        <w:t xml:space="preserve"> και αναθεώρησης της εκ των προτέρων αξιολόγησης στο πλαίσιο του συστήματος παρακολούθησης.</w:t>
      </w:r>
    </w:p>
    <w:p w14:paraId="58FBFF74" w14:textId="77777777" w:rsidR="00C07DB8" w:rsidRPr="00480379" w:rsidRDefault="00C07DB8" w:rsidP="00C07DB8">
      <w:pPr>
        <w:pStyle w:val="a3"/>
        <w:numPr>
          <w:ilvl w:val="0"/>
          <w:numId w:val="37"/>
        </w:numPr>
        <w:spacing w:line="360" w:lineRule="auto"/>
        <w:ind w:left="714" w:hanging="357"/>
      </w:pPr>
      <w:r w:rsidRPr="00480379">
        <w:t>Προσδιορισμός των συνθηκών (</w:t>
      </w:r>
      <w:proofErr w:type="spellStart"/>
      <w:r w:rsidRPr="00480379">
        <w:t>trigger</w:t>
      </w:r>
      <w:proofErr w:type="spellEnd"/>
      <w:r w:rsidRPr="00480379">
        <w:t xml:space="preserve"> </w:t>
      </w:r>
      <w:proofErr w:type="spellStart"/>
      <w:r w:rsidRPr="00480379">
        <w:t>values</w:t>
      </w:r>
      <w:proofErr w:type="spellEnd"/>
      <w:r w:rsidRPr="00480379">
        <w:t xml:space="preserve">) και επιλογή της σωστής χρονικής στιγμής για πιθανή </w:t>
      </w:r>
      <w:proofErr w:type="spellStart"/>
      <w:r w:rsidRPr="00480379">
        <w:t>επικαιροποίηση</w:t>
      </w:r>
      <w:proofErr w:type="spellEnd"/>
      <w:r w:rsidRPr="00480379">
        <w:t xml:space="preserve"> ή αναθεώρηση της εκ των προτέρων αξιολόγησης.</w:t>
      </w:r>
    </w:p>
    <w:p w14:paraId="5683FA1A" w14:textId="77777777" w:rsidR="00C07DB8" w:rsidRPr="00480379" w:rsidRDefault="00C07DB8" w:rsidP="00C07DB8">
      <w:pPr>
        <w:pStyle w:val="a3"/>
        <w:numPr>
          <w:ilvl w:val="0"/>
          <w:numId w:val="37"/>
        </w:numPr>
        <w:spacing w:line="360" w:lineRule="auto"/>
        <w:ind w:left="714" w:hanging="357"/>
      </w:pPr>
      <w:r w:rsidRPr="00480379">
        <w:t>Ενσωμάτωση των σχετικών προβλέψεων στον σχεδιασμό του συστήματος παρακολούθησης και αναφορών.</w:t>
      </w:r>
    </w:p>
    <w:p w14:paraId="201EA60B" w14:textId="77777777" w:rsidR="00C07DB8" w:rsidRPr="00480379" w:rsidRDefault="00C07DB8" w:rsidP="00C07DB8">
      <w:pPr>
        <w:spacing w:line="360" w:lineRule="auto"/>
      </w:pPr>
      <w:r w:rsidRPr="00480379">
        <w:br w:type="page"/>
      </w:r>
    </w:p>
    <w:p w14:paraId="52D4AB5E" w14:textId="77777777" w:rsidR="00C07DB8" w:rsidRPr="00473BB5" w:rsidRDefault="00BF299B" w:rsidP="00473BB5">
      <w:pPr>
        <w:pStyle w:val="2"/>
      </w:pPr>
      <w:bookmarkStart w:id="71" w:name="_Toc464038700"/>
      <w:bookmarkStart w:id="72" w:name="_Toc36639234"/>
      <w:r>
        <w:lastRenderedPageBreak/>
        <w:t>Αξιολόγηση της</w:t>
      </w:r>
      <w:r w:rsidR="00C07DB8" w:rsidRPr="00473BB5">
        <w:t xml:space="preserve"> επενδυτική στρατηγική</w:t>
      </w:r>
      <w:bookmarkEnd w:id="71"/>
      <w:r>
        <w:t>ς που εφαρμόστηκε</w:t>
      </w:r>
      <w:bookmarkEnd w:id="72"/>
    </w:p>
    <w:p w14:paraId="43BF17E7" w14:textId="77777777" w:rsidR="00C07DB8" w:rsidRPr="00480379" w:rsidRDefault="00C07DB8" w:rsidP="00C07DB8">
      <w:pPr>
        <w:spacing w:line="360" w:lineRule="auto"/>
      </w:pPr>
      <w:r w:rsidRPr="00480379">
        <w:t>Σύμφωνα με το άρθρο 37(2)(ε) του κανονισμού 1303/2013 , η εκ των προτέρων αξιολόγηση οφείλει:</w:t>
      </w:r>
    </w:p>
    <w:p w14:paraId="1504E232" w14:textId="77777777" w:rsidR="00C07DB8" w:rsidRPr="00480379" w:rsidRDefault="00C07DB8" w:rsidP="00C07DB8">
      <w:pPr>
        <w:spacing w:line="360" w:lineRule="auto"/>
        <w:ind w:left="720"/>
      </w:pPr>
      <w:r w:rsidRPr="00480379">
        <w:t>α) να περιλαμβάνει μια προτεινόμενη επενδυτική στρατηγική,</w:t>
      </w:r>
    </w:p>
    <w:p w14:paraId="77665381" w14:textId="77777777" w:rsidR="00C07DB8" w:rsidRPr="00480379" w:rsidRDefault="00C07DB8" w:rsidP="00C07DB8">
      <w:pPr>
        <w:spacing w:line="360" w:lineRule="auto"/>
        <w:ind w:left="720"/>
      </w:pPr>
      <w:r w:rsidRPr="00480379">
        <w:t xml:space="preserve">β) να εξετάζει τις ρυθμίσεις εφαρμογής του άρθρου 38, </w:t>
      </w:r>
    </w:p>
    <w:p w14:paraId="2B9E76AC" w14:textId="77777777" w:rsidR="00C07DB8" w:rsidRPr="00480379" w:rsidRDefault="00C07DB8" w:rsidP="00C07DB8">
      <w:pPr>
        <w:spacing w:line="360" w:lineRule="auto"/>
        <w:ind w:left="720"/>
      </w:pPr>
      <w:r w:rsidRPr="00480379">
        <w:t>γ) να προτείνει τα χρηματοοικονομικά προϊόντα που πρόκειται να προσφερθούν, τους τελικούς αποδέκτες στους οποίους αυτά στοχεύουν,</w:t>
      </w:r>
    </w:p>
    <w:p w14:paraId="793B733B" w14:textId="77777777" w:rsidR="00C07DB8" w:rsidRPr="00480379" w:rsidRDefault="00C07DB8" w:rsidP="00C07DB8">
      <w:pPr>
        <w:spacing w:line="360" w:lineRule="auto"/>
        <w:ind w:left="720"/>
      </w:pPr>
      <w:r w:rsidRPr="00480379">
        <w:t>δ) και να εξετάζει προβλεπόμενο συνδυασμό με επιχορηγήσεις κατά περίπτωση.</w:t>
      </w:r>
    </w:p>
    <w:p w14:paraId="78C09AF6" w14:textId="77777777" w:rsidR="00C07DB8" w:rsidRPr="00480379" w:rsidRDefault="00C07DB8" w:rsidP="00C07DB8">
      <w:pPr>
        <w:spacing w:line="360" w:lineRule="auto"/>
      </w:pPr>
      <w:r w:rsidRPr="00480379">
        <w:t>Οι απαιτήσεις του άρθρου 37(2)(ε) αναλύονται στους ακόλουθους δύο βασικούς πυλώνες:</w:t>
      </w:r>
    </w:p>
    <w:p w14:paraId="1005CB60" w14:textId="77777777" w:rsidR="00C07DB8" w:rsidRPr="00480379" w:rsidRDefault="00C07DB8" w:rsidP="00C07DB8">
      <w:pPr>
        <w:pStyle w:val="a3"/>
        <w:numPr>
          <w:ilvl w:val="0"/>
          <w:numId w:val="37"/>
        </w:numPr>
        <w:spacing w:line="360" w:lineRule="auto"/>
      </w:pPr>
      <w:r w:rsidRPr="00480379">
        <w:t xml:space="preserve">Πώς το </w:t>
      </w:r>
      <w:r w:rsidR="005E65CC">
        <w:t>Χρηματοοικονομικό Εργαλείο (FI)</w:t>
      </w:r>
      <w:r w:rsidRPr="00480379">
        <w:t xml:space="preserve"> πρόκειται να αναλύσει τις αναγνωρισμένες ανάγκες της αγοράς; Δηλαδή ποια είναι τα προσφερόμενα οικονομικά προϊόντα του μέσου και ποιοι οι </w:t>
      </w:r>
      <w:proofErr w:type="spellStart"/>
      <w:r w:rsidRPr="00480379">
        <w:t>στοχευόμενοι</w:t>
      </w:r>
      <w:proofErr w:type="spellEnd"/>
      <w:r w:rsidRPr="00480379">
        <w:t xml:space="preserve"> τελικοί αποδέκτες της ενίσχυσης που θα καλύψουν αυτές τις ανάγκες της αγοράς.</w:t>
      </w:r>
    </w:p>
    <w:p w14:paraId="4957ED07" w14:textId="77777777" w:rsidR="00C07DB8" w:rsidRPr="00480379" w:rsidRDefault="00C07DB8" w:rsidP="00C07DB8">
      <w:pPr>
        <w:pStyle w:val="a3"/>
        <w:numPr>
          <w:ilvl w:val="0"/>
          <w:numId w:val="37"/>
        </w:numPr>
        <w:spacing w:line="360" w:lineRule="auto"/>
      </w:pPr>
      <w:r w:rsidRPr="00480379">
        <w:t xml:space="preserve">Ποια είναι η πιο κατάλληλη δομή υλοποίησης του </w:t>
      </w:r>
      <w:r w:rsidR="005E65CC">
        <w:t>Χρηματοοικονομικού Εργαλείου (FI)</w:t>
      </w:r>
      <w:r w:rsidRPr="00480379">
        <w:t xml:space="preserve"> για την επίτευξη των σκοπών του; Αναλύονται όλες οι δυνατές επιλογές υλοποίησης του μέσου όπως περιγράφονται στο άρθρο 38 του κανονισμού 1303/2013, και προτείνεται ο κατάλληλος συνδυασμός με υποστήριξη επιχορήγησης.</w:t>
      </w:r>
    </w:p>
    <w:p w14:paraId="4D2D0680" w14:textId="77777777" w:rsidR="00C07DB8" w:rsidRPr="00480379" w:rsidRDefault="00C07DB8" w:rsidP="00C07DB8">
      <w:pPr>
        <w:spacing w:line="360" w:lineRule="auto"/>
      </w:pPr>
      <w:r w:rsidRPr="00480379">
        <w:t>Οι δύο αυτοί πυλώνες παρουσιάζονται στη συνέχεια αναλυτικά με βάση τα στοιχεία που περιγράφονται στα δύο πρώτα μέρη της αξιολόγησης του μέσου.</w:t>
      </w:r>
    </w:p>
    <w:p w14:paraId="535F37FD" w14:textId="77777777" w:rsidR="00C07DB8" w:rsidRPr="00480379" w:rsidRDefault="007D51DC" w:rsidP="00FA5CD9">
      <w:pPr>
        <w:pStyle w:val="3"/>
      </w:pPr>
      <w:bookmarkStart w:id="73" w:name="_Toc464038701"/>
      <w:bookmarkStart w:id="74" w:name="_Toc36639235"/>
      <w:r>
        <w:t>Δ</w:t>
      </w:r>
      <w:r w:rsidR="00C07DB8" w:rsidRPr="00480379">
        <w:t>ιασφάλιση συνοχής με τις ανάγκες της αγοράς της αγοράς</w:t>
      </w:r>
      <w:bookmarkEnd w:id="73"/>
      <w:bookmarkEnd w:id="74"/>
    </w:p>
    <w:p w14:paraId="06F3B670" w14:textId="77777777" w:rsidR="00C84AB1" w:rsidRPr="00480379" w:rsidRDefault="00C84AB1" w:rsidP="00C84AB1">
      <w:pPr>
        <w:spacing w:line="360" w:lineRule="auto"/>
      </w:pPr>
      <w:r w:rsidRPr="00F81A91">
        <w:t>Όπως αναφέρθηκε στο πρώτο μέρος της αξιολόγησης,</w:t>
      </w:r>
      <w:r w:rsidRPr="00480379">
        <w:t xml:space="preserve"> </w:t>
      </w:r>
      <w:r>
        <w:t>μ</w:t>
      </w:r>
      <w:r w:rsidRPr="00480379">
        <w:t>ε αναγωγή των δεδομένων</w:t>
      </w:r>
      <w:r>
        <w:t xml:space="preserve"> του κτιριακού αποθέματος, σ</w:t>
      </w:r>
      <w:r w:rsidRPr="00480379">
        <w:t>ε συνδυασμό με έκθεση για την έκδοση των πιστοποιητικών ενεργειακής απόδοσης ανά έτος έκδοσης της οικοδομικής άδειας του ακινήτου, συμπεραίνεται ότι το σύνολο των ακινήτων ενεργειακής απόδοσης Ε και κάτω αποτελεί τη συντριπτική πλειονότητα των περιπτώσεων</w:t>
      </w:r>
      <w:r w:rsidRPr="003B0493">
        <w:t xml:space="preserve"> </w:t>
      </w:r>
      <w:r>
        <w:t xml:space="preserve">και </w:t>
      </w:r>
      <w:r w:rsidRPr="00480379">
        <w:t xml:space="preserve">ανέρχεται </w:t>
      </w:r>
      <w:r>
        <w:t>σε</w:t>
      </w:r>
      <w:r w:rsidRPr="00462526">
        <w:t xml:space="preserve"> ~ 2.530.000 </w:t>
      </w:r>
      <w:r>
        <w:t xml:space="preserve">κατοικήσιμες </w:t>
      </w:r>
      <w:r w:rsidRPr="00480379">
        <w:t>κατοικίες</w:t>
      </w:r>
      <w:r>
        <w:t xml:space="preserve">. </w:t>
      </w:r>
    </w:p>
    <w:p w14:paraId="4EAA8BC7" w14:textId="77777777" w:rsidR="009670B5" w:rsidRPr="00480379" w:rsidRDefault="00C84AB1" w:rsidP="009670B5">
      <w:pPr>
        <w:spacing w:line="360" w:lineRule="auto"/>
      </w:pPr>
      <w:r w:rsidRPr="00480379">
        <w:t>Στη συνέχεια εξετάσθηκαν οι δυνατότητες χρηματοδότησης αυτού του επενδυτικού κενού</w:t>
      </w:r>
      <w:r w:rsidR="009670B5" w:rsidRPr="009670B5">
        <w:t xml:space="preserve"> </w:t>
      </w:r>
      <w:r w:rsidR="009670B5">
        <w:t>καθώς η</w:t>
      </w:r>
      <w:r w:rsidR="009670B5" w:rsidRPr="00480379">
        <w:t xml:space="preserve"> υφιστάμενη κατάσταση του τραπεζικού συστήματος </w:t>
      </w:r>
      <w:r w:rsidR="009670B5">
        <w:t xml:space="preserve">απαιτούσε (και </w:t>
      </w:r>
      <w:r w:rsidR="009670B5" w:rsidRPr="00480379">
        <w:t>απαιτεί</w:t>
      </w:r>
      <w:r w:rsidR="009670B5">
        <w:t>)</w:t>
      </w:r>
      <w:r w:rsidR="009670B5" w:rsidRPr="00480379">
        <w:t xml:space="preserve"> υποστηρικτικές ενέργειες προκειμένου να ενεργοποιήσει μηχανισμούς οικονομικής υποστήριξης νοικοκυριών για την ενεργειακή αναβάθμιση των κατοικιών τους</w:t>
      </w:r>
    </w:p>
    <w:p w14:paraId="7FC127C2" w14:textId="77777777" w:rsidR="00C84AB1" w:rsidRDefault="00C07DB8" w:rsidP="00C84AB1">
      <w:pPr>
        <w:spacing w:line="360" w:lineRule="auto"/>
      </w:pPr>
      <w:r w:rsidRPr="00480379">
        <w:t xml:space="preserve">Η προτεινόμενη επενδυτική στρατηγική για το μέσο, </w:t>
      </w:r>
      <w:r w:rsidR="009670B5">
        <w:t>οφείλει</w:t>
      </w:r>
      <w:r w:rsidRPr="00480379">
        <w:t xml:space="preserve"> να είναι ευθυγραμμισμένη με το αποτέλεσμα της ανάλυσης των αδυναμιών της αγοράς και τις επενδυτικές καταστάσεις που </w:t>
      </w:r>
      <w:r w:rsidRPr="00480379">
        <w:lastRenderedPageBreak/>
        <w:t xml:space="preserve">διαγνώσθηκαν στην αποτίμηση της αγοράς. Αυτή η φάση που αναλύθηκε </w:t>
      </w:r>
      <w:r w:rsidR="00BF299B">
        <w:t>κατά την 1</w:t>
      </w:r>
      <w:r w:rsidR="00BF299B" w:rsidRPr="00BF299B">
        <w:rPr>
          <w:vertAlign w:val="superscript"/>
        </w:rPr>
        <w:t>η</w:t>
      </w:r>
      <w:r w:rsidR="00BF299B">
        <w:t xml:space="preserve"> τροποποίηση της </w:t>
      </w:r>
      <w:r w:rsidR="00BF299B">
        <w:rPr>
          <w:lang w:val="en-US"/>
        </w:rPr>
        <w:t>ex</w:t>
      </w:r>
      <w:r w:rsidR="00BF299B" w:rsidRPr="00BF299B">
        <w:t xml:space="preserve"> </w:t>
      </w:r>
      <w:r w:rsidR="00BF299B">
        <w:rPr>
          <w:lang w:val="en-US"/>
        </w:rPr>
        <w:t>ante</w:t>
      </w:r>
      <w:r w:rsidR="00BF299B" w:rsidRPr="00BF299B">
        <w:t xml:space="preserve"> </w:t>
      </w:r>
      <w:r w:rsidR="00BF299B">
        <w:t>ανάλυσης,</w:t>
      </w:r>
      <w:r w:rsidRPr="00480379">
        <w:t xml:space="preserve"> </w:t>
      </w:r>
      <w:r w:rsidR="00BF299B">
        <w:t>οδήγησε</w:t>
      </w:r>
      <w:r w:rsidRPr="00480379">
        <w:t xml:space="preserve"> στην αναγνώριση των επενδυτικών αναγκών και στο</w:t>
      </w:r>
      <w:r w:rsidR="009670B5">
        <w:t>ν προσδιορισμό των</w:t>
      </w:r>
      <w:r w:rsidRPr="00480379">
        <w:t xml:space="preserve"> δυνητικ</w:t>
      </w:r>
      <w:r w:rsidR="009670B5">
        <w:t>ών</w:t>
      </w:r>
      <w:r w:rsidRPr="00480379">
        <w:t xml:space="preserve"> </w:t>
      </w:r>
      <w:r w:rsidR="009670B5">
        <w:t>ωφελούμενων</w:t>
      </w:r>
      <w:r w:rsidRPr="00480379">
        <w:t xml:space="preserve"> του υφιστάμενου μέσου.</w:t>
      </w:r>
      <w:r w:rsidR="00C31762">
        <w:t xml:space="preserve"> </w:t>
      </w:r>
      <w:r w:rsidR="009670B5">
        <w:t xml:space="preserve">Η κάλυψη των συγκεκριμένων επενδυτικών αναγκών επιπλέον, ως </w:t>
      </w:r>
      <w:r w:rsidR="009670B5" w:rsidRPr="00480379">
        <w:t>προτεραιότητ</w:t>
      </w:r>
      <w:r w:rsidR="009670B5">
        <w:t xml:space="preserve">α για </w:t>
      </w:r>
      <w:r w:rsidR="009670B5" w:rsidRPr="00480379">
        <w:t xml:space="preserve">το </w:t>
      </w:r>
      <w:r w:rsidR="009670B5">
        <w:t>Επιχειρησιακό Π</w:t>
      </w:r>
      <w:r w:rsidR="009670B5" w:rsidRPr="00480379">
        <w:t>ρ</w:t>
      </w:r>
      <w:r w:rsidR="009670B5">
        <w:t>ό</w:t>
      </w:r>
      <w:r w:rsidR="009670B5" w:rsidRPr="00480379">
        <w:t>γρ</w:t>
      </w:r>
      <w:r w:rsidR="009670B5">
        <w:t>αμμα χρειάστηκε να υποστηριχθ</w:t>
      </w:r>
      <w:r w:rsidR="00772A77">
        <w:t>εί</w:t>
      </w:r>
      <w:r w:rsidR="009670B5">
        <w:t xml:space="preserve"> εκτός των</w:t>
      </w:r>
      <w:r w:rsidR="009670B5" w:rsidRPr="00480379">
        <w:t xml:space="preserve"> </w:t>
      </w:r>
      <w:r w:rsidR="009670B5">
        <w:t xml:space="preserve">δανειακών </w:t>
      </w:r>
      <w:r w:rsidR="009670B5" w:rsidRPr="00480379">
        <w:t>ενισχύσε</w:t>
      </w:r>
      <w:r w:rsidR="009670B5">
        <w:t xml:space="preserve">ων και των ενισχύσεων επιτοκίου του </w:t>
      </w:r>
      <w:r w:rsidR="004C42EA" w:rsidRPr="004C42EA">
        <w:t>Χρηματοοικονομικ</w:t>
      </w:r>
      <w:r w:rsidR="004C42EA">
        <w:t>ού</w:t>
      </w:r>
      <w:r w:rsidR="004C42EA" w:rsidRPr="004C42EA">
        <w:t xml:space="preserve"> Εργαλεί</w:t>
      </w:r>
      <w:r w:rsidR="004C42EA">
        <w:t>ου</w:t>
      </w:r>
      <w:r w:rsidR="004C42EA" w:rsidRPr="004C42EA">
        <w:t xml:space="preserve"> (FI)</w:t>
      </w:r>
      <w:r w:rsidR="00772A77">
        <w:t xml:space="preserve"> </w:t>
      </w:r>
      <w:r w:rsidR="009670B5" w:rsidRPr="00480379">
        <w:t>και με επιχορήγηση επί των παρεμβάσεων</w:t>
      </w:r>
      <w:r w:rsidR="009670B5">
        <w:t xml:space="preserve">. </w:t>
      </w:r>
      <w:r w:rsidR="009670B5" w:rsidRPr="00480379">
        <w:t xml:space="preserve">Αυτή λοιπόν την ανάγκη </w:t>
      </w:r>
      <w:r w:rsidR="009670B5">
        <w:t>όφειλε</w:t>
      </w:r>
      <w:r w:rsidR="009670B5" w:rsidRPr="00480379">
        <w:t xml:space="preserve"> να καλύ</w:t>
      </w:r>
      <w:r w:rsidR="009670B5">
        <w:t>πτ</w:t>
      </w:r>
      <w:r w:rsidR="009670B5" w:rsidRPr="00480379">
        <w:t>ει το μέσο.</w:t>
      </w:r>
    </w:p>
    <w:p w14:paraId="301F2ED8" w14:textId="77777777" w:rsidR="00C31762" w:rsidRDefault="00C84AB1" w:rsidP="00C31762">
      <w:pPr>
        <w:spacing w:line="360" w:lineRule="auto"/>
      </w:pPr>
      <w:r w:rsidRPr="00480379">
        <w:t xml:space="preserve">Συμπληρωματικά, με επεξεργασία πραγματικών στοιχείων από την υλοποίηση του Προγράμματος «Εξοικονόμηση </w:t>
      </w:r>
      <w:proofErr w:type="spellStart"/>
      <w:r w:rsidRPr="00480379">
        <w:t>κατ΄οίκον</w:t>
      </w:r>
      <w:proofErr w:type="spellEnd"/>
      <w:r w:rsidRPr="00480379">
        <w:t xml:space="preserve">» την Προγραμματική Περίοδο 2007 – 2013 </w:t>
      </w:r>
      <w:r>
        <w:t xml:space="preserve">, τάση που επιβεβαιώθηκε με τον Α κύκλο του Προγράμματος «Εξοικονομώ κατ’ </w:t>
      </w:r>
      <w:proofErr w:type="spellStart"/>
      <w:r>
        <w:t>Οίκον</w:t>
      </w:r>
      <w:proofErr w:type="spellEnd"/>
      <w:r>
        <w:t xml:space="preserve">» ΙΙ, </w:t>
      </w:r>
      <w:r w:rsidRPr="00480379">
        <w:t xml:space="preserve">πιστοποιήθηκε η έντονη ζήτηση για ενισχύσεις προκειμένου οι ιδιοκτήτες ακινήτων να αναβαθμίσουν ενεργειακά τις κατοικίες τους. </w:t>
      </w:r>
      <w:r w:rsidR="009670B5">
        <w:t>Οι</w:t>
      </w:r>
      <w:r w:rsidR="009670B5" w:rsidRPr="00480379">
        <w:t xml:space="preserve"> πόροι </w:t>
      </w:r>
      <w:r w:rsidR="009670B5">
        <w:t>που αρχικά είχαν</w:t>
      </w:r>
      <w:r w:rsidR="009670B5" w:rsidRPr="00480379">
        <w:t xml:space="preserve"> δεσμευθ</w:t>
      </w:r>
      <w:r w:rsidR="009670B5">
        <w:t>εί</w:t>
      </w:r>
      <w:r w:rsidR="009670B5" w:rsidRPr="00480379">
        <w:t xml:space="preserve"> για τη σύσταση του μέσου</w:t>
      </w:r>
      <w:r w:rsidR="009670B5">
        <w:t xml:space="preserve"> και την υποστήριξη της παρέμβασης</w:t>
      </w:r>
      <w:r w:rsidR="00C31762">
        <w:t>, λόγω έντονης ζήτησης αυξήθηκαν μετά από εξειδίκευση</w:t>
      </w:r>
      <w:r w:rsidR="00CF199F">
        <w:rPr>
          <w:rStyle w:val="ac"/>
        </w:rPr>
        <w:footnoteReference w:id="39"/>
      </w:r>
      <w:r w:rsidR="00C31762">
        <w:t xml:space="preserve"> και </w:t>
      </w:r>
      <w:proofErr w:type="spellStart"/>
      <w:r w:rsidR="00C31762">
        <w:t>υπερδέσμευση</w:t>
      </w:r>
      <w:proofErr w:type="spellEnd"/>
      <w:r w:rsidR="00CF199F">
        <w:rPr>
          <w:rStyle w:val="ac"/>
        </w:rPr>
        <w:footnoteReference w:id="40"/>
      </w:r>
      <w:r w:rsidR="00C31762">
        <w:t xml:space="preserve"> του Προγράμματος</w:t>
      </w:r>
      <w:r w:rsidR="00C31762" w:rsidRPr="00480379">
        <w:t>.</w:t>
      </w:r>
    </w:p>
    <w:p w14:paraId="3754E791" w14:textId="77777777" w:rsidR="00C07DB8" w:rsidRDefault="00C07DB8" w:rsidP="00C07DB8">
      <w:pPr>
        <w:spacing w:line="360" w:lineRule="auto"/>
      </w:pPr>
      <w:r w:rsidRPr="00480379">
        <w:t xml:space="preserve">Κατά τη σύσταση του μέσου δεν </w:t>
      </w:r>
      <w:r w:rsidR="002A720E">
        <w:t xml:space="preserve">προτάθηκε και ούτε </w:t>
      </w:r>
      <w:r w:rsidRPr="00480379">
        <w:t xml:space="preserve">προτείνεται </w:t>
      </w:r>
      <w:r w:rsidR="000B26BB">
        <w:t xml:space="preserve">με βάση την εργασία αυτή της 2ης αναθεώρησης – </w:t>
      </w:r>
      <w:proofErr w:type="spellStart"/>
      <w:r w:rsidR="000B26BB">
        <w:t>επικαιροποίησης</w:t>
      </w:r>
      <w:proofErr w:type="spellEnd"/>
      <w:r w:rsidR="000B26BB">
        <w:t xml:space="preserve">, </w:t>
      </w:r>
      <w:r w:rsidRPr="00480379">
        <w:t>η οικονομική ενίσχυσή του και από τα περιφερειακά επιχειρησιακά προγράμματα</w:t>
      </w:r>
      <w:r w:rsidR="000B26BB">
        <w:t>,</w:t>
      </w:r>
      <w:r w:rsidRPr="00480379">
        <w:t xml:space="preserve"> παρόλο που</w:t>
      </w:r>
      <w:r w:rsidR="002A720E">
        <w:t xml:space="preserve"> </w:t>
      </w:r>
      <w:r w:rsidRPr="00480379">
        <w:t>υπάρχει σχετική δέσμευση κονδυλίων τα οποία θα μπορούσαν να αξιοποιηθούν</w:t>
      </w:r>
      <w:r w:rsidR="000B26BB">
        <w:t>. Ο κυριότερος λόγος που παραμένει, είναι το ότι</w:t>
      </w:r>
      <w:r w:rsidRPr="00480379">
        <w:t xml:space="preserve"> διαχειριστικά είναι </w:t>
      </w:r>
      <w:r w:rsidR="000B26BB">
        <w:t xml:space="preserve">και απλούστερο για τον </w:t>
      </w:r>
      <w:r w:rsidR="000B26BB">
        <w:rPr>
          <w:lang w:val="en-US"/>
        </w:rPr>
        <w:t>fund</w:t>
      </w:r>
      <w:r w:rsidR="000B26BB" w:rsidRPr="000B26BB">
        <w:t xml:space="preserve"> </w:t>
      </w:r>
      <w:r w:rsidR="000B26BB">
        <w:rPr>
          <w:lang w:val="en-US"/>
        </w:rPr>
        <w:t>manager</w:t>
      </w:r>
      <w:r w:rsidR="000B26BB">
        <w:t xml:space="preserve">, ο οποίος </w:t>
      </w:r>
      <w:proofErr w:type="spellStart"/>
      <w:r w:rsidR="000B26BB">
        <w:t>ιδάλως</w:t>
      </w:r>
      <w:proofErr w:type="spellEnd"/>
      <w:r w:rsidR="000B26BB">
        <w:t xml:space="preserve"> θα έπρεπε να μετέχει σε επιπλέον 13 συμφωνίες χρηματοδότησης και να παράγει Χ 13 τις απαραίτητες αναφορές. Επομένως κατά γενική κρίση είναι </w:t>
      </w:r>
      <w:r w:rsidRPr="00480379">
        <w:t>λειτουργικό</w:t>
      </w:r>
      <w:r>
        <w:t>τερο</w:t>
      </w:r>
      <w:r w:rsidRPr="00480379">
        <w:t xml:space="preserve"> το κεφάλαιο του μέσου χρηματοοικονομικής τεχνικής να προέλθει αποκλειστικά από το ΕΠΑ</w:t>
      </w:r>
      <w:r w:rsidR="002A720E">
        <w:t>ν</w:t>
      </w:r>
      <w:r w:rsidRPr="00480379">
        <w:t xml:space="preserve">ΕΚ και οι πόροι των ΠΕΠ να αξιοποιηθούν για την κάλυψη των επιχορηγήσεων των δαπανών. Με αυτόν τον τρόπο την διαχείριση της πράξης του μέσου </w:t>
      </w:r>
      <w:proofErr w:type="spellStart"/>
      <w:r w:rsidRPr="00480379">
        <w:t>χρηματο</w:t>
      </w:r>
      <w:proofErr w:type="spellEnd"/>
      <w:r w:rsidRPr="00480379">
        <w:t>-οικονομικής τεχνικής θα την έχει αποκλειστικά μία διαχειριστική αρχή.</w:t>
      </w:r>
    </w:p>
    <w:p w14:paraId="4F446A03" w14:textId="77777777" w:rsidR="002A720E" w:rsidRPr="00480379" w:rsidRDefault="002A720E" w:rsidP="00C07DB8">
      <w:pPr>
        <w:spacing w:line="360" w:lineRule="auto"/>
      </w:pPr>
      <w:r>
        <w:t xml:space="preserve">Περαιτέρω για το μέσο </w:t>
      </w:r>
      <w:r w:rsidRPr="00480379">
        <w:t>χρηματοοικονομικής τεχνικής</w:t>
      </w:r>
      <w:r w:rsidR="000B26BB">
        <w:t>, από την εφαρμογή του</w:t>
      </w:r>
      <w:r>
        <w:t xml:space="preserve"> ισχύει πως:</w:t>
      </w:r>
    </w:p>
    <w:p w14:paraId="0EA3C1BF" w14:textId="77777777" w:rsidR="00C07DB8" w:rsidRPr="00480379" w:rsidRDefault="00C07DB8" w:rsidP="00C07DB8">
      <w:pPr>
        <w:pStyle w:val="a3"/>
        <w:numPr>
          <w:ilvl w:val="0"/>
          <w:numId w:val="42"/>
        </w:numPr>
        <w:spacing w:line="360" w:lineRule="auto"/>
      </w:pPr>
      <w:r w:rsidRPr="00480379">
        <w:t xml:space="preserve">Η ελκυστικότητα του μέσου χρηματοοικονομικής τεχνικής αυξάνεται συναρτήσει του ποσοστού επιχορήγησης των ενεργειακών επεμβάσεων, με την κλίμακα του </w:t>
      </w:r>
      <w:proofErr w:type="spellStart"/>
      <w:r w:rsidRPr="00480379">
        <w:t>μ.ο</w:t>
      </w:r>
      <w:proofErr w:type="spellEnd"/>
      <w:r w:rsidRPr="00480379">
        <w:t>. 5</w:t>
      </w:r>
      <w:r w:rsidR="000B26BB">
        <w:t>5</w:t>
      </w:r>
      <w:r w:rsidRPr="00480379">
        <w:t>% επιχορήγηση</w:t>
      </w:r>
      <w:r w:rsidR="000B26BB">
        <w:t>, ο οποίος προκύπτει από το συνυπολογισμό κοινωνικών κριτηρίων και εισοδήματος,</w:t>
      </w:r>
      <w:r w:rsidRPr="00480379">
        <w:t xml:space="preserve"> να αποτελεί </w:t>
      </w:r>
      <w:r w:rsidR="000B26BB">
        <w:t>ουσιώδες σημείο σχεδιασμού</w:t>
      </w:r>
      <w:r w:rsidRPr="00480379">
        <w:t xml:space="preserve"> </w:t>
      </w:r>
      <w:r w:rsidR="00817AC0">
        <w:t xml:space="preserve">και </w:t>
      </w:r>
      <w:r w:rsidRPr="00480379">
        <w:t>τ</w:t>
      </w:r>
      <w:r w:rsidR="00817AC0">
        <w:t>ου νέου Β’ Κύκλου</w:t>
      </w:r>
      <w:r w:rsidRPr="00480379">
        <w:t xml:space="preserve">, </w:t>
      </w:r>
      <w:r w:rsidRPr="00480379">
        <w:lastRenderedPageBreak/>
        <w:t xml:space="preserve">εφόσον </w:t>
      </w:r>
      <w:r w:rsidR="000B26BB">
        <w:t xml:space="preserve">εξακολουθεί και υποστηρίζεται </w:t>
      </w:r>
      <w:r w:rsidRPr="00480379">
        <w:t xml:space="preserve">η αρχή της ενίσχυσης των ασθενέστερων νοικοκυριών κατά προτεραιότητα. </w:t>
      </w:r>
    </w:p>
    <w:p w14:paraId="3B4C68E5" w14:textId="77777777" w:rsidR="00C07DB8" w:rsidRPr="00480379" w:rsidRDefault="00054688" w:rsidP="00C07DB8">
      <w:pPr>
        <w:pStyle w:val="a3"/>
        <w:numPr>
          <w:ilvl w:val="0"/>
          <w:numId w:val="42"/>
        </w:numPr>
        <w:spacing w:line="360" w:lineRule="auto"/>
      </w:pPr>
      <w:r>
        <w:rPr>
          <w:noProof/>
          <w:lang w:eastAsia="el-GR"/>
        </w:rPr>
        <mc:AlternateContent>
          <mc:Choice Requires="wps">
            <w:drawing>
              <wp:anchor distT="0" distB="0" distL="114300" distR="114300" simplePos="0" relativeHeight="251669503" behindDoc="1" locked="0" layoutInCell="1" allowOverlap="1" wp14:anchorId="1340FB37" wp14:editId="6AA51AD9">
                <wp:simplePos x="0" y="0"/>
                <wp:positionH relativeFrom="column">
                  <wp:posOffset>-984662</wp:posOffset>
                </wp:positionH>
                <wp:positionV relativeFrom="paragraph">
                  <wp:posOffset>1073546</wp:posOffset>
                </wp:positionV>
                <wp:extent cx="7548114" cy="2642260"/>
                <wp:effectExtent l="0" t="0" r="0" b="5715"/>
                <wp:wrapNone/>
                <wp:docPr id="7" name="Rectangle 7"/>
                <wp:cNvGraphicFramePr/>
                <a:graphic xmlns:a="http://schemas.openxmlformats.org/drawingml/2006/main">
                  <a:graphicData uri="http://schemas.microsoft.com/office/word/2010/wordprocessingShape">
                    <wps:wsp>
                      <wps:cNvSpPr/>
                      <wps:spPr>
                        <a:xfrm>
                          <a:off x="0" y="0"/>
                          <a:ext cx="7548114" cy="264226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D74A5" id="Rectangle 7" o:spid="_x0000_s1026" style="position:absolute;margin-left:-77.55pt;margin-top:84.55pt;width:594.35pt;height:208.05pt;z-index:-2516469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" fillcolor="#fff4cd [660]" stroked="f" strokeweight="2pt"/>
            </w:pict>
          </mc:Fallback>
        </mc:AlternateContent>
      </w:r>
      <w:r w:rsidR="00C07DB8" w:rsidRPr="00480379">
        <w:t xml:space="preserve">Η δυνατότητα λήψης ή μη δανείου και τα στοιχεία των απορριφθεισών προτάσεων του </w:t>
      </w:r>
      <w:r w:rsidR="000B26BB">
        <w:t>Α κύκλου</w:t>
      </w:r>
      <w:r w:rsidR="00C07DB8" w:rsidRPr="00480379">
        <w:t xml:space="preserve"> μας κατευθύνουν στην επιλογή του ρεαλιστικότερου σεναρίου </w:t>
      </w:r>
      <w:r w:rsidR="00D36E11">
        <w:t>για λήψη δανείου τελικά</w:t>
      </w:r>
      <w:r w:rsidR="00C07DB8" w:rsidRPr="00480379">
        <w:t xml:space="preserve"> της τάξης του </w:t>
      </w:r>
      <w:r w:rsidR="00D36E11">
        <w:t>44</w:t>
      </w:r>
      <w:r w:rsidR="00C07DB8" w:rsidRPr="00480379">
        <w:t xml:space="preserve">% των προτάσεων που θα </w:t>
      </w:r>
      <w:r w:rsidR="00D36E11">
        <w:t>υλοποιηθούν</w:t>
      </w:r>
      <w:r w:rsidR="00C07DB8" w:rsidRPr="00480379">
        <w:t xml:space="preserve">. </w:t>
      </w:r>
      <w:r w:rsidR="00D36E11">
        <w:t>Τα στοιχεία του Β’ Κύκλου δείχνουν πιθανότερη μια μικρή μείωση σε αυτό το ποσοστό.</w:t>
      </w:r>
    </w:p>
    <w:p w14:paraId="7D60EEFB" w14:textId="4C84FB38" w:rsidR="00C07DB8" w:rsidRDefault="00054688" w:rsidP="00095A8F">
      <w:pPr>
        <w:spacing w:line="360" w:lineRule="auto"/>
      </w:pPr>
      <w:r w:rsidRPr="00054688">
        <w:rPr>
          <w:b/>
        </w:rPr>
        <w:t>Α.</w:t>
      </w:r>
      <w:r>
        <w:t xml:space="preserve"> </w:t>
      </w:r>
      <w:r w:rsidR="00C07DB8" w:rsidRPr="00480379">
        <w:t>Με βάση τα παραπάνω (5</w:t>
      </w:r>
      <w:r w:rsidR="00D36E11">
        <w:t>5</w:t>
      </w:r>
      <w:r w:rsidR="00C07DB8" w:rsidRPr="00480379">
        <w:t xml:space="preserve">% </w:t>
      </w:r>
      <w:r w:rsidR="007D6972">
        <w:t xml:space="preserve">μέση </w:t>
      </w:r>
      <w:r w:rsidR="003C3C33">
        <w:t>επιχορήγηση</w:t>
      </w:r>
      <w:r w:rsidR="00D36E11">
        <w:t xml:space="preserve"> </w:t>
      </w:r>
      <w:r w:rsidR="003C3C33">
        <w:t xml:space="preserve">&amp; </w:t>
      </w:r>
      <w:r w:rsidR="00D36E11">
        <w:t>41</w:t>
      </w:r>
      <w:r w:rsidR="003C3C33">
        <w:t>,6</w:t>
      </w:r>
      <w:r w:rsidR="00C07DB8" w:rsidRPr="00480379">
        <w:t>%</w:t>
      </w:r>
      <w:r w:rsidR="00D36E11">
        <w:t xml:space="preserve"> Β’</w:t>
      </w:r>
      <w:r w:rsidR="00AD6C89" w:rsidRPr="00AD6C89">
        <w:t xml:space="preserve"> </w:t>
      </w:r>
      <w:r w:rsidR="00D36E11">
        <w:t>Κύκλο</w:t>
      </w:r>
      <w:r w:rsidR="003C3C33">
        <w:t xml:space="preserve">, συνυπολογίζοντας τις ενεργές 18.106 αιτήσεις </w:t>
      </w:r>
      <w:r w:rsidR="00C07DB8" w:rsidRPr="00480379">
        <w:t>η αναλογία νοικοκυριών που λαμβάνουν δάνειο),</w:t>
      </w:r>
      <w:r w:rsidR="00835AE1">
        <w:t xml:space="preserve"> </w:t>
      </w:r>
      <w:r w:rsidR="00C07DB8" w:rsidRPr="00480379">
        <w:t xml:space="preserve">επιτυγχάνεται η ενεργειακή αναβάθμιση </w:t>
      </w:r>
      <w:r w:rsidR="00D36E11">
        <w:t>18.106  + 8.938</w:t>
      </w:r>
      <w:r w:rsidR="00C07DB8" w:rsidRPr="00480379">
        <w:t xml:space="preserve"> </w:t>
      </w:r>
      <w:r w:rsidR="00D36E11">
        <w:t xml:space="preserve"> = 27.044 </w:t>
      </w:r>
      <w:r w:rsidR="00C07DB8" w:rsidRPr="00480379">
        <w:t xml:space="preserve">κατοικιών μέσω της σύστασης </w:t>
      </w:r>
      <w:r w:rsidR="001E5965" w:rsidRPr="001E5965">
        <w:t>Χρηματοοικονομικού Εργαλείου (</w:t>
      </w:r>
      <w:r w:rsidR="001E5965" w:rsidRPr="0024620D">
        <w:t>FI)</w:t>
      </w:r>
      <w:r w:rsidR="00C07DB8" w:rsidRPr="0024620D">
        <w:t xml:space="preserve"> με κεφάλαιο </w:t>
      </w:r>
      <w:r w:rsidR="00FE019C" w:rsidRPr="0024620D">
        <w:t>88</w:t>
      </w:r>
      <w:r w:rsidR="00C07DB8" w:rsidRPr="0024620D">
        <w:t xml:space="preserve"> εκ€</w:t>
      </w:r>
      <w:r w:rsidR="007D6972" w:rsidRPr="0024620D">
        <w:t xml:space="preserve"> και συνολικά 60.402 κατοικιών (με και χωρίς δάνειο)</w:t>
      </w:r>
      <w:r w:rsidR="00C07DB8" w:rsidRPr="0024620D">
        <w:t>.</w:t>
      </w:r>
    </w:p>
    <w:p w14:paraId="0ABD1291" w14:textId="32A8250F" w:rsidR="00095A8F" w:rsidRPr="00095A8F" w:rsidRDefault="00054688" w:rsidP="00095A8F">
      <w:pPr>
        <w:spacing w:line="360" w:lineRule="auto"/>
      </w:pPr>
      <w:r w:rsidRPr="00054688">
        <w:rPr>
          <w:b/>
        </w:rPr>
        <w:t>Β.</w:t>
      </w:r>
      <w:r>
        <w:t xml:space="preserve"> </w:t>
      </w:r>
      <w:r w:rsidR="00095A8F">
        <w:t>Στην περίπτωση που ο φορέας πολιτικής αποφασίσει να ολοκληρώσει τον Β’</w:t>
      </w:r>
      <w:r w:rsidR="00AD6C89" w:rsidRPr="00AD6C89">
        <w:t xml:space="preserve"> </w:t>
      </w:r>
      <w:r w:rsidR="00095A8F">
        <w:t xml:space="preserve">Κύκλο με τη συμμετοχή και των επιλαχόντων ή εξαντλώντας του πόρους του ΕΠΑΝΕΚ που έχουν εξειδικευτεί για το Πρόγραμμα (602 εκ.€) </w:t>
      </w:r>
      <w:r w:rsidR="003C13AC">
        <w:t xml:space="preserve">προκηρύσσοντας νέο Γ’ Κύκλο </w:t>
      </w:r>
      <w:r w:rsidR="00095A8F">
        <w:t xml:space="preserve">τότε </w:t>
      </w:r>
      <w:r w:rsidR="00095A8F" w:rsidRPr="00480379">
        <w:t xml:space="preserve">επιτυγχάνεται η ενεργειακή αναβάθμιση </w:t>
      </w:r>
      <w:r w:rsidR="00095A8F" w:rsidRPr="0024620D">
        <w:t>18.106</w:t>
      </w:r>
      <w:r w:rsidR="003C13AC" w:rsidRPr="0024620D">
        <w:t xml:space="preserve"> </w:t>
      </w:r>
      <w:r w:rsidR="00095A8F" w:rsidRPr="0024620D">
        <w:t>+</w:t>
      </w:r>
      <w:r w:rsidR="003C13AC" w:rsidRPr="0024620D">
        <w:t xml:space="preserve"> </w:t>
      </w:r>
      <w:r w:rsidR="00095A8F" w:rsidRPr="0024620D">
        <w:t xml:space="preserve">8.938 </w:t>
      </w:r>
      <w:r w:rsidR="003C13AC" w:rsidRPr="0024620D">
        <w:t xml:space="preserve">+ 8.297 </w:t>
      </w:r>
      <w:r w:rsidR="00095A8F" w:rsidRPr="0024620D">
        <w:t xml:space="preserve">= </w:t>
      </w:r>
      <w:r w:rsidR="003C13AC" w:rsidRPr="0024620D">
        <w:t>35</w:t>
      </w:r>
      <w:r w:rsidR="00095A8F" w:rsidRPr="0024620D">
        <w:t>.</w:t>
      </w:r>
      <w:r w:rsidR="003C13AC" w:rsidRPr="0024620D">
        <w:t>341</w:t>
      </w:r>
      <w:r w:rsidR="00095A8F" w:rsidRPr="0024620D">
        <w:t xml:space="preserve"> κατοικιών μέσω της σύστασης Χρηματοοικονομικού Εργαλείου (FI) με κεφάλαιο </w:t>
      </w:r>
      <w:r w:rsidR="003C13AC" w:rsidRPr="0024620D">
        <w:t>115</w:t>
      </w:r>
      <w:r w:rsidR="00095A8F" w:rsidRPr="0024620D">
        <w:t xml:space="preserve"> εκ€ και συνολικά </w:t>
      </w:r>
      <w:r w:rsidR="003C13AC" w:rsidRPr="0024620D">
        <w:t>81.031</w:t>
      </w:r>
      <w:r w:rsidR="00095A8F" w:rsidRPr="0024620D">
        <w:t xml:space="preserve"> κατοικιών (με και χωρίς δάνειο).</w:t>
      </w:r>
    </w:p>
    <w:p w14:paraId="127DF010" w14:textId="77777777" w:rsidR="00817AC0" w:rsidRPr="00480379" w:rsidRDefault="00C07DB8" w:rsidP="00817AC0">
      <w:pPr>
        <w:pStyle w:val="3"/>
      </w:pPr>
      <w:bookmarkStart w:id="75" w:name="_Toc464038702"/>
      <w:bookmarkStart w:id="76" w:name="_Toc36639236"/>
      <w:r w:rsidRPr="00480379">
        <w:t>Χαρακτηριστικά προϊόντος του προτεινόμενο μέσο</w:t>
      </w:r>
      <w:bookmarkStart w:id="77" w:name="_GoBack"/>
      <w:bookmarkEnd w:id="77"/>
      <w:r w:rsidRPr="00480379">
        <w:t>υ χρηματοοικονομικής τεχνικής</w:t>
      </w:r>
      <w:bookmarkEnd w:id="75"/>
      <w:r w:rsidR="00817AC0">
        <w:t xml:space="preserve"> - </w:t>
      </w:r>
      <w:r w:rsidR="00817AC0" w:rsidRPr="00480379">
        <w:t>Προσδιορισμός δυνητικών τελικών αποδεκτών</w:t>
      </w:r>
      <w:bookmarkEnd w:id="76"/>
    </w:p>
    <w:p w14:paraId="046F4FD0" w14:textId="77777777" w:rsidR="00E7059E" w:rsidRDefault="00C07DB8" w:rsidP="006C30B7">
      <w:pPr>
        <w:spacing w:line="360" w:lineRule="auto"/>
      </w:pPr>
      <w:r w:rsidRPr="00480379">
        <w:t>Η επενδυτική στρατηγική θα πρέπει να παρέχει και μία αιτιολόγηση για την επιλογή του προϊόντος ενίσχυσης του προτεινόμενου μέσου προς τους τελικούς αποδέκτες. Στην περίπτωσή μας το μέσο αφορά παρεμβάσεις ιδιοκτητών ακινήτων για την ενεργειακή αναβάθμιση των κατοικιών τους. Δεδομένου ότι εξετάζουμε αποκλειστικά τον οικιακό τομέα τα προϊόντα του μέσου δύναται να είναι εγγυήσεις, δάνεια</w:t>
      </w:r>
      <w:r w:rsidR="00835AE1">
        <w:t xml:space="preserve"> (με ή χωρίς επιδότηση επιτοκίου)</w:t>
      </w:r>
      <w:r w:rsidRPr="00480379">
        <w:t xml:space="preserve"> είτε και τα δύο.</w:t>
      </w:r>
      <w:r w:rsidR="00835AE1">
        <w:t xml:space="preserve">  </w:t>
      </w:r>
    </w:p>
    <w:p w14:paraId="3D55824E" w14:textId="77777777" w:rsidR="00C07DB8" w:rsidRPr="00480379" w:rsidRDefault="00835AE1" w:rsidP="006C30B7">
      <w:pPr>
        <w:spacing w:line="360" w:lineRule="auto"/>
      </w:pPr>
      <w:r w:rsidRPr="00835AE1">
        <w:t xml:space="preserve">Η ιδιαίτερα </w:t>
      </w:r>
      <w:r>
        <w:t xml:space="preserve">όμως </w:t>
      </w:r>
      <w:r w:rsidRPr="00835AE1">
        <w:t>χαμηλή προσέλευση των μεγαλύτερων εισοδημάτων για παροχή δανείων με επιδότηση επιτοκίου και στον Α και στον Β Κύκλο, υπαγορεύει και επιβεβαιώνει ότι ούτε το πιθανό προϊόν παροχής εγγυήσεων θα ήταν κατάλληλο για το Πρόγραμμα.</w:t>
      </w:r>
      <w:r w:rsidR="006C30B7">
        <w:t xml:space="preserve"> Σημειώνεται ότι δάνεια που απορρίφθηκαν κατά το Πρόγραμμα «Εξοικονομώ </w:t>
      </w:r>
      <w:proofErr w:type="spellStart"/>
      <w:r w:rsidR="006C30B7">
        <w:t>κατ’οίκον</w:t>
      </w:r>
      <w:proofErr w:type="spellEnd"/>
      <w:r w:rsidR="006C30B7">
        <w:t xml:space="preserve"> Ι» οφείλονταν </w:t>
      </w:r>
      <w:r w:rsidR="006C30B7" w:rsidRPr="00480379">
        <w:t>μόλις</w:t>
      </w:r>
      <w:r w:rsidR="006C30B7">
        <w:t xml:space="preserve"> κατά</w:t>
      </w:r>
      <w:r w:rsidR="006C30B7" w:rsidRPr="00480379">
        <w:t xml:space="preserve"> το 2,96% για </w:t>
      </w:r>
      <w:r w:rsidR="006C30B7" w:rsidRPr="00480379">
        <w:rPr>
          <w:lang w:val="en-US"/>
        </w:rPr>
        <w:t>score</w:t>
      </w:r>
      <w:r w:rsidR="006C30B7">
        <w:t xml:space="preserve"> του Τειρεσία. Το μεγαλύτερο ποσοστό ~70% απορριπτόταν λόγω των κριτηρίων των τραπεζικών ιδρυμάτων. Έτσι, τ</w:t>
      </w:r>
      <w:r w:rsidR="006C30B7" w:rsidRPr="00480379">
        <w:t>ο πολύ χαμηλό ποσοστό απόρριψης λόγω Τειρεσία από μόνο του απορρίπτει την ανάγκη προώθησης ενός προϊόντος εγγυήσεων, εξάλλου η ονομαστική αξία των δανείων είναι πολύ μικρή για να μην μπορεί να καλυφθεί από τους ιδιοκτήτες ακινήτων</w:t>
      </w:r>
      <w:r w:rsidR="006C30B7">
        <w:t>.</w:t>
      </w:r>
    </w:p>
    <w:p w14:paraId="1474B677" w14:textId="77777777" w:rsidR="00817AC0" w:rsidRPr="00480379" w:rsidRDefault="00C07DB8" w:rsidP="00817AC0">
      <w:pPr>
        <w:spacing w:line="360" w:lineRule="auto"/>
      </w:pPr>
      <w:r w:rsidRPr="00480379">
        <w:t xml:space="preserve">Σύμφωνα με την Ευρωπαϊκή Επιτροπή και το Ινστιτούτο Ενέργειας, τα δάνεια αποτελούν το συνήθη προϊόν για παρεμβάσεις στον οικιακό τομέα. Τα δάνεια παρέχονται από τους φορείς </w:t>
      </w:r>
      <w:r w:rsidRPr="00480379">
        <w:lastRenderedPageBreak/>
        <w:t xml:space="preserve">υλοποίησης είτε απευθείας στους ιδιοκτήτες ακινήτων, είτε σε </w:t>
      </w:r>
      <w:r w:rsidR="001A18DF">
        <w:t>Ε</w:t>
      </w:r>
      <w:r w:rsidRPr="00480379">
        <w:t xml:space="preserve">ταιρείες </w:t>
      </w:r>
      <w:r w:rsidR="001A18DF">
        <w:t>Ε</w:t>
      </w:r>
      <w:r w:rsidRPr="00480379">
        <w:t xml:space="preserve">νεργειακών </w:t>
      </w:r>
      <w:r w:rsidR="001A18DF">
        <w:t>Υ</w:t>
      </w:r>
      <w:r w:rsidRPr="00480379">
        <w:t>πηρεσιών</w:t>
      </w:r>
      <w:r w:rsidR="001A18DF">
        <w:rPr>
          <w:rStyle w:val="ac"/>
        </w:rPr>
        <w:footnoteReference w:id="41"/>
      </w:r>
      <w:r w:rsidR="00817AC0" w:rsidRPr="00817AC0">
        <w:t xml:space="preserve"> </w:t>
      </w:r>
      <w:r w:rsidR="00277CF4" w:rsidRPr="00277CF4">
        <w:t>(</w:t>
      </w:r>
      <w:r w:rsidR="00277CF4">
        <w:t>ΕΕΥ</w:t>
      </w:r>
      <w:r w:rsidR="00277CF4" w:rsidRPr="00277CF4">
        <w:t>)</w:t>
      </w:r>
      <w:r w:rsidR="00277CF4">
        <w:t xml:space="preserve"> </w:t>
      </w:r>
      <w:r w:rsidR="00817AC0" w:rsidRPr="00480379">
        <w:t>με αντικείμενο την αναβάθμιση κατοικιών στον οικιακό τομέα.</w:t>
      </w:r>
      <w:r w:rsidRPr="00480379">
        <w:t xml:space="preserve"> Το </w:t>
      </w:r>
      <w:proofErr w:type="spellStart"/>
      <w:r w:rsidR="001A18DF">
        <w:t>συσταθέν</w:t>
      </w:r>
      <w:proofErr w:type="spellEnd"/>
      <w:r w:rsidR="001A18DF">
        <w:t xml:space="preserve"> </w:t>
      </w:r>
      <w:r w:rsidR="001E5965" w:rsidRPr="004C42EA">
        <w:t>Χρηματοοικονομικ</w:t>
      </w:r>
      <w:r w:rsidR="001E5965">
        <w:t>ό</w:t>
      </w:r>
      <w:r w:rsidR="001E5965" w:rsidRPr="004C42EA">
        <w:t xml:space="preserve"> Εργαλεί</w:t>
      </w:r>
      <w:r w:rsidR="001E5965">
        <w:t>ο</w:t>
      </w:r>
      <w:r w:rsidR="001E5965" w:rsidRPr="004C42EA">
        <w:t xml:space="preserve"> (FI)</w:t>
      </w:r>
      <w:r w:rsidRPr="00480379">
        <w:t xml:space="preserve"> </w:t>
      </w:r>
      <w:r w:rsidR="00835AE1">
        <w:t xml:space="preserve">ελλείψει </w:t>
      </w:r>
      <w:r w:rsidR="001A18DF">
        <w:t>εμπειρίας της αγοράς και του μικρού προϋπολογισμού των έργων</w:t>
      </w:r>
      <w:r w:rsidR="00277CF4">
        <w:t xml:space="preserve"> καθώς η</w:t>
      </w:r>
      <w:r w:rsidR="00277CF4" w:rsidRPr="00480379">
        <w:t xml:space="preserve"> λογική των ΕΕΥ έγκειται σε οικονομίες κλίμακας, κάτι που δεν υφίσταται στον οικιακό τομέα, λόγω της μικρής ιδιοκτησίας</w:t>
      </w:r>
      <w:r w:rsidR="00277CF4">
        <w:t>,</w:t>
      </w:r>
      <w:r w:rsidR="00277CF4" w:rsidRPr="00277CF4">
        <w:t xml:space="preserve"> </w:t>
      </w:r>
      <w:r w:rsidR="00277CF4">
        <w:t>δεν προκύπτει ελκυστική</w:t>
      </w:r>
      <w:r w:rsidR="00277CF4" w:rsidRPr="00480379">
        <w:t>. Σε αυτήν την περίπτωση υπάγονται και οι πολυκατοικίες καθώς με το θεσμικό πλαίσιο</w:t>
      </w:r>
      <w:r w:rsidR="00277CF4" w:rsidRPr="00480379">
        <w:rPr>
          <w:rStyle w:val="ac"/>
          <w:color w:val="000000"/>
        </w:rPr>
        <w:footnoteReference w:id="42"/>
      </w:r>
      <w:r w:rsidR="00277CF4" w:rsidRPr="00480379">
        <w:t xml:space="preserve"> που αφορά τον κανονισμό λειτουργίας τους δεν παρέχει τη δυνατότητα να συσταθεί μία νομική οντότητα που θα αναλάβει την εκτέλεση των παρεμβάσεων στο κτίριο.</w:t>
      </w:r>
      <w:r w:rsidR="00277CF4">
        <w:t xml:space="preserve"> </w:t>
      </w:r>
      <w:r w:rsidR="00277CF4" w:rsidRPr="00480379">
        <w:t>Επιπλέον, οι χρηματοοικονομικές παράμετροι δεν προσδίδουν πλεονέκτημα για τη διείσδυσή τους στην εν λόγω αγορά.</w:t>
      </w:r>
      <w:r w:rsidR="00277CF4">
        <w:t xml:space="preserve"> Επομένως το </w:t>
      </w:r>
      <w:r w:rsidR="001E5965" w:rsidRPr="004C42EA">
        <w:t>Χρηματοοικονομικ</w:t>
      </w:r>
      <w:r w:rsidR="001E5965">
        <w:t>ό</w:t>
      </w:r>
      <w:r w:rsidR="001E5965" w:rsidRPr="004C42EA">
        <w:t xml:space="preserve"> Εργαλεί</w:t>
      </w:r>
      <w:r w:rsidR="001E5965">
        <w:t>ο</w:t>
      </w:r>
      <w:r w:rsidR="001E5965" w:rsidRPr="004C42EA">
        <w:t xml:space="preserve"> (FI)</w:t>
      </w:r>
      <w:r w:rsidR="00277CF4">
        <w:t xml:space="preserve"> συνεχίζει να αποτελεί εύχρηστο εργαλείο και</w:t>
      </w:r>
      <w:r w:rsidR="00835AE1">
        <w:t xml:space="preserve"> </w:t>
      </w:r>
      <w:r w:rsidRPr="00480379">
        <w:t xml:space="preserve">συστήνεται να </w:t>
      </w:r>
      <w:r w:rsidR="001A18DF">
        <w:t xml:space="preserve">εξακολουθήσει </w:t>
      </w:r>
      <w:r w:rsidRPr="00480379">
        <w:t xml:space="preserve">απευθύνεται </w:t>
      </w:r>
      <w:r w:rsidR="001A18DF">
        <w:t xml:space="preserve">απευθείας </w:t>
      </w:r>
      <w:r w:rsidRPr="00480379">
        <w:t>σε ιδιοκτήτες ακινήτων</w:t>
      </w:r>
      <w:r w:rsidR="00817AC0">
        <w:t xml:space="preserve"> όπως</w:t>
      </w:r>
      <w:r w:rsidR="00817AC0" w:rsidRPr="00480379">
        <w:t xml:space="preserve"> εφαρμόσθηκε επιτυχημένα </w:t>
      </w:r>
      <w:r w:rsidR="00817AC0">
        <w:t>στο Πρόγραμμα</w:t>
      </w:r>
      <w:r w:rsidR="00817AC0" w:rsidRPr="00480379">
        <w:t xml:space="preserve"> «</w:t>
      </w:r>
      <w:r w:rsidR="00E7059E">
        <w:t>Ε</w:t>
      </w:r>
      <w:r w:rsidR="00817AC0" w:rsidRPr="00480379">
        <w:t xml:space="preserve">ξοικονόμηση </w:t>
      </w:r>
      <w:proofErr w:type="spellStart"/>
      <w:r w:rsidR="00817AC0" w:rsidRPr="00480379">
        <w:t>κατ΄</w:t>
      </w:r>
      <w:r w:rsidR="00E7059E">
        <w:t>Ο</w:t>
      </w:r>
      <w:r w:rsidR="00817AC0" w:rsidRPr="00480379">
        <w:t>ίκον</w:t>
      </w:r>
      <w:proofErr w:type="spellEnd"/>
      <w:r w:rsidR="00817AC0">
        <w:t xml:space="preserve"> Ι</w:t>
      </w:r>
      <w:r w:rsidR="00817AC0" w:rsidRPr="00480379">
        <w:t xml:space="preserve">» </w:t>
      </w:r>
      <w:r w:rsidR="00817AC0">
        <w:t xml:space="preserve">αλλά </w:t>
      </w:r>
      <w:r w:rsidR="00817AC0" w:rsidRPr="00480379">
        <w:t xml:space="preserve">και </w:t>
      </w:r>
      <w:r w:rsidR="00817AC0">
        <w:t xml:space="preserve">στη συνέχεια Α και Β Κύκλου του Προγράμματος </w:t>
      </w:r>
      <w:r w:rsidR="00817AC0" w:rsidRPr="00480379">
        <w:t>«</w:t>
      </w:r>
      <w:r w:rsidR="00817AC0">
        <w:t>Ε</w:t>
      </w:r>
      <w:r w:rsidR="00817AC0" w:rsidRPr="00480379">
        <w:t xml:space="preserve">ξοικονόμηση </w:t>
      </w:r>
      <w:proofErr w:type="spellStart"/>
      <w:r w:rsidR="00817AC0" w:rsidRPr="00480379">
        <w:t>κατ΄</w:t>
      </w:r>
      <w:r w:rsidR="00817AC0">
        <w:t>Ο</w:t>
      </w:r>
      <w:r w:rsidR="00817AC0" w:rsidRPr="00480379">
        <w:t>ίκον</w:t>
      </w:r>
      <w:proofErr w:type="spellEnd"/>
      <w:r w:rsidR="00817AC0">
        <w:t xml:space="preserve"> ΙΙ</w:t>
      </w:r>
      <w:r w:rsidR="00817AC0" w:rsidRPr="00480379">
        <w:t xml:space="preserve">». </w:t>
      </w:r>
    </w:p>
    <w:p w14:paraId="5C88BBAF" w14:textId="77777777" w:rsidR="00C07DB8" w:rsidRPr="00480379" w:rsidRDefault="00C07DB8" w:rsidP="00C07DB8">
      <w:pPr>
        <w:spacing w:line="360" w:lineRule="auto"/>
      </w:pPr>
      <w:r w:rsidRPr="00480379">
        <w:t>Στη συνέχεια αναλύονται τα βασικά χαρακτηριστικά του προτεινόμενου προϊόντος δανείων.</w:t>
      </w:r>
    </w:p>
    <w:p w14:paraId="04951B38" w14:textId="77777777" w:rsidR="00C07DB8" w:rsidRPr="00480379" w:rsidRDefault="00C07DB8" w:rsidP="002677AD">
      <w:pPr>
        <w:pStyle w:val="a3"/>
        <w:numPr>
          <w:ilvl w:val="0"/>
          <w:numId w:val="39"/>
        </w:numPr>
        <w:spacing w:line="360" w:lineRule="auto"/>
      </w:pPr>
      <w:r w:rsidRPr="00480379">
        <w:t xml:space="preserve">Ο μέσος προϋπολογισμός των παρεμβάσεων με βάση τα στοιχεία </w:t>
      </w:r>
      <w:r w:rsidR="00817AC0">
        <w:t>του Προγράμματος</w:t>
      </w:r>
      <w:r w:rsidRPr="00480379">
        <w:t xml:space="preserve"> </w:t>
      </w:r>
      <w:r w:rsidR="001A18DF">
        <w:t>για τον Α &amp; Β Κύκλο</w:t>
      </w:r>
      <w:r w:rsidRPr="00480379">
        <w:t xml:space="preserve"> </w:t>
      </w:r>
      <w:r w:rsidR="00A754C9" w:rsidRPr="00C11A76">
        <w:t>ανέρχεται σε 14.931 € για τον Α΄ Κύκλο</w:t>
      </w:r>
      <w:r w:rsidR="00BE63FA">
        <w:rPr>
          <w:rStyle w:val="ac"/>
        </w:rPr>
        <w:footnoteReference w:id="43"/>
      </w:r>
      <w:r w:rsidR="00A754C9" w:rsidRPr="00A754C9">
        <w:t xml:space="preserve"> </w:t>
      </w:r>
      <w:r w:rsidR="00A754C9" w:rsidRPr="00C11A76">
        <w:t xml:space="preserve">και 16.871 € για τον </w:t>
      </w:r>
      <w:r w:rsidR="00A754C9">
        <w:t>Β’ Κύκλο</w:t>
      </w:r>
      <w:r w:rsidR="002677AD">
        <w:t xml:space="preserve">. Από τα παραπάνω και συνυπολογίζοντας πως ο Μ.Ο. της επιχορήγησης </w:t>
      </w:r>
      <w:r w:rsidRPr="00480379">
        <w:t xml:space="preserve">των παρεμβάσεων </w:t>
      </w:r>
      <w:r w:rsidR="002677AD">
        <w:t xml:space="preserve">είναι </w:t>
      </w:r>
      <w:r w:rsidRPr="00480379">
        <w:t xml:space="preserve">της τάξεως του </w:t>
      </w:r>
      <w:r w:rsidR="001A18DF">
        <w:t>5</w:t>
      </w:r>
      <w:r w:rsidR="002677AD">
        <w:t>6</w:t>
      </w:r>
      <w:r w:rsidRPr="00480379">
        <w:t xml:space="preserve">%, τότε η ονομαστική αξία των δανείων του προτεινόμενου μέσου </w:t>
      </w:r>
      <w:r w:rsidR="001A18DF">
        <w:t>κυ</w:t>
      </w:r>
      <w:r w:rsidRPr="00480379">
        <w:t>μ</w:t>
      </w:r>
      <w:r w:rsidR="001A18DF">
        <w:t>αί</w:t>
      </w:r>
      <w:r w:rsidRPr="00480379">
        <w:t xml:space="preserve">νεται μεταξύ </w:t>
      </w:r>
      <w:r w:rsidR="002677AD">
        <w:t>6</w:t>
      </w:r>
      <w:r w:rsidRPr="00480379">
        <w:t>.</w:t>
      </w:r>
      <w:r w:rsidR="002677AD">
        <w:t>6</w:t>
      </w:r>
      <w:r w:rsidRPr="00480379">
        <w:t xml:space="preserve">00€ και </w:t>
      </w:r>
      <w:r w:rsidR="001A18DF">
        <w:t>7.5</w:t>
      </w:r>
      <w:r w:rsidRPr="00480379">
        <w:t>00€.</w:t>
      </w:r>
    </w:p>
    <w:p w14:paraId="6741E35F" w14:textId="77777777" w:rsidR="00C07DB8" w:rsidRDefault="00C07DB8" w:rsidP="00C07DB8">
      <w:pPr>
        <w:pStyle w:val="a3"/>
        <w:numPr>
          <w:ilvl w:val="0"/>
          <w:numId w:val="39"/>
        </w:numPr>
        <w:spacing w:line="360" w:lineRule="auto"/>
      </w:pPr>
      <w:r w:rsidRPr="00480379">
        <w:t xml:space="preserve">Δεδομένου των οικονομικών συνθηκών που επικρατούν στη χώρα αλλά και του περιορισμού του εισοδήματος των νοικοκυριών </w:t>
      </w:r>
      <w:r w:rsidR="001A18DF">
        <w:t xml:space="preserve">εξαγγέλθηκε και παραμένει </w:t>
      </w:r>
      <w:r w:rsidRPr="00480379">
        <w:t>η επιδότηση του επιτοκίου των δανείων μέχρι ενός συγκεκριμένου ποσού</w:t>
      </w:r>
      <w:r w:rsidR="004C4280">
        <w:t xml:space="preserve"> ενώ η</w:t>
      </w:r>
      <w:r w:rsidR="004C4280" w:rsidRPr="004C4280">
        <w:t xml:space="preserve"> περίοδος αποπληρωμής των δανείων με τα προαναφερόμενα χαρακτηριστικά </w:t>
      </w:r>
      <w:r w:rsidR="004C4280">
        <w:t>προτάθηκε</w:t>
      </w:r>
      <w:r w:rsidR="004C4280" w:rsidRPr="004C4280">
        <w:t xml:space="preserve"> να </w:t>
      </w:r>
      <w:r w:rsidR="004C4280">
        <w:t>διαμορφωθεί</w:t>
      </w:r>
      <w:r w:rsidR="004C4280" w:rsidRPr="004C4280">
        <w:t xml:space="preserve"> από τέσσερα έως έξι έτη</w:t>
      </w:r>
      <w:r w:rsidRPr="00480379">
        <w:t xml:space="preserve">. </w:t>
      </w:r>
      <w:r w:rsidR="001A18DF">
        <w:t>Η</w:t>
      </w:r>
      <w:r w:rsidRPr="00480379">
        <w:t xml:space="preserve"> επιλογή να επιχορηγηθεί το σύνολο του δανείου </w:t>
      </w:r>
      <w:r w:rsidR="001A18DF">
        <w:t>κατεύθυνε τους ωφελούμενους</w:t>
      </w:r>
      <w:r w:rsidRPr="00480379">
        <w:t xml:space="preserve"> </w:t>
      </w:r>
      <w:r w:rsidR="001A18DF">
        <w:t>ν</w:t>
      </w:r>
      <w:r w:rsidRPr="00480379">
        <w:t>α επιλέγουν δάνεια</w:t>
      </w:r>
      <w:r w:rsidR="004C4280">
        <w:t>,</w:t>
      </w:r>
      <w:r w:rsidR="001A18DF">
        <w:t xml:space="preserve"> κατά </w:t>
      </w:r>
      <w:r w:rsidR="004C4280">
        <w:t xml:space="preserve">το μεγαλύτερο ποσοστό τους, </w:t>
      </w:r>
      <w:r w:rsidRPr="00480379">
        <w:t xml:space="preserve">με </w:t>
      </w:r>
      <w:r w:rsidR="004C4280">
        <w:t xml:space="preserve">τη </w:t>
      </w:r>
      <w:r w:rsidRPr="00480379">
        <w:t>μεγ</w:t>
      </w:r>
      <w:r w:rsidR="004C4280">
        <w:t>αλύτερη</w:t>
      </w:r>
      <w:r w:rsidRPr="00480379">
        <w:t xml:space="preserve"> διάρκεια αποπληρωμής </w:t>
      </w:r>
      <w:r w:rsidR="004C4280">
        <w:t>(6 έτη) με ανάλογη</w:t>
      </w:r>
      <w:r w:rsidRPr="00480379">
        <w:t xml:space="preserve"> επιβάρυνση του προτεινόμενου μέσου.</w:t>
      </w:r>
      <w:r w:rsidR="007D51DC">
        <w:t xml:space="preserve"> Αυτό</w:t>
      </w:r>
      <w:r w:rsidR="007D51DC" w:rsidRPr="007D51DC">
        <w:t xml:space="preserve"> </w:t>
      </w:r>
      <w:r w:rsidR="007D51DC">
        <w:t>σε αντίθεση με το</w:t>
      </w:r>
      <w:r w:rsidR="007D51DC" w:rsidRPr="004C4280">
        <w:t xml:space="preserve"> «εξοικονόμηση </w:t>
      </w:r>
      <w:proofErr w:type="spellStart"/>
      <w:r w:rsidR="007D51DC" w:rsidRPr="004C4280">
        <w:t>κατ</w:t>
      </w:r>
      <w:proofErr w:type="spellEnd"/>
      <w:r w:rsidR="007D51DC" w:rsidRPr="004C4280">
        <w:t xml:space="preserve">΄ </w:t>
      </w:r>
      <w:proofErr w:type="spellStart"/>
      <w:r w:rsidR="007D51DC" w:rsidRPr="004C4280">
        <w:t>οίκον</w:t>
      </w:r>
      <w:proofErr w:type="spellEnd"/>
      <w:r w:rsidR="007D51DC">
        <w:t xml:space="preserve"> Ι</w:t>
      </w:r>
      <w:r w:rsidR="007D51DC" w:rsidRPr="004C4280">
        <w:t xml:space="preserve">» </w:t>
      </w:r>
      <w:r w:rsidR="007D51DC">
        <w:t xml:space="preserve">που </w:t>
      </w:r>
      <w:r w:rsidR="007D51DC" w:rsidRPr="004C4280">
        <w:t>οι ιδιοκτήτες ακινήτων προτίμησαν διάρκεια αποπληρωμής τεσσάρων ετών</w:t>
      </w:r>
      <w:r w:rsidR="007D51DC">
        <w:t xml:space="preserve"> </w:t>
      </w:r>
      <w:r w:rsidR="007D51DC">
        <w:lastRenderedPageBreak/>
        <w:t>καθώς αρκετά δάνεια συνάπτονταν</w:t>
      </w:r>
      <w:r w:rsidR="007D51DC" w:rsidRPr="004C4280">
        <w:t xml:space="preserve"> προς το τέλος της προγραμματικής περιόδου </w:t>
      </w:r>
      <w:r w:rsidR="007D51DC">
        <w:t>με την</w:t>
      </w:r>
      <w:r w:rsidR="007D51DC" w:rsidRPr="004C4280">
        <w:t xml:space="preserve"> επιδότηση επιτοκίου</w:t>
      </w:r>
      <w:r w:rsidR="007D51DC">
        <w:t xml:space="preserve"> να</w:t>
      </w:r>
      <w:r w:rsidR="007D51DC" w:rsidRPr="004C4280">
        <w:t xml:space="preserve"> ίσχυε έως 31.12.2015.</w:t>
      </w:r>
    </w:p>
    <w:p w14:paraId="65BC9DE8" w14:textId="77777777" w:rsidR="004C4280" w:rsidRPr="00480379" w:rsidRDefault="001D43EB" w:rsidP="004C4280">
      <w:pPr>
        <w:spacing w:line="360" w:lineRule="auto"/>
        <w:jc w:val="center"/>
      </w:pPr>
      <w:r>
        <w:rPr>
          <w:noProof/>
          <w:lang w:eastAsia="el-GR"/>
        </w:rPr>
        <w:drawing>
          <wp:inline distT="0" distB="0" distL="0" distR="0" wp14:anchorId="695B3F9B" wp14:editId="6CA40A54">
            <wp:extent cx="5334000" cy="4381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02CACA" w14:textId="77777777" w:rsidR="00C07DB8" w:rsidRPr="00480379" w:rsidRDefault="00C07DB8" w:rsidP="00C07DB8">
      <w:pPr>
        <w:pStyle w:val="a3"/>
        <w:spacing w:line="360" w:lineRule="auto"/>
      </w:pPr>
    </w:p>
    <w:p w14:paraId="562A6460" w14:textId="77777777" w:rsidR="00C07DB8" w:rsidRPr="00480379" w:rsidRDefault="00C07DB8" w:rsidP="00C07DB8">
      <w:pPr>
        <w:pStyle w:val="2"/>
        <w:spacing w:line="360" w:lineRule="auto"/>
        <w:rPr>
          <w:sz w:val="22"/>
          <w:szCs w:val="22"/>
        </w:rPr>
      </w:pPr>
      <w:bookmarkStart w:id="78" w:name="_Toc464038704"/>
      <w:bookmarkStart w:id="79" w:name="_Toc36639237"/>
      <w:r w:rsidRPr="00480379">
        <w:rPr>
          <w:sz w:val="22"/>
          <w:szCs w:val="22"/>
        </w:rPr>
        <w:t xml:space="preserve">Μηχανισμός υλοποίησης του </w:t>
      </w:r>
      <w:bookmarkEnd w:id="78"/>
      <w:r w:rsidR="005E65CC">
        <w:rPr>
          <w:sz w:val="22"/>
          <w:szCs w:val="22"/>
        </w:rPr>
        <w:t>Χρηματοοικονομικού Εργαλείου (FI)</w:t>
      </w:r>
      <w:bookmarkEnd w:id="79"/>
    </w:p>
    <w:p w14:paraId="33598B2C" w14:textId="77777777" w:rsidR="00C07DB8" w:rsidRPr="00480379" w:rsidRDefault="00C07DB8" w:rsidP="00C07DB8">
      <w:pPr>
        <w:spacing w:line="360" w:lineRule="auto"/>
      </w:pPr>
      <w:r w:rsidRPr="00480379">
        <w:t xml:space="preserve">Η παράγραφος 2(ε) του άρθρου 37 του κανονισμού 1303/2013 απαιτεί η επενδυτική στρατηγική να περιλαμβάνει εξέταση των επιλογών υλοποίησης του μέσου σύμφωνα με τα αναγραφόμενα στο άρθρο 38 του κανονισμού. </w:t>
      </w:r>
    </w:p>
    <w:p w14:paraId="0D3CD7BA" w14:textId="77777777" w:rsidR="00C07DB8" w:rsidRPr="00480379" w:rsidRDefault="00C07DB8" w:rsidP="00C07DB8">
      <w:pPr>
        <w:spacing w:line="360" w:lineRule="auto"/>
      </w:pPr>
      <w:r w:rsidRPr="00480379">
        <w:t>Στο άρθρο 38 του κανονισμού 1303/2013 παρέχονται τέσσερις επιλογές στην διαχειριστική αρχή, προκειμένου να σχεδιάσει το μηχανισμό υλοποίησης του μέσου:</w:t>
      </w:r>
    </w:p>
    <w:p w14:paraId="722CABA5" w14:textId="77777777" w:rsidR="000F0416" w:rsidRPr="00480379" w:rsidRDefault="000F0416" w:rsidP="000F0416">
      <w:pPr>
        <w:pStyle w:val="a3"/>
        <w:numPr>
          <w:ilvl w:val="0"/>
          <w:numId w:val="40"/>
        </w:numPr>
        <w:spacing w:line="360" w:lineRule="auto"/>
      </w:pPr>
      <w:r w:rsidRPr="00480379">
        <w:t>Να συνεισφέρει πόρους των ΕΔΕΤ σε φορείς υλοποίησης σε ευρωπαϊκό επίπεδο όπως είναι το Ευρωπαϊκό Ταμείο Επενδύσεων.</w:t>
      </w:r>
      <w:r>
        <w:t xml:space="preserve"> </w:t>
      </w:r>
      <w:r w:rsidR="00054688">
        <w:t>Η δυνατότητα αυτή δεν υπάρχει λόγω</w:t>
      </w:r>
      <w:r w:rsidRPr="00480379">
        <w:t xml:space="preserve"> των χαρακτηριστικών του προϊόντος (</w:t>
      </w:r>
      <w:proofErr w:type="spellStart"/>
      <w:r w:rsidRPr="00480379">
        <w:t>μικροδάνεια</w:t>
      </w:r>
      <w:proofErr w:type="spellEnd"/>
      <w:r w:rsidRPr="00480379">
        <w:t xml:space="preserve">). Οι διεθνείς χρηματοπιστωτικοί οργανισμοί δραστηριοποιούνται σε έργα μεγάλου προϋπολογισμού, ενώ όλα τα μέσα χρηματοοικονομικής τεχνικής που έχουν </w:t>
      </w:r>
      <w:r w:rsidRPr="00480379">
        <w:lastRenderedPageBreak/>
        <w:t>συσταθεί ή πρόκειται να συσταθούν σε επίπεδο ευρωπαϊκής ένωσης</w:t>
      </w:r>
      <w:r w:rsidRPr="00480379">
        <w:rPr>
          <w:rStyle w:val="ac"/>
        </w:rPr>
        <w:footnoteReference w:id="44"/>
      </w:r>
      <w:r w:rsidRPr="00480379">
        <w:t xml:space="preserve"> δεν ενισχύουν παρεμβάσεις εξοικονόμησης ενέργειας στον οικιακό τομέα.</w:t>
      </w:r>
    </w:p>
    <w:p w14:paraId="36C1D82C" w14:textId="77777777" w:rsidR="000F0416" w:rsidRPr="00480379" w:rsidRDefault="000F0416" w:rsidP="000F0416">
      <w:pPr>
        <w:pStyle w:val="a3"/>
        <w:numPr>
          <w:ilvl w:val="0"/>
          <w:numId w:val="40"/>
        </w:numPr>
        <w:spacing w:line="360" w:lineRule="auto"/>
      </w:pPr>
      <w:r w:rsidRPr="00480379">
        <w:t xml:space="preserve">Να επενδύσει στο κεφάλαιο </w:t>
      </w:r>
      <w:r>
        <w:t>μίας</w:t>
      </w:r>
      <w:r w:rsidRPr="00480379">
        <w:t xml:space="preserve"> υφιστάμεν</w:t>
      </w:r>
      <w:r>
        <w:t>ης</w:t>
      </w:r>
      <w:r w:rsidRPr="00480379">
        <w:t xml:space="preserve"> νομικής οντότητας. Η δυνατότητα αυτή </w:t>
      </w:r>
      <w:r>
        <w:t xml:space="preserve">υπό κατάλληλες συνθήκες θα μπορούσε να </w:t>
      </w:r>
      <w:r w:rsidRPr="00480379">
        <w:t xml:space="preserve">είναι </w:t>
      </w:r>
      <w:r>
        <w:t xml:space="preserve">περισσότερο </w:t>
      </w:r>
      <w:r w:rsidRPr="00480379">
        <w:t xml:space="preserve">αποδοτική </w:t>
      </w:r>
      <w:r>
        <w:t>στην περίπτωση που αξιοποιούνταν</w:t>
      </w:r>
      <w:r w:rsidRPr="00480379">
        <w:t xml:space="preserve"> οι επιστρεπτέες ενισχύσεις από το υφιστάμενο ταμείο «</w:t>
      </w:r>
      <w:r>
        <w:t>Ε</w:t>
      </w:r>
      <w:r w:rsidRPr="00480379">
        <w:t xml:space="preserve">ξοικονομώ </w:t>
      </w:r>
      <w:proofErr w:type="spellStart"/>
      <w:r w:rsidRPr="00480379">
        <w:t>κατ΄</w:t>
      </w:r>
      <w:r>
        <w:t>Ο</w:t>
      </w:r>
      <w:r w:rsidRPr="00480379">
        <w:t>ίκον</w:t>
      </w:r>
      <w:proofErr w:type="spellEnd"/>
      <w:r>
        <w:t xml:space="preserve"> Ι», ιδιαίτερα καθώς </w:t>
      </w:r>
      <w:r w:rsidRPr="00480379">
        <w:t xml:space="preserve">στην </w:t>
      </w:r>
      <w:r>
        <w:t>σχετική</w:t>
      </w:r>
      <w:r w:rsidRPr="00480379">
        <w:t xml:space="preserve"> συμφωνία χρηματοδότησής</w:t>
      </w:r>
      <w:r>
        <w:t xml:space="preserve"> προβλεπόταν η</w:t>
      </w:r>
      <w:r w:rsidRPr="00480379">
        <w:t xml:space="preserve"> επανατοποθέτηση κεφαλαίων για παρεμβάσεις εξοικονόμησης ενέργειας στον οικιακό τομέα. </w:t>
      </w:r>
      <w:r>
        <w:t>Τα κεφάλαια όμως αυτά από τις επιστροφές αξιοποιήθηκαν νωρίτερα για τα «Ενδιάμεσα Προγράμματα». Στην απόφαση να ιδρυθεί νέο Ταμείο συνετέλεσαν επιπλέον και οι ανάγκες διαχείρισης με βάση τους νέους κανονισμούς.</w:t>
      </w:r>
      <w:r w:rsidRPr="00480379">
        <w:t xml:space="preserve"> </w:t>
      </w:r>
    </w:p>
    <w:p w14:paraId="458ED3F2" w14:textId="77777777" w:rsidR="00C07DB8" w:rsidRPr="00480379" w:rsidRDefault="001D43EB" w:rsidP="00C07DB8">
      <w:pPr>
        <w:pStyle w:val="a3"/>
        <w:numPr>
          <w:ilvl w:val="0"/>
          <w:numId w:val="40"/>
        </w:numPr>
        <w:spacing w:line="360" w:lineRule="auto"/>
      </w:pPr>
      <w:r>
        <w:t>Σ</w:t>
      </w:r>
      <w:r w:rsidRPr="00480379">
        <w:t xml:space="preserve">την περίπτωση που δεν </w:t>
      </w:r>
      <w:proofErr w:type="spellStart"/>
      <w:r w:rsidRPr="00480379">
        <w:t>συνεπενδύσει</w:t>
      </w:r>
      <w:proofErr w:type="spellEnd"/>
      <w:r w:rsidRPr="00480379">
        <w:t xml:space="preserve"> στο υφιστάμενο ταμείο «εξοικονομώ </w:t>
      </w:r>
      <w:r>
        <w:t>Ι</w:t>
      </w:r>
      <w:r w:rsidRPr="00480379">
        <w:t>»</w:t>
      </w:r>
      <w:r>
        <w:t>, ν</w:t>
      </w:r>
      <w:r w:rsidR="00C07DB8" w:rsidRPr="00480379">
        <w:t xml:space="preserve">α αναθέσει την υλοποίηση εργασιών σε </w:t>
      </w:r>
      <w:r w:rsidR="000F0416">
        <w:t>τρίτο</w:t>
      </w:r>
      <w:r w:rsidR="00C07DB8" w:rsidRPr="00480379">
        <w:t xml:space="preserve"> νομικό πρόσωπο.</w:t>
      </w:r>
      <w:r w:rsidR="000F0416">
        <w:t xml:space="preserve"> </w:t>
      </w:r>
      <w:r w:rsidRPr="00480379">
        <w:rPr>
          <w:lang w:val="en-US"/>
        </w:rPr>
        <w:t>H</w:t>
      </w:r>
      <w:r w:rsidRPr="00480379">
        <w:t xml:space="preserve"> επιλογή αυτή</w:t>
      </w:r>
      <w:r>
        <w:t xml:space="preserve"> </w:t>
      </w:r>
      <w:r w:rsidR="00054688">
        <w:t>υπέδειξε</w:t>
      </w:r>
      <w:r w:rsidRPr="00480379">
        <w:t xml:space="preserve"> </w:t>
      </w:r>
      <w:r>
        <w:t xml:space="preserve">προς την κατεύθυνση του </w:t>
      </w:r>
      <w:r w:rsidRPr="00480379">
        <w:t>διαχειριστή του ταμείου «</w:t>
      </w:r>
      <w:r>
        <w:t>Ε</w:t>
      </w:r>
      <w:r w:rsidRPr="00480379">
        <w:t xml:space="preserve">ξοικονομώ </w:t>
      </w:r>
      <w:r>
        <w:t>Ι</w:t>
      </w:r>
      <w:r w:rsidRPr="00480379">
        <w:t xml:space="preserve">» </w:t>
      </w:r>
      <w:r>
        <w:t xml:space="preserve">ΕΑΤ Α.Ε. (πρώην ΕΤΕΑΝ Α.Ε.) </w:t>
      </w:r>
      <w:r w:rsidR="00054688">
        <w:t>βασιζόμενη</w:t>
      </w:r>
      <w:r>
        <w:t xml:space="preserve"> στην εμπειρία του, καθόσον </w:t>
      </w:r>
      <w:r w:rsidRPr="00480379">
        <w:t>η πλειονότητα των δραστηριοτήτων του φορέα επικεντρώνεται στην υλοποίηση</w:t>
      </w:r>
      <w:r>
        <w:t xml:space="preserve"> </w:t>
      </w:r>
      <w:r w:rsidR="005E65CC">
        <w:t>Χρηματοοικονομικών Εργαλείων</w:t>
      </w:r>
      <w:r>
        <w:t xml:space="preserve">. </w:t>
      </w:r>
    </w:p>
    <w:p w14:paraId="1365BB17" w14:textId="77777777" w:rsidR="00C07DB8" w:rsidRPr="00480379" w:rsidRDefault="00C07DB8" w:rsidP="00C07DB8">
      <w:pPr>
        <w:pStyle w:val="a3"/>
        <w:numPr>
          <w:ilvl w:val="0"/>
          <w:numId w:val="40"/>
        </w:numPr>
        <w:spacing w:line="360" w:lineRule="auto"/>
      </w:pPr>
      <w:r w:rsidRPr="00480379">
        <w:t xml:space="preserve">Να αναλάβει την διαχείριση του μέσου απευθείας χωρίς τον ορισμό </w:t>
      </w:r>
      <w:r w:rsidRPr="00480379">
        <w:rPr>
          <w:lang w:val="en-US"/>
        </w:rPr>
        <w:t>fund</w:t>
      </w:r>
      <w:r w:rsidRPr="00480379">
        <w:t xml:space="preserve"> </w:t>
      </w:r>
      <w:r w:rsidRPr="00480379">
        <w:rPr>
          <w:lang w:val="en-US"/>
        </w:rPr>
        <w:t>manager</w:t>
      </w:r>
      <w:r w:rsidRPr="00480379">
        <w:t>. Η επιλογή αυτή δεν προκρίνεται καθώς:</w:t>
      </w:r>
    </w:p>
    <w:p w14:paraId="40C72278" w14:textId="77777777" w:rsidR="00C07DB8" w:rsidRPr="00480379" w:rsidRDefault="00C07DB8" w:rsidP="001D43EB">
      <w:pPr>
        <w:pStyle w:val="a3"/>
        <w:numPr>
          <w:ilvl w:val="0"/>
          <w:numId w:val="43"/>
        </w:numPr>
        <w:spacing w:line="360" w:lineRule="auto"/>
      </w:pPr>
      <w:r w:rsidRPr="00480379">
        <w:t>η Διαχειριστική Αρχή δεν διαθέτει τον απαραίτητο αριθμό εργαζομένων για την διεκπεραίωση όλων των απαιτούμενων εργασιών που διενεργεί ο διαχειριστής του ταμείου</w:t>
      </w:r>
      <w:r w:rsidR="001D43EB">
        <w:t>.</w:t>
      </w:r>
    </w:p>
    <w:p w14:paraId="32822984" w14:textId="77777777" w:rsidR="00C07DB8" w:rsidRPr="00480379" w:rsidRDefault="00C07DB8" w:rsidP="001D43EB">
      <w:pPr>
        <w:pStyle w:val="a3"/>
        <w:numPr>
          <w:ilvl w:val="0"/>
          <w:numId w:val="43"/>
        </w:numPr>
        <w:spacing w:line="360" w:lineRule="auto"/>
      </w:pPr>
      <w:r w:rsidRPr="00480379">
        <w:t>οι Δ.Α. δεν επιτρέπεται από το θεσμικό πλαίσιο να εκτελούν πιστωτικές εργασίες</w:t>
      </w:r>
      <w:r w:rsidR="001D43EB">
        <w:t>.</w:t>
      </w:r>
    </w:p>
    <w:p w14:paraId="467F7136" w14:textId="77777777" w:rsidR="00C07DB8" w:rsidRPr="00480379" w:rsidRDefault="00C07DB8" w:rsidP="001D43EB">
      <w:pPr>
        <w:pStyle w:val="a3"/>
        <w:numPr>
          <w:ilvl w:val="0"/>
          <w:numId w:val="43"/>
        </w:numPr>
        <w:spacing w:line="360" w:lineRule="auto"/>
      </w:pPr>
      <w:r w:rsidRPr="00480379">
        <w:t>θα πρέπει η Διαχειριστική Αρχή να ενισχυθεί εκτός από προσωπικό και από την κατάλληλη υλικοτεχνική υποδομή</w:t>
      </w:r>
      <w:r w:rsidR="001D43EB">
        <w:t>.</w:t>
      </w:r>
    </w:p>
    <w:p w14:paraId="222710AA" w14:textId="77777777" w:rsidR="00C07DB8" w:rsidRPr="00480379" w:rsidRDefault="00C07DB8" w:rsidP="001D43EB">
      <w:pPr>
        <w:pStyle w:val="a3"/>
        <w:numPr>
          <w:ilvl w:val="0"/>
          <w:numId w:val="43"/>
        </w:numPr>
        <w:spacing w:line="360" w:lineRule="auto"/>
      </w:pPr>
      <w:r w:rsidRPr="00480379">
        <w:t xml:space="preserve">οι δαπάνες προσωπικού και προμήθειας κατάλληλης υλικοτεχνικής υποδομής θα </w:t>
      </w:r>
      <w:r w:rsidR="001D43EB">
        <w:t>έπρεπε</w:t>
      </w:r>
      <w:r w:rsidRPr="00480379">
        <w:t xml:space="preserve"> να καλυφθούν από τον άξονα τεχνικής βοήθειας καθώς δεν θεωρούνται σε αυτήν την περίπτωση έξοδα διαχείρισης του μέσου. Με την παρούσα δομή του επιχειρησιακού προγράμματος δεν υπάρχει η δυνατότητα κάλυψης αυτών των δαπανών από τον άξονα τεχνικής βοήθειας.</w:t>
      </w:r>
    </w:p>
    <w:p w14:paraId="4FB720C0" w14:textId="77777777" w:rsidR="00C07DB8" w:rsidRPr="00480379" w:rsidRDefault="00C07DB8" w:rsidP="00C07DB8">
      <w:pPr>
        <w:spacing w:line="360" w:lineRule="auto"/>
      </w:pPr>
      <w:r w:rsidRPr="00480379">
        <w:t>Το υφιστάμενο σχήμα υλοποίησης του μέσου αποτυπώνεται στο ακόλουθο διάγραμμα:</w:t>
      </w:r>
    </w:p>
    <w:p w14:paraId="3F703B2B" w14:textId="77777777" w:rsidR="00C07DB8" w:rsidRPr="00480379" w:rsidRDefault="00C07DB8" w:rsidP="00C07DB8">
      <w:pPr>
        <w:spacing w:line="360" w:lineRule="auto"/>
      </w:pPr>
      <w:r w:rsidRPr="00480379">
        <w:rPr>
          <w:noProof/>
          <w:lang w:eastAsia="el-GR"/>
        </w:rPr>
        <w:lastRenderedPageBreak/>
        <mc:AlternateContent>
          <mc:Choice Requires="wps">
            <w:drawing>
              <wp:anchor distT="0" distB="0" distL="114300" distR="114300" simplePos="0" relativeHeight="251695104" behindDoc="0" locked="0" layoutInCell="1" allowOverlap="1" wp14:anchorId="6C2D1D5E" wp14:editId="19CC8BDF">
                <wp:simplePos x="0" y="0"/>
                <wp:positionH relativeFrom="column">
                  <wp:posOffset>4216400</wp:posOffset>
                </wp:positionH>
                <wp:positionV relativeFrom="paragraph">
                  <wp:posOffset>736600</wp:posOffset>
                </wp:positionV>
                <wp:extent cx="1662430" cy="685800"/>
                <wp:effectExtent l="0" t="0" r="0" b="0"/>
                <wp:wrapNone/>
                <wp:docPr id="31" name="TextBox 219"/>
                <wp:cNvGraphicFramePr/>
                <a:graphic xmlns:a="http://schemas.openxmlformats.org/drawingml/2006/main">
                  <a:graphicData uri="http://schemas.microsoft.com/office/word/2010/wordprocessingShape">
                    <wps:wsp>
                      <wps:cNvSpPr txBox="1"/>
                      <wps:spPr>
                        <a:xfrm>
                          <a:off x="0" y="0"/>
                          <a:ext cx="1662430" cy="685800"/>
                        </a:xfrm>
                        <a:prstGeom prst="rect">
                          <a:avLst/>
                        </a:prstGeom>
                        <a:noFill/>
                        <a:ln w="25400" cap="flat" cmpd="sng" algn="ctr">
                          <a:noFill/>
                          <a:prstDash val="solid"/>
                        </a:ln>
                        <a:effectLst/>
                      </wps:spPr>
                      <wps:txbx>
                        <w:txbxContent>
                          <w:p w14:paraId="553C6047" w14:textId="77777777" w:rsidR="00A34E5B" w:rsidRPr="003745AD" w:rsidRDefault="00A34E5B" w:rsidP="00C07DB8">
                            <w:pPr>
                              <w:spacing w:before="0" w:after="0" w:line="240" w:lineRule="auto"/>
                              <w:rPr>
                                <w:sz w:val="18"/>
                                <w:szCs w:val="18"/>
                              </w:rPr>
                            </w:pPr>
                            <w:r w:rsidRPr="003745AD">
                              <w:rPr>
                                <w:sz w:val="18"/>
                                <w:szCs w:val="18"/>
                              </w:rPr>
                              <w:t xml:space="preserve">Πόροι ΕΔΕΤ ύψους </w:t>
                            </w:r>
                            <w:r>
                              <w:rPr>
                                <w:sz w:val="18"/>
                                <w:szCs w:val="18"/>
                              </w:rPr>
                              <w:t xml:space="preserve">88 </w:t>
                            </w:r>
                            <w:r w:rsidRPr="003745AD">
                              <w:rPr>
                                <w:sz w:val="18"/>
                                <w:szCs w:val="18"/>
                              </w:rPr>
                              <w:t>εκ.€</w:t>
                            </w:r>
                            <w:r>
                              <w:rPr>
                                <w:sz w:val="18"/>
                                <w:szCs w:val="18"/>
                              </w:rPr>
                              <w:t xml:space="preserve"> για την ολοκλήρωση και του Β’ Κύκλου του Προγράμματος «Εξοικονομώ κατ’ </w:t>
                            </w:r>
                            <w:proofErr w:type="spellStart"/>
                            <w:r>
                              <w:rPr>
                                <w:sz w:val="18"/>
                                <w:szCs w:val="18"/>
                              </w:rPr>
                              <w:t>Οίκον</w:t>
                            </w:r>
                            <w:proofErr w:type="spellEnd"/>
                            <w:r>
                              <w:rPr>
                                <w:sz w:val="18"/>
                                <w:szCs w:val="18"/>
                              </w:rPr>
                              <w:t xml:space="preserve"> ΙΙ»</w:t>
                            </w:r>
                          </w:p>
                        </w:txbxContent>
                      </wps:txbx>
                      <wps:bodyPr wrap="square" rtlCol="0" anchor="ctr" anchorCtr="0">
                        <a:noAutofit/>
                      </wps:bodyPr>
                    </wps:wsp>
                  </a:graphicData>
                </a:graphic>
                <wp14:sizeRelV relativeFrom="margin">
                  <wp14:pctHeight>0</wp14:pctHeight>
                </wp14:sizeRelV>
              </wp:anchor>
            </w:drawing>
          </mc:Choice>
          <mc:Fallback>
            <w:pict>
              <v:shapetype w14:anchorId="6C2D1D5E" id="_x0000_t202" coordsize="21600,21600" o:spt="202" path="m,l,21600r21600,l21600,xe">
                <v:stroke joinstyle="miter"/>
                <v:path gradientshapeok="t" o:connecttype="rect"/>
              </v:shapetype>
              <v:shape id="TextBox 219" o:spid="_x0000_s1035" type="#_x0000_t202" style="position:absolute;left:0;text-align:left;margin-left:332pt;margin-top:58pt;width:130.9pt;height:5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" filled="f" stroked="f" strokeweight="2pt">
                <v:textbox>
                  <w:txbxContent>
                    <w:p w14:paraId="553C6047" w14:textId="77777777" w:rsidR="00A34E5B" w:rsidRPr="003745AD" w:rsidRDefault="00A34E5B" w:rsidP="00C07DB8">
                      <w:pPr>
                        <w:spacing w:before="0" w:after="0" w:line="240" w:lineRule="auto"/>
                        <w:rPr>
                          <w:sz w:val="18"/>
                          <w:szCs w:val="18"/>
                        </w:rPr>
                      </w:pPr>
                      <w:r w:rsidRPr="003745AD">
                        <w:rPr>
                          <w:sz w:val="18"/>
                          <w:szCs w:val="18"/>
                        </w:rPr>
                        <w:t xml:space="preserve">Πόροι ΕΔΕΤ ύψους </w:t>
                      </w:r>
                      <w:r>
                        <w:rPr>
                          <w:sz w:val="18"/>
                          <w:szCs w:val="18"/>
                        </w:rPr>
                        <w:t xml:space="preserve">88 </w:t>
                      </w:r>
                      <w:r w:rsidRPr="003745AD">
                        <w:rPr>
                          <w:sz w:val="18"/>
                          <w:szCs w:val="18"/>
                        </w:rPr>
                        <w:t>εκ.€</w:t>
                      </w:r>
                      <w:r>
                        <w:rPr>
                          <w:sz w:val="18"/>
                          <w:szCs w:val="18"/>
                        </w:rPr>
                        <w:t xml:space="preserve"> για την ολοκλήρωση και του Β’ Κύκλου του Προγράμματος «Εξοικονομώ κατ’ Οίκον ΙΙ»</w:t>
                      </w:r>
                    </w:p>
                  </w:txbxContent>
                </v:textbox>
              </v:shape>
            </w:pict>
          </mc:Fallback>
        </mc:AlternateContent>
      </w:r>
      <w:r w:rsidRPr="00480379">
        <w:rPr>
          <w:noProof/>
          <w:lang w:eastAsia="el-GR"/>
        </w:rPr>
        <mc:AlternateContent>
          <mc:Choice Requires="wps">
            <w:drawing>
              <wp:anchor distT="0" distB="0" distL="114300" distR="114300" simplePos="0" relativeHeight="251697152" behindDoc="0" locked="0" layoutInCell="1" allowOverlap="1" wp14:anchorId="571EB311" wp14:editId="4FC870D6">
                <wp:simplePos x="0" y="0"/>
                <wp:positionH relativeFrom="column">
                  <wp:posOffset>5172074</wp:posOffset>
                </wp:positionH>
                <wp:positionV relativeFrom="paragraph">
                  <wp:posOffset>1638300</wp:posOffset>
                </wp:positionV>
                <wp:extent cx="1062355" cy="609600"/>
                <wp:effectExtent l="0" t="0" r="0" b="0"/>
                <wp:wrapNone/>
                <wp:docPr id="46" name="TextBox 219"/>
                <wp:cNvGraphicFramePr/>
                <a:graphic xmlns:a="http://schemas.openxmlformats.org/drawingml/2006/main">
                  <a:graphicData uri="http://schemas.microsoft.com/office/word/2010/wordprocessingShape">
                    <wps:wsp>
                      <wps:cNvSpPr txBox="1"/>
                      <wps:spPr>
                        <a:xfrm>
                          <a:off x="0" y="0"/>
                          <a:ext cx="1062355" cy="609600"/>
                        </a:xfrm>
                        <a:prstGeom prst="rect">
                          <a:avLst/>
                        </a:prstGeom>
                        <a:noFill/>
                        <a:ln w="25400" cap="flat" cmpd="sng" algn="ctr">
                          <a:noFill/>
                          <a:prstDash val="solid"/>
                        </a:ln>
                        <a:effectLst/>
                      </wps:spPr>
                      <wps:txbx>
                        <w:txbxContent>
                          <w:p w14:paraId="0EEA5CDF" w14:textId="77777777" w:rsidR="00A34E5B" w:rsidRPr="00095A8F" w:rsidRDefault="00A34E5B" w:rsidP="00C07DB8">
                            <w:pPr>
                              <w:pStyle w:val="Web"/>
                              <w:rPr>
                                <w:rFonts w:asciiTheme="minorHAnsi" w:hAnsiTheme="minorHAnsi"/>
                                <w:sz w:val="18"/>
                                <w:szCs w:val="18"/>
                                <w:lang w:val="el-GR"/>
                              </w:rPr>
                            </w:pPr>
                            <w:r w:rsidRPr="00095A8F">
                              <w:rPr>
                                <w:rFonts w:asciiTheme="minorHAnsi" w:hAnsiTheme="minorHAnsi"/>
                                <w:sz w:val="18"/>
                                <w:szCs w:val="18"/>
                                <w:lang w:val="el-GR"/>
                              </w:rPr>
                              <w:t xml:space="preserve">Ιδιωτική </w:t>
                            </w:r>
                            <w:proofErr w:type="spellStart"/>
                            <w:r w:rsidRPr="00095A8F">
                              <w:rPr>
                                <w:rFonts w:asciiTheme="minorHAnsi" w:hAnsiTheme="minorHAnsi"/>
                                <w:sz w:val="18"/>
                                <w:szCs w:val="18"/>
                                <w:lang w:val="el-GR"/>
                              </w:rPr>
                              <w:t>συνεπένδυση</w:t>
                            </w:r>
                            <w:proofErr w:type="spellEnd"/>
                            <w:r w:rsidRPr="00095A8F">
                              <w:rPr>
                                <w:rFonts w:asciiTheme="minorHAnsi" w:hAnsiTheme="minorHAnsi"/>
                                <w:sz w:val="18"/>
                                <w:szCs w:val="18"/>
                                <w:lang w:val="el-GR"/>
                              </w:rPr>
                              <w:t xml:space="preserve"> </w:t>
                            </w:r>
                            <w:r>
                              <w:rPr>
                                <w:rFonts w:asciiTheme="minorHAnsi" w:hAnsiTheme="minorHAnsi"/>
                                <w:sz w:val="18"/>
                                <w:szCs w:val="18"/>
                                <w:lang w:val="el-GR"/>
                              </w:rPr>
                              <w:t xml:space="preserve"> των ΕΧΟ </w:t>
                            </w:r>
                            <w:r w:rsidRPr="00095A8F">
                              <w:rPr>
                                <w:rFonts w:asciiTheme="minorHAnsi" w:hAnsiTheme="minorHAnsi"/>
                                <w:sz w:val="18"/>
                                <w:szCs w:val="18"/>
                                <w:lang w:val="el-GR"/>
                              </w:rPr>
                              <w:t>(</w:t>
                            </w:r>
                            <w:r w:rsidRPr="001D763E">
                              <w:rPr>
                                <w:rFonts w:asciiTheme="minorHAnsi" w:hAnsiTheme="minorHAnsi"/>
                                <w:sz w:val="18"/>
                                <w:szCs w:val="18"/>
                                <w:lang w:val="en-US"/>
                              </w:rPr>
                              <w:t>leverage</w:t>
                            </w:r>
                            <w:r w:rsidRPr="00095A8F">
                              <w:rPr>
                                <w:rFonts w:asciiTheme="minorHAnsi" w:hAnsiTheme="minorHAnsi"/>
                                <w:sz w:val="18"/>
                                <w:szCs w:val="18"/>
                                <w:lang w:val="el-GR"/>
                              </w:rPr>
                              <w:t xml:space="preserve"> 2)</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1EB311" id="_x0000_s1036" type="#_x0000_t202" style="position:absolute;left:0;text-align:left;margin-left:407.25pt;margin-top:129pt;width:83.6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" filled="f" stroked="f" strokeweight="2pt">
                <v:textbox>
                  <w:txbxContent>
                    <w:p w14:paraId="0EEA5CDF" w14:textId="77777777" w:rsidR="00A34E5B" w:rsidRPr="00095A8F" w:rsidRDefault="00A34E5B" w:rsidP="00C07DB8">
                      <w:pPr>
                        <w:pStyle w:val="NormalWeb"/>
                        <w:rPr>
                          <w:rFonts w:asciiTheme="minorHAnsi" w:hAnsiTheme="minorHAnsi"/>
                          <w:sz w:val="18"/>
                          <w:szCs w:val="18"/>
                          <w:lang w:val="el-GR"/>
                        </w:rPr>
                      </w:pPr>
                      <w:r w:rsidRPr="00095A8F">
                        <w:rPr>
                          <w:rFonts w:asciiTheme="minorHAnsi" w:hAnsiTheme="minorHAnsi"/>
                          <w:sz w:val="18"/>
                          <w:szCs w:val="18"/>
                          <w:lang w:val="el-GR"/>
                        </w:rPr>
                        <w:t xml:space="preserve">Ιδιωτική συνεπένδυση </w:t>
                      </w:r>
                      <w:r>
                        <w:rPr>
                          <w:rFonts w:asciiTheme="minorHAnsi" w:hAnsiTheme="minorHAnsi"/>
                          <w:sz w:val="18"/>
                          <w:szCs w:val="18"/>
                          <w:lang w:val="el-GR"/>
                        </w:rPr>
                        <w:t xml:space="preserve"> των ΕΧΟ </w:t>
                      </w:r>
                      <w:r w:rsidRPr="00095A8F">
                        <w:rPr>
                          <w:rFonts w:asciiTheme="minorHAnsi" w:hAnsiTheme="minorHAnsi"/>
                          <w:sz w:val="18"/>
                          <w:szCs w:val="18"/>
                          <w:lang w:val="el-GR"/>
                        </w:rPr>
                        <w:t>(</w:t>
                      </w:r>
                      <w:r w:rsidRPr="001D763E">
                        <w:rPr>
                          <w:rFonts w:asciiTheme="minorHAnsi" w:hAnsiTheme="minorHAnsi"/>
                          <w:sz w:val="18"/>
                          <w:szCs w:val="18"/>
                          <w:lang w:val="en-US"/>
                        </w:rPr>
                        <w:t>leverage</w:t>
                      </w:r>
                      <w:r w:rsidRPr="00095A8F">
                        <w:rPr>
                          <w:rFonts w:asciiTheme="minorHAnsi" w:hAnsiTheme="minorHAnsi"/>
                          <w:sz w:val="18"/>
                          <w:szCs w:val="18"/>
                          <w:lang w:val="el-GR"/>
                        </w:rPr>
                        <w:t xml:space="preserve"> 2)</w:t>
                      </w:r>
                    </w:p>
                  </w:txbxContent>
                </v:textbox>
              </v:shape>
            </w:pict>
          </mc:Fallback>
        </mc:AlternateContent>
      </w:r>
      <w:r w:rsidRPr="00480379">
        <w:rPr>
          <w:noProof/>
          <w:lang w:eastAsia="el-GR"/>
        </w:rPr>
        <mc:AlternateContent>
          <mc:Choice Requires="wps">
            <w:drawing>
              <wp:anchor distT="0" distB="0" distL="114300" distR="114300" simplePos="0" relativeHeight="251696128" behindDoc="0" locked="0" layoutInCell="1" allowOverlap="1" wp14:anchorId="579D9D87" wp14:editId="54B13170">
                <wp:simplePos x="0" y="0"/>
                <wp:positionH relativeFrom="column">
                  <wp:posOffset>4572000</wp:posOffset>
                </wp:positionH>
                <wp:positionV relativeFrom="paragraph">
                  <wp:posOffset>1866899</wp:posOffset>
                </wp:positionV>
                <wp:extent cx="552450" cy="162561"/>
                <wp:effectExtent l="19050" t="19050" r="19050" b="46990"/>
                <wp:wrapNone/>
                <wp:docPr id="47" name="Striped Right Arrow 47"/>
                <wp:cNvGraphicFramePr/>
                <a:graphic xmlns:a="http://schemas.openxmlformats.org/drawingml/2006/main">
                  <a:graphicData uri="http://schemas.microsoft.com/office/word/2010/wordprocessingShape">
                    <wps:wsp>
                      <wps:cNvSpPr/>
                      <wps:spPr>
                        <a:xfrm rot="10800000">
                          <a:off x="0" y="0"/>
                          <a:ext cx="552450" cy="162561"/>
                        </a:xfrm>
                        <a:prstGeom prst="stripedRightArrow">
                          <a:avLst/>
                        </a:prstGeom>
                        <a:solidFill>
                          <a:srgbClr val="4F81BD"/>
                        </a:solidFill>
                        <a:ln w="25400" cap="flat" cmpd="sng" algn="ctr">
                          <a:solidFill>
                            <a:srgbClr val="4F81BD">
                              <a:shade val="50000"/>
                            </a:srgbClr>
                          </a:solidFill>
                          <a:prstDash val="solid"/>
                        </a:ln>
                        <a:effectLst/>
                      </wps:spPr>
                      <wps:bodyPr rtlCol="0" anchor="ctr" anchorCtr="0"/>
                    </wps:wsp>
                  </a:graphicData>
                </a:graphic>
                <wp14:sizeRelH relativeFrom="margin">
                  <wp14:pctWidth>0</wp14:pctWidth>
                </wp14:sizeRelH>
              </wp:anchor>
            </w:drawing>
          </mc:Choice>
          <mc:Fallback>
            <w:pict>
              <v:shapetype w14:anchorId="65D3B2B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7" o:spid="_x0000_s1026" type="#_x0000_t93" style="position:absolute;margin-left:5in;margin-top:147pt;width:43.5pt;height:12.8pt;rotation:18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" adj="18422" fillcolor="#4f81bd" strokecolor="#385d8a" strokeweight="2pt"/>
            </w:pict>
          </mc:Fallback>
        </mc:AlternateContent>
      </w:r>
      <w:r w:rsidRPr="00480379">
        <w:rPr>
          <w:noProof/>
          <w:lang w:eastAsia="el-GR"/>
        </w:rPr>
        <mc:AlternateContent>
          <mc:Choice Requires="wps">
            <w:drawing>
              <wp:anchor distT="0" distB="0" distL="114300" distR="114300" simplePos="0" relativeHeight="251694080" behindDoc="0" locked="0" layoutInCell="1" allowOverlap="1" wp14:anchorId="2CC27705" wp14:editId="3B5CD2C8">
                <wp:simplePos x="0" y="0"/>
                <wp:positionH relativeFrom="column">
                  <wp:posOffset>3254375</wp:posOffset>
                </wp:positionH>
                <wp:positionV relativeFrom="paragraph">
                  <wp:posOffset>1022350</wp:posOffset>
                </wp:positionV>
                <wp:extent cx="865240" cy="162677"/>
                <wp:effectExtent l="19050" t="19050" r="11430" b="46990"/>
                <wp:wrapNone/>
                <wp:docPr id="48" name="Striped Right Arrow 48"/>
                <wp:cNvGraphicFramePr/>
                <a:graphic xmlns:a="http://schemas.openxmlformats.org/drawingml/2006/main">
                  <a:graphicData uri="http://schemas.microsoft.com/office/word/2010/wordprocessingShape">
                    <wps:wsp>
                      <wps:cNvSpPr/>
                      <wps:spPr>
                        <a:xfrm rot="10800000">
                          <a:off x="0" y="0"/>
                          <a:ext cx="865240" cy="162677"/>
                        </a:xfrm>
                        <a:prstGeom prst="stripedRightArrow">
                          <a:avLst/>
                        </a:prstGeom>
                        <a:solidFill>
                          <a:srgbClr val="4F81BD"/>
                        </a:solidFill>
                        <a:ln w="25400" cap="flat" cmpd="sng" algn="ctr">
                          <a:solidFill>
                            <a:srgbClr val="4F81BD">
                              <a:shade val="50000"/>
                            </a:srgbClr>
                          </a:solidFill>
                          <a:prstDash val="solid"/>
                        </a:ln>
                        <a:effectLst/>
                      </wps:spPr>
                      <wps:bodyPr rtlCol="0" anchor="ctr" anchorCtr="0"/>
                    </wps:wsp>
                  </a:graphicData>
                </a:graphic>
              </wp:anchor>
            </w:drawing>
          </mc:Choice>
          <mc:Fallback>
            <w:pict>
              <v:shape w14:anchorId="0AC25C2C" id="Striped Right Arrow 48" o:spid="_x0000_s1026" type="#_x0000_t93" style="position:absolute;margin-left:256.25pt;margin-top:80.5pt;width:68.15pt;height:12.8pt;rotation:18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" adj="19569" fillcolor="#4f81bd" strokecolor="#385d8a" strokeweight="2pt"/>
            </w:pict>
          </mc:Fallback>
        </mc:AlternateContent>
      </w:r>
      <w:r w:rsidRPr="00480379">
        <w:rPr>
          <w:noProof/>
          <w:lang w:eastAsia="el-GR"/>
        </w:rPr>
        <w:drawing>
          <wp:inline distT="0" distB="0" distL="0" distR="0" wp14:anchorId="730F25EF" wp14:editId="272F3584">
            <wp:extent cx="5236210" cy="3057525"/>
            <wp:effectExtent l="0" t="0" r="0" b="952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F9ABD28" w14:textId="77777777" w:rsidR="00C07DB8" w:rsidRPr="00480379" w:rsidRDefault="00C07DB8" w:rsidP="00C07DB8">
      <w:pPr>
        <w:spacing w:line="360" w:lineRule="auto"/>
      </w:pPr>
    </w:p>
    <w:p w14:paraId="7E578DE1" w14:textId="77777777" w:rsidR="00C07DB8" w:rsidRPr="00480379" w:rsidRDefault="00C07DB8" w:rsidP="0081008F">
      <w:pPr>
        <w:spacing w:line="360" w:lineRule="auto"/>
      </w:pPr>
      <w:r w:rsidRPr="00480379">
        <w:t>Σύμφωνα με τις διατάξεις της παραγράφου 1 του άρθρου 37 του κανονισμού 1303/2013:</w:t>
      </w:r>
    </w:p>
    <w:p w14:paraId="7FEAF595" w14:textId="77777777" w:rsidR="00C07DB8" w:rsidRPr="00480379" w:rsidRDefault="00C07DB8" w:rsidP="0081008F">
      <w:pPr>
        <w:pStyle w:val="CM1"/>
        <w:spacing w:line="360" w:lineRule="auto"/>
        <w:rPr>
          <w:rFonts w:asciiTheme="minorHAnsi" w:hAnsiTheme="minorHAnsi"/>
          <w:sz w:val="22"/>
          <w:szCs w:val="22"/>
        </w:rPr>
      </w:pPr>
      <w:r w:rsidRPr="00480379">
        <w:rPr>
          <w:rFonts w:asciiTheme="minorHAnsi" w:hAnsiTheme="minorHAnsi"/>
          <w:sz w:val="22"/>
          <w:szCs w:val="22"/>
        </w:rPr>
        <w:t>«</w:t>
      </w:r>
      <w:r w:rsidR="002C2756">
        <w:rPr>
          <w:rFonts w:asciiTheme="minorHAnsi" w:hAnsiTheme="minorHAnsi"/>
          <w:sz w:val="22"/>
          <w:szCs w:val="22"/>
        </w:rPr>
        <w:t>Ο</w:t>
      </w:r>
      <w:r w:rsidRPr="00480379">
        <w:rPr>
          <w:rFonts w:asciiTheme="minorHAnsi" w:hAnsiTheme="minorHAnsi"/>
          <w:sz w:val="22"/>
          <w:szCs w:val="22"/>
        </w:rPr>
        <w:t>ι διαχειριστικές αρχές, οι φορείς που διαχειρίζονται τα ταμεία χαρτοφυλακίου, καθώς και οι φορείς που υλοποιούν μέσα χρηματοοικονομικής τεχνικής συμμορφώνονται με το εφαρμοστέο δίκαιο, ιδίως όσον αφορά τις κρατικές ενισχύσεις και την ανάθεση δημοσίων συμβάσεων»</w:t>
      </w:r>
      <w:r w:rsidR="0081008F">
        <w:rPr>
          <w:rFonts w:asciiTheme="minorHAnsi" w:hAnsiTheme="minorHAnsi"/>
          <w:sz w:val="22"/>
          <w:szCs w:val="22"/>
        </w:rPr>
        <w:t xml:space="preserve">.  </w:t>
      </w:r>
      <w:r w:rsidRPr="00480379">
        <w:rPr>
          <w:rFonts w:asciiTheme="minorHAnsi" w:hAnsiTheme="minorHAnsi"/>
          <w:sz w:val="22"/>
          <w:szCs w:val="22"/>
        </w:rPr>
        <w:t>Επιπλέον το άρθρο 7 του κανονισμού 480/2014 θέτει ειδικές απαιτήσεις που πρέπει να εφαρμόζονται κατά τη διαδικασία επιλογής των διαχειριστή του ταμείου και των φορέων υλοποίησης του μέσου.</w:t>
      </w:r>
    </w:p>
    <w:p w14:paraId="73DC5747" w14:textId="77777777" w:rsidR="002C2756" w:rsidRPr="00480379" w:rsidRDefault="00C07DB8" w:rsidP="002C2756">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Το θέμα ύπαρξης κρατικής ενίσχυσης στο χρηματοοικονομικό μέσο </w:t>
      </w:r>
      <w:r w:rsidR="0081008F">
        <w:rPr>
          <w:rFonts w:asciiTheme="minorHAnsi" w:hAnsiTheme="minorHAnsi" w:cs="Arial"/>
          <w:sz w:val="22"/>
          <w:szCs w:val="22"/>
        </w:rPr>
        <w:t>εξετάστηκε</w:t>
      </w:r>
      <w:r w:rsidRPr="00480379">
        <w:rPr>
          <w:rFonts w:asciiTheme="minorHAnsi" w:hAnsiTheme="minorHAnsi" w:cs="Arial"/>
          <w:sz w:val="22"/>
          <w:szCs w:val="22"/>
        </w:rPr>
        <w:t xml:space="preserve"> </w:t>
      </w:r>
      <w:r w:rsidR="0081008F">
        <w:rPr>
          <w:rFonts w:asciiTheme="minorHAnsi" w:hAnsiTheme="minorHAnsi" w:cs="Arial"/>
          <w:sz w:val="22"/>
          <w:szCs w:val="22"/>
        </w:rPr>
        <w:t>σ</w:t>
      </w:r>
      <w:r w:rsidRPr="00480379">
        <w:rPr>
          <w:rFonts w:asciiTheme="minorHAnsi" w:hAnsiTheme="minorHAnsi" w:cs="Arial"/>
          <w:sz w:val="22"/>
          <w:szCs w:val="22"/>
        </w:rPr>
        <w:t>το δεύτερο μέρος</w:t>
      </w:r>
      <w:r w:rsidR="0081008F">
        <w:rPr>
          <w:rFonts w:asciiTheme="minorHAnsi" w:hAnsiTheme="minorHAnsi" w:cs="Arial"/>
          <w:sz w:val="22"/>
          <w:szCs w:val="22"/>
        </w:rPr>
        <w:t>. Σ</w:t>
      </w:r>
      <w:r w:rsidRPr="00480379">
        <w:rPr>
          <w:rFonts w:asciiTheme="minorHAnsi" w:hAnsiTheme="minorHAnsi" w:cs="Arial"/>
          <w:sz w:val="22"/>
          <w:szCs w:val="22"/>
        </w:rPr>
        <w:t xml:space="preserve">το τρίτο μέρος </w:t>
      </w:r>
      <w:r w:rsidR="0081008F">
        <w:rPr>
          <w:rFonts w:asciiTheme="minorHAnsi" w:hAnsiTheme="minorHAnsi" w:cs="Arial"/>
          <w:sz w:val="22"/>
          <w:szCs w:val="22"/>
        </w:rPr>
        <w:t xml:space="preserve"> </w:t>
      </w:r>
      <w:r w:rsidRPr="00480379">
        <w:rPr>
          <w:rFonts w:asciiTheme="minorHAnsi" w:hAnsiTheme="minorHAnsi" w:cs="Arial"/>
          <w:sz w:val="22"/>
          <w:szCs w:val="22"/>
        </w:rPr>
        <w:t xml:space="preserve">επικεντρωνόμαστε μόνο στο θεσμικό πλαίσιο ανάθεσης του μέσου στους φορείς υλοποίησης και </w:t>
      </w:r>
      <w:r w:rsidR="002C2756">
        <w:rPr>
          <w:rFonts w:asciiTheme="minorHAnsi" w:hAnsiTheme="minorHAnsi" w:cs="Arial"/>
          <w:sz w:val="22"/>
          <w:szCs w:val="22"/>
        </w:rPr>
        <w:t>της επιλογής του</w:t>
      </w:r>
      <w:r w:rsidRPr="00480379">
        <w:rPr>
          <w:rFonts w:asciiTheme="minorHAnsi" w:hAnsiTheme="minorHAnsi" w:cs="Arial"/>
          <w:sz w:val="22"/>
          <w:szCs w:val="22"/>
        </w:rPr>
        <w:t xml:space="preserve"> διαχειριστή του ταμείου.</w:t>
      </w:r>
      <w:r w:rsidR="002C2756">
        <w:rPr>
          <w:rFonts w:asciiTheme="minorHAnsi" w:hAnsiTheme="minorHAnsi" w:cs="Arial"/>
          <w:sz w:val="22"/>
          <w:szCs w:val="22"/>
        </w:rPr>
        <w:t xml:space="preserve"> Σημειώνεται ότι η</w:t>
      </w:r>
      <w:r w:rsidR="002C2756" w:rsidRPr="00480379">
        <w:rPr>
          <w:rFonts w:asciiTheme="minorHAnsi" w:hAnsiTheme="minorHAnsi" w:cs="Arial"/>
          <w:sz w:val="22"/>
          <w:szCs w:val="22"/>
        </w:rPr>
        <w:t xml:space="preserve"> Ε.Ε. έχ</w:t>
      </w:r>
      <w:r w:rsidR="002C2756">
        <w:rPr>
          <w:rFonts w:asciiTheme="minorHAnsi" w:hAnsiTheme="minorHAnsi" w:cs="Arial"/>
          <w:sz w:val="22"/>
          <w:szCs w:val="22"/>
        </w:rPr>
        <w:t>ει</w:t>
      </w:r>
      <w:r w:rsidR="002C2756" w:rsidRPr="00480379">
        <w:rPr>
          <w:rFonts w:asciiTheme="minorHAnsi" w:hAnsiTheme="minorHAnsi" w:cs="Arial"/>
          <w:sz w:val="22"/>
          <w:szCs w:val="22"/>
        </w:rPr>
        <w:t xml:space="preserve"> εκδώσει κατευθυντήριες οδηγίες</w:t>
      </w:r>
      <w:r w:rsidR="002C2756" w:rsidRPr="00480379">
        <w:rPr>
          <w:rStyle w:val="ac"/>
          <w:rFonts w:asciiTheme="minorHAnsi" w:hAnsiTheme="minorHAnsi" w:cs="Arial"/>
          <w:sz w:val="22"/>
          <w:szCs w:val="22"/>
        </w:rPr>
        <w:footnoteReference w:id="45"/>
      </w:r>
      <w:r w:rsidR="002C2756" w:rsidRPr="00480379">
        <w:rPr>
          <w:rFonts w:asciiTheme="minorHAnsi" w:hAnsiTheme="minorHAnsi" w:cs="Arial"/>
          <w:sz w:val="22"/>
          <w:szCs w:val="22"/>
        </w:rPr>
        <w:t xml:space="preserve"> σχετικά με την επιλογή φορέων υλοποίησης, συμπεριλαμβανομένου του διαχειριστή του ταμείου.</w:t>
      </w:r>
    </w:p>
    <w:p w14:paraId="670D2C43" w14:textId="77777777" w:rsidR="0081008F" w:rsidRPr="00480379" w:rsidRDefault="0081008F" w:rsidP="0081008F">
      <w:pPr>
        <w:pStyle w:val="Default"/>
        <w:spacing w:before="40" w:after="120" w:line="360" w:lineRule="auto"/>
        <w:jc w:val="both"/>
        <w:rPr>
          <w:rFonts w:asciiTheme="minorHAnsi" w:hAnsiTheme="minorHAnsi" w:cs="Arial"/>
          <w:sz w:val="22"/>
          <w:szCs w:val="22"/>
        </w:rPr>
      </w:pPr>
      <w:r>
        <w:rPr>
          <w:rFonts w:asciiTheme="minorHAnsi" w:hAnsiTheme="minorHAnsi" w:cs="Arial"/>
          <w:sz w:val="22"/>
          <w:szCs w:val="22"/>
        </w:rPr>
        <w:t>Καθώς η ΕΑΤ Α.Ε. (πρώην ΕΤΕΑΝ ΑΕ) είχε:</w:t>
      </w:r>
    </w:p>
    <w:p w14:paraId="7F67EEB6" w14:textId="77777777" w:rsidR="00C07DB8" w:rsidRPr="00480379" w:rsidRDefault="00C07DB8" w:rsidP="0081008F">
      <w:pPr>
        <w:pStyle w:val="Default"/>
        <w:numPr>
          <w:ilvl w:val="0"/>
          <w:numId w:val="39"/>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υλοποιήσει το μεγαλύτερο μέρος των </w:t>
      </w:r>
      <w:r w:rsidR="005E65CC">
        <w:rPr>
          <w:rFonts w:asciiTheme="minorHAnsi" w:hAnsiTheme="minorHAnsi" w:cs="Arial"/>
          <w:sz w:val="22"/>
          <w:szCs w:val="22"/>
        </w:rPr>
        <w:t>Χρηματοοικονομικών Εργαλείων</w:t>
      </w:r>
      <w:r w:rsidR="001E5965" w:rsidRPr="001E5965">
        <w:rPr>
          <w:rFonts w:asciiTheme="minorHAnsi" w:hAnsiTheme="minorHAnsi" w:cs="Arial"/>
          <w:sz w:val="22"/>
          <w:szCs w:val="22"/>
        </w:rPr>
        <w:t xml:space="preserve"> (</w:t>
      </w:r>
      <w:r w:rsidR="001E5965">
        <w:rPr>
          <w:rFonts w:asciiTheme="minorHAnsi" w:hAnsiTheme="minorHAnsi" w:cs="Arial"/>
          <w:sz w:val="22"/>
          <w:szCs w:val="22"/>
          <w:lang w:val="en-US"/>
        </w:rPr>
        <w:t>FI</w:t>
      </w:r>
      <w:r w:rsidR="001E5965" w:rsidRPr="001E5965">
        <w:rPr>
          <w:rFonts w:asciiTheme="minorHAnsi" w:hAnsiTheme="minorHAnsi" w:cs="Arial"/>
          <w:sz w:val="22"/>
          <w:szCs w:val="22"/>
        </w:rPr>
        <w:t>’</w:t>
      </w:r>
      <w:r w:rsidR="001E5965">
        <w:rPr>
          <w:rFonts w:asciiTheme="minorHAnsi" w:hAnsiTheme="minorHAnsi" w:cs="Arial"/>
          <w:sz w:val="22"/>
          <w:szCs w:val="22"/>
          <w:lang w:val="en-US"/>
        </w:rPr>
        <w:t>s</w:t>
      </w:r>
      <w:r w:rsidR="001E5965" w:rsidRPr="001E5965">
        <w:rPr>
          <w:rFonts w:asciiTheme="minorHAnsi" w:hAnsiTheme="minorHAnsi" w:cs="Arial"/>
          <w:sz w:val="22"/>
          <w:szCs w:val="22"/>
        </w:rPr>
        <w:t>)</w:t>
      </w:r>
      <w:r w:rsidRPr="00480379">
        <w:rPr>
          <w:rFonts w:asciiTheme="minorHAnsi" w:hAnsiTheme="minorHAnsi" w:cs="Arial"/>
          <w:sz w:val="22"/>
          <w:szCs w:val="22"/>
        </w:rPr>
        <w:t xml:space="preserve"> που συγχρηματοδοτήθηκαν από την Ε.Ε. την πρ</w:t>
      </w:r>
      <w:r w:rsidR="0081008F">
        <w:rPr>
          <w:rFonts w:asciiTheme="minorHAnsi" w:hAnsiTheme="minorHAnsi" w:cs="Arial"/>
          <w:sz w:val="22"/>
          <w:szCs w:val="22"/>
        </w:rPr>
        <w:t xml:space="preserve">ογραμματική περίοδο 2007 – 2013 και </w:t>
      </w:r>
    </w:p>
    <w:p w14:paraId="513DBD4B" w14:textId="77777777" w:rsidR="00C07DB8" w:rsidRDefault="00277CF4" w:rsidP="005B76B8">
      <w:pPr>
        <w:pStyle w:val="Default"/>
        <w:numPr>
          <w:ilvl w:val="0"/>
          <w:numId w:val="39"/>
        </w:numPr>
        <w:spacing w:before="40" w:after="120" w:line="360" w:lineRule="auto"/>
        <w:jc w:val="both"/>
        <w:rPr>
          <w:rFonts w:asciiTheme="minorHAnsi" w:hAnsiTheme="minorHAnsi" w:cs="Arial"/>
          <w:sz w:val="22"/>
          <w:szCs w:val="22"/>
        </w:rPr>
      </w:pPr>
      <w:r w:rsidRPr="0081008F">
        <w:rPr>
          <w:rFonts w:asciiTheme="minorHAnsi" w:hAnsiTheme="minorHAnsi" w:cs="Arial"/>
          <w:sz w:val="22"/>
          <w:szCs w:val="22"/>
        </w:rPr>
        <w:t>εμπειρία από την υλοποίηση του Προγράμματος</w:t>
      </w:r>
      <w:r w:rsidR="00C07DB8" w:rsidRPr="0081008F">
        <w:rPr>
          <w:rFonts w:asciiTheme="minorHAnsi" w:hAnsiTheme="minorHAnsi" w:cs="Arial"/>
          <w:sz w:val="22"/>
          <w:szCs w:val="22"/>
        </w:rPr>
        <w:t xml:space="preserve"> «</w:t>
      </w:r>
      <w:r w:rsidRPr="0081008F">
        <w:rPr>
          <w:rFonts w:asciiTheme="minorHAnsi" w:hAnsiTheme="minorHAnsi" w:cs="Arial"/>
          <w:sz w:val="22"/>
          <w:szCs w:val="22"/>
        </w:rPr>
        <w:t>Ε</w:t>
      </w:r>
      <w:r w:rsidR="00C07DB8" w:rsidRPr="0081008F">
        <w:rPr>
          <w:rFonts w:asciiTheme="minorHAnsi" w:hAnsiTheme="minorHAnsi" w:cs="Arial"/>
          <w:sz w:val="22"/>
          <w:szCs w:val="22"/>
        </w:rPr>
        <w:t xml:space="preserve">ξοικονόμηση </w:t>
      </w:r>
      <w:proofErr w:type="spellStart"/>
      <w:r w:rsidR="00C07DB8" w:rsidRPr="0081008F">
        <w:rPr>
          <w:rFonts w:asciiTheme="minorHAnsi" w:hAnsiTheme="minorHAnsi" w:cs="Arial"/>
          <w:sz w:val="22"/>
          <w:szCs w:val="22"/>
        </w:rPr>
        <w:t>κατ΄</w:t>
      </w:r>
      <w:r w:rsidRPr="0081008F">
        <w:rPr>
          <w:rFonts w:asciiTheme="minorHAnsi" w:hAnsiTheme="minorHAnsi" w:cs="Arial"/>
          <w:sz w:val="22"/>
          <w:szCs w:val="22"/>
        </w:rPr>
        <w:t>Ο</w:t>
      </w:r>
      <w:r w:rsidR="00C07DB8" w:rsidRPr="0081008F">
        <w:rPr>
          <w:rFonts w:asciiTheme="minorHAnsi" w:hAnsiTheme="minorHAnsi" w:cs="Arial"/>
          <w:sz w:val="22"/>
          <w:szCs w:val="22"/>
        </w:rPr>
        <w:t>ίκον</w:t>
      </w:r>
      <w:proofErr w:type="spellEnd"/>
      <w:r w:rsidRPr="0081008F">
        <w:rPr>
          <w:rFonts w:asciiTheme="minorHAnsi" w:hAnsiTheme="minorHAnsi" w:cs="Arial"/>
          <w:sz w:val="22"/>
          <w:szCs w:val="22"/>
        </w:rPr>
        <w:t xml:space="preserve"> Ι</w:t>
      </w:r>
      <w:r w:rsidR="00C07DB8" w:rsidRPr="0081008F">
        <w:rPr>
          <w:rFonts w:asciiTheme="minorHAnsi" w:hAnsiTheme="minorHAnsi" w:cs="Arial"/>
          <w:sz w:val="22"/>
          <w:szCs w:val="22"/>
        </w:rPr>
        <w:t xml:space="preserve">» </w:t>
      </w:r>
      <w:r w:rsidR="0081008F" w:rsidRPr="0081008F">
        <w:rPr>
          <w:rFonts w:asciiTheme="minorHAnsi" w:hAnsiTheme="minorHAnsi" w:cs="Arial"/>
          <w:sz w:val="22"/>
          <w:szCs w:val="22"/>
        </w:rPr>
        <w:t xml:space="preserve">καθώς είχε </w:t>
      </w:r>
      <w:r w:rsidR="00C07DB8" w:rsidRPr="0081008F">
        <w:rPr>
          <w:rFonts w:asciiTheme="minorHAnsi" w:hAnsiTheme="minorHAnsi" w:cs="Arial"/>
          <w:sz w:val="22"/>
          <w:szCs w:val="22"/>
        </w:rPr>
        <w:t xml:space="preserve">επεξεργασθεί μεγάλο όγκο αιτημάτων νοικοκυριών </w:t>
      </w:r>
      <w:r w:rsidR="0081008F">
        <w:rPr>
          <w:rFonts w:asciiTheme="minorHAnsi" w:hAnsiTheme="minorHAnsi" w:cs="Arial"/>
          <w:sz w:val="22"/>
          <w:szCs w:val="22"/>
        </w:rPr>
        <w:t xml:space="preserve">που είτε ολοκλήρωσαν με </w:t>
      </w:r>
      <w:r w:rsidR="0081008F">
        <w:rPr>
          <w:rFonts w:asciiTheme="minorHAnsi" w:hAnsiTheme="minorHAnsi" w:cs="Arial"/>
          <w:sz w:val="22"/>
          <w:szCs w:val="22"/>
        </w:rPr>
        <w:lastRenderedPageBreak/>
        <w:t xml:space="preserve">συγχρηματοδοτούμενους πόρους (Πρόγραμμα «Εξοικονομώ </w:t>
      </w:r>
      <w:proofErr w:type="spellStart"/>
      <w:r w:rsidR="0081008F">
        <w:rPr>
          <w:rFonts w:asciiTheme="minorHAnsi" w:hAnsiTheme="minorHAnsi" w:cs="Arial"/>
          <w:sz w:val="22"/>
          <w:szCs w:val="22"/>
        </w:rPr>
        <w:t>κατ’Οίκον</w:t>
      </w:r>
      <w:proofErr w:type="spellEnd"/>
      <w:r w:rsidR="0081008F">
        <w:rPr>
          <w:rFonts w:asciiTheme="minorHAnsi" w:hAnsiTheme="minorHAnsi" w:cs="Arial"/>
          <w:sz w:val="22"/>
          <w:szCs w:val="22"/>
        </w:rPr>
        <w:t xml:space="preserve"> Ι») είτε των «Ενδιάμεσων Προγραμμάτων» </w:t>
      </w:r>
      <w:r w:rsidR="002C2756">
        <w:rPr>
          <w:rFonts w:asciiTheme="minorHAnsi" w:hAnsiTheme="minorHAnsi" w:cs="Arial"/>
          <w:sz w:val="22"/>
          <w:szCs w:val="22"/>
        </w:rPr>
        <w:t>με εθνικούς πόρους .</w:t>
      </w:r>
    </w:p>
    <w:p w14:paraId="4893C5C8" w14:textId="77777777" w:rsidR="002C2756" w:rsidRPr="002C2756" w:rsidRDefault="002C2756" w:rsidP="002C2756">
      <w:pPr>
        <w:pStyle w:val="Default"/>
        <w:spacing w:before="40" w:after="120" w:line="360" w:lineRule="auto"/>
        <w:jc w:val="both"/>
        <w:rPr>
          <w:rFonts w:asciiTheme="minorHAnsi" w:hAnsiTheme="minorHAnsi" w:cs="Arial"/>
          <w:sz w:val="22"/>
          <w:szCs w:val="22"/>
        </w:rPr>
      </w:pPr>
      <w:r>
        <w:rPr>
          <w:rFonts w:asciiTheme="minorHAnsi" w:hAnsiTheme="minorHAnsi" w:cs="Arial"/>
          <w:sz w:val="22"/>
          <w:szCs w:val="22"/>
        </w:rPr>
        <w:t>Και</w:t>
      </w:r>
      <w:r w:rsidRPr="002C2756">
        <w:rPr>
          <w:rFonts w:asciiTheme="minorHAnsi" w:hAnsiTheme="minorHAnsi" w:cs="Arial"/>
          <w:sz w:val="22"/>
          <w:szCs w:val="22"/>
        </w:rPr>
        <w:t xml:space="preserve"> πληρούντα</w:t>
      </w:r>
      <w:r>
        <w:rPr>
          <w:rFonts w:asciiTheme="minorHAnsi" w:hAnsiTheme="minorHAnsi" w:cs="Arial"/>
          <w:sz w:val="22"/>
          <w:szCs w:val="22"/>
        </w:rPr>
        <w:t>ν</w:t>
      </w:r>
      <w:r w:rsidRPr="002C2756">
        <w:rPr>
          <w:rFonts w:asciiTheme="minorHAnsi" w:hAnsiTheme="minorHAnsi" w:cs="Arial"/>
          <w:sz w:val="22"/>
          <w:szCs w:val="22"/>
        </w:rPr>
        <w:t xml:space="preserve"> οι όροι της παραγράφου 4 του άρθρου 12 της οδηγίας 24/2014</w:t>
      </w:r>
      <w:r w:rsidRPr="00480379">
        <w:rPr>
          <w:rStyle w:val="ac"/>
          <w:rFonts w:asciiTheme="minorHAnsi" w:hAnsiTheme="minorHAnsi" w:cs="Arial"/>
          <w:sz w:val="22"/>
          <w:szCs w:val="22"/>
        </w:rPr>
        <w:footnoteReference w:id="46"/>
      </w:r>
      <w:r w:rsidRPr="002C2756">
        <w:rPr>
          <w:rFonts w:asciiTheme="minorHAnsi" w:hAnsiTheme="minorHAnsi" w:cs="Arial"/>
          <w:sz w:val="22"/>
          <w:szCs w:val="22"/>
        </w:rPr>
        <w:t xml:space="preserve">  – αναφέρεται σε συμβάσεις μεταξύ οντοτήτων του δημόσιου τομέα –</w:t>
      </w:r>
      <w:r>
        <w:rPr>
          <w:rFonts w:asciiTheme="minorHAnsi" w:hAnsiTheme="minorHAnsi" w:cs="Arial"/>
          <w:sz w:val="22"/>
          <w:szCs w:val="22"/>
        </w:rPr>
        <w:t xml:space="preserve"> </w:t>
      </w:r>
      <w:r w:rsidRPr="002C2756">
        <w:rPr>
          <w:rFonts w:asciiTheme="minorHAnsi" w:hAnsiTheme="minorHAnsi" w:cs="Arial"/>
          <w:sz w:val="22"/>
          <w:szCs w:val="22"/>
        </w:rPr>
        <w:t>η ΕΥΔ ΕΠΑνΕΚ</w:t>
      </w:r>
      <w:r>
        <w:rPr>
          <w:rFonts w:asciiTheme="minorHAnsi" w:hAnsiTheme="minorHAnsi" w:cs="Arial"/>
          <w:sz w:val="22"/>
          <w:szCs w:val="22"/>
        </w:rPr>
        <w:t xml:space="preserve"> υπέγραψε</w:t>
      </w:r>
      <w:r w:rsidRPr="002C2756">
        <w:rPr>
          <w:rFonts w:asciiTheme="minorHAnsi" w:hAnsiTheme="minorHAnsi" w:cs="Arial"/>
          <w:sz w:val="22"/>
          <w:szCs w:val="22"/>
        </w:rPr>
        <w:t xml:space="preserve"> συμφωνία χρηματοδότησης με την </w:t>
      </w:r>
      <w:r>
        <w:rPr>
          <w:rFonts w:asciiTheme="minorHAnsi" w:hAnsiTheme="minorHAnsi" w:cs="Arial"/>
          <w:sz w:val="22"/>
          <w:szCs w:val="22"/>
        </w:rPr>
        <w:t xml:space="preserve">ΕΑΤ Α.Ε. (Πρώην </w:t>
      </w:r>
      <w:r w:rsidRPr="002C2756">
        <w:rPr>
          <w:rFonts w:asciiTheme="minorHAnsi" w:hAnsiTheme="minorHAnsi" w:cs="Arial"/>
          <w:sz w:val="22"/>
          <w:szCs w:val="22"/>
        </w:rPr>
        <w:t>ΕΤΕΑΝ ΑΕ</w:t>
      </w:r>
      <w:r>
        <w:rPr>
          <w:rFonts w:asciiTheme="minorHAnsi" w:hAnsiTheme="minorHAnsi" w:cs="Arial"/>
          <w:sz w:val="22"/>
          <w:szCs w:val="22"/>
        </w:rPr>
        <w:t>)</w:t>
      </w:r>
      <w:r w:rsidRPr="002C2756">
        <w:rPr>
          <w:rFonts w:asciiTheme="minorHAnsi" w:hAnsiTheme="minorHAnsi" w:cs="Arial"/>
          <w:sz w:val="22"/>
          <w:szCs w:val="22"/>
        </w:rPr>
        <w:t>.</w:t>
      </w:r>
    </w:p>
    <w:p w14:paraId="681753D5"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Όσον αφορά τους φορείς υλοποίησης του μέσου, καθώς προβλέπεται η επιδότηση επιτοκίου των δανείων, </w:t>
      </w:r>
      <w:r w:rsidR="002C2756">
        <w:rPr>
          <w:rFonts w:asciiTheme="minorHAnsi" w:hAnsiTheme="minorHAnsi" w:cs="Arial"/>
          <w:sz w:val="22"/>
          <w:szCs w:val="22"/>
        </w:rPr>
        <w:t>εφαρμόστηκαν</w:t>
      </w:r>
      <w:r w:rsidR="002C2756" w:rsidRPr="00480379">
        <w:rPr>
          <w:rFonts w:asciiTheme="minorHAnsi" w:hAnsiTheme="minorHAnsi" w:cs="Arial"/>
          <w:sz w:val="22"/>
          <w:szCs w:val="22"/>
        </w:rPr>
        <w:t xml:space="preserve"> οι διατάξεις της οδηγίας 24/2014 </w:t>
      </w:r>
      <w:r w:rsidRPr="00480379">
        <w:rPr>
          <w:rFonts w:asciiTheme="minorHAnsi" w:hAnsiTheme="minorHAnsi" w:cs="Arial"/>
          <w:sz w:val="22"/>
          <w:szCs w:val="22"/>
        </w:rPr>
        <w:t>και επιπρόσθετα οι διατάξεις του άρθρου 7 του κανονισμού 480/2014. Όπως προβλέπεται στην παράγραφο 5 του άρθρου 38 του κανονισμού 1303/2013</w:t>
      </w:r>
      <w:r w:rsidR="002C2756">
        <w:rPr>
          <w:rStyle w:val="ac"/>
          <w:rFonts w:asciiTheme="minorHAnsi" w:hAnsiTheme="minorHAnsi" w:cs="Arial"/>
          <w:sz w:val="22"/>
          <w:szCs w:val="22"/>
        </w:rPr>
        <w:footnoteReference w:id="47"/>
      </w:r>
      <w:r w:rsidRPr="00480379">
        <w:rPr>
          <w:rFonts w:asciiTheme="minorHAnsi" w:hAnsiTheme="minorHAnsi" w:cs="Arial"/>
          <w:sz w:val="22"/>
          <w:szCs w:val="22"/>
        </w:rPr>
        <w:t xml:space="preserve">, οι φορείς υλοποίησης </w:t>
      </w:r>
      <w:r w:rsidR="002C2756">
        <w:rPr>
          <w:rFonts w:asciiTheme="minorHAnsi" w:hAnsiTheme="minorHAnsi" w:cs="Arial"/>
          <w:sz w:val="22"/>
          <w:szCs w:val="22"/>
        </w:rPr>
        <w:t>(ΕΧΟ) επιλέχθηκαν</w:t>
      </w:r>
      <w:r w:rsidRPr="00480379">
        <w:rPr>
          <w:rFonts w:asciiTheme="minorHAnsi" w:hAnsiTheme="minorHAnsi" w:cs="Arial"/>
          <w:sz w:val="22"/>
          <w:szCs w:val="22"/>
        </w:rPr>
        <w:t xml:space="preserve"> με ανοικτές και διαφανείς διαδικασίες:</w:t>
      </w:r>
    </w:p>
    <w:p w14:paraId="61F80BD6" w14:textId="77777777" w:rsidR="00C07DB8" w:rsidRPr="00480379" w:rsidRDefault="00C07DB8" w:rsidP="00C07DB8">
      <w:pPr>
        <w:spacing w:line="360" w:lineRule="auto"/>
        <w:rPr>
          <w:color w:val="000000"/>
        </w:rPr>
      </w:pPr>
    </w:p>
    <w:p w14:paraId="03EAFB72" w14:textId="77777777" w:rsidR="00C07DB8" w:rsidRPr="00480379" w:rsidRDefault="00C07DB8" w:rsidP="00FA5CD9">
      <w:pPr>
        <w:pStyle w:val="3"/>
      </w:pPr>
      <w:bookmarkStart w:id="80" w:name="_Toc464038705"/>
      <w:bookmarkStart w:id="81" w:name="_Toc36639238"/>
      <w:r w:rsidRPr="00480379">
        <w:t>Επιλογή τύπου μέσου</w:t>
      </w:r>
      <w:bookmarkEnd w:id="80"/>
      <w:bookmarkEnd w:id="81"/>
    </w:p>
    <w:p w14:paraId="68BCEAB3"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Για την υλοποίηση του </w:t>
      </w:r>
      <w:r w:rsidR="005E65CC">
        <w:rPr>
          <w:rFonts w:asciiTheme="minorHAnsi" w:hAnsiTheme="minorHAnsi" w:cs="Arial"/>
          <w:sz w:val="22"/>
          <w:szCs w:val="22"/>
        </w:rPr>
        <w:t>Χρηματοοικονομικού Εργαλείου (FI),</w:t>
      </w:r>
      <w:r w:rsidRPr="00480379">
        <w:rPr>
          <w:rFonts w:asciiTheme="minorHAnsi" w:hAnsiTheme="minorHAnsi" w:cs="Arial"/>
          <w:sz w:val="22"/>
          <w:szCs w:val="22"/>
        </w:rPr>
        <w:t xml:space="preserve"> η διαχειριστική αρχή </w:t>
      </w:r>
      <w:r w:rsidR="005E65CC">
        <w:rPr>
          <w:rFonts w:asciiTheme="minorHAnsi" w:hAnsiTheme="minorHAnsi" w:cs="Arial"/>
          <w:sz w:val="22"/>
          <w:szCs w:val="22"/>
        </w:rPr>
        <w:t>είχε την επιλογή</w:t>
      </w:r>
      <w:r w:rsidRPr="00480379">
        <w:rPr>
          <w:rFonts w:asciiTheme="minorHAnsi" w:hAnsiTheme="minorHAnsi" w:cs="Arial"/>
          <w:sz w:val="22"/>
          <w:szCs w:val="22"/>
        </w:rPr>
        <w:t xml:space="preserve"> ανάμεσα σε δύο τύπους </w:t>
      </w:r>
      <w:r w:rsidR="005E65CC">
        <w:rPr>
          <w:rFonts w:asciiTheme="minorHAnsi" w:hAnsiTheme="minorHAnsi" w:cs="Arial"/>
          <w:sz w:val="22"/>
          <w:szCs w:val="22"/>
        </w:rPr>
        <w:t>Χρηματοοικονομικών Εργαλείων</w:t>
      </w:r>
      <w:r w:rsidRPr="00480379">
        <w:rPr>
          <w:rFonts w:asciiTheme="minorHAnsi" w:hAnsiTheme="minorHAnsi" w:cs="Arial"/>
          <w:sz w:val="22"/>
          <w:szCs w:val="22"/>
        </w:rPr>
        <w:t>:</w:t>
      </w:r>
    </w:p>
    <w:p w14:paraId="3284CE43"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α) </w:t>
      </w:r>
      <w:r w:rsidR="001E5965">
        <w:rPr>
          <w:rFonts w:asciiTheme="minorHAnsi" w:hAnsiTheme="minorHAnsi" w:cs="Arial"/>
          <w:sz w:val="22"/>
          <w:szCs w:val="22"/>
        </w:rPr>
        <w:t xml:space="preserve">Τα </w:t>
      </w:r>
      <w:r w:rsidRPr="00480379">
        <w:rPr>
          <w:rFonts w:asciiTheme="minorHAnsi" w:hAnsiTheme="minorHAnsi" w:cs="Arial"/>
          <w:sz w:val="22"/>
          <w:szCs w:val="22"/>
        </w:rPr>
        <w:t>χρηματοδοτικά εργαλεία (</w:t>
      </w:r>
      <w:proofErr w:type="spellStart"/>
      <w:r w:rsidRPr="00480379">
        <w:rPr>
          <w:rFonts w:asciiTheme="minorHAnsi" w:hAnsiTheme="minorHAnsi" w:cs="Arial"/>
          <w:sz w:val="22"/>
          <w:szCs w:val="22"/>
        </w:rPr>
        <w:t>off</w:t>
      </w:r>
      <w:proofErr w:type="spellEnd"/>
      <w:r w:rsidRPr="00480379">
        <w:rPr>
          <w:rFonts w:asciiTheme="minorHAnsi" w:hAnsiTheme="minorHAnsi" w:cs="Arial"/>
          <w:sz w:val="22"/>
          <w:szCs w:val="22"/>
        </w:rPr>
        <w:t xml:space="preserve"> the </w:t>
      </w:r>
      <w:proofErr w:type="spellStart"/>
      <w:r w:rsidRPr="00480379">
        <w:rPr>
          <w:rFonts w:asciiTheme="minorHAnsi" w:hAnsiTheme="minorHAnsi" w:cs="Arial"/>
          <w:sz w:val="22"/>
          <w:szCs w:val="22"/>
        </w:rPr>
        <w:t>shelf</w:t>
      </w:r>
      <w:proofErr w:type="spellEnd"/>
      <w:r w:rsidRPr="00480379">
        <w:rPr>
          <w:rFonts w:asciiTheme="minorHAnsi" w:hAnsiTheme="minorHAnsi" w:cs="Arial"/>
          <w:sz w:val="22"/>
          <w:szCs w:val="22"/>
        </w:rPr>
        <w:t xml:space="preserve">) </w:t>
      </w:r>
      <w:r w:rsidR="001E5965">
        <w:rPr>
          <w:rFonts w:asciiTheme="minorHAnsi" w:hAnsiTheme="minorHAnsi" w:cs="Arial"/>
          <w:sz w:val="22"/>
          <w:szCs w:val="22"/>
        </w:rPr>
        <w:t>από τον</w:t>
      </w:r>
      <w:r w:rsidR="001E5965" w:rsidRPr="00480379">
        <w:rPr>
          <w:rFonts w:asciiTheme="minorHAnsi" w:hAnsiTheme="minorHAnsi" w:cs="Arial"/>
          <w:sz w:val="22"/>
          <w:szCs w:val="22"/>
        </w:rPr>
        <w:t xml:space="preserve"> κανονισμό 964/2014 της επιτροπής </w:t>
      </w:r>
      <w:r w:rsidR="001E5965">
        <w:rPr>
          <w:rFonts w:asciiTheme="minorHAnsi" w:hAnsiTheme="minorHAnsi" w:cs="Arial"/>
          <w:sz w:val="22"/>
          <w:szCs w:val="22"/>
        </w:rPr>
        <w:t xml:space="preserve">που </w:t>
      </w:r>
      <w:r w:rsidR="001E5965" w:rsidRPr="00480379">
        <w:rPr>
          <w:rFonts w:asciiTheme="minorHAnsi" w:hAnsiTheme="minorHAnsi" w:cs="Arial"/>
          <w:sz w:val="22"/>
          <w:szCs w:val="22"/>
        </w:rPr>
        <w:t xml:space="preserve">έχουν αναπτυχθεί </w:t>
      </w:r>
      <w:r w:rsidR="001E5965">
        <w:rPr>
          <w:rFonts w:asciiTheme="minorHAnsi" w:hAnsiTheme="minorHAnsi" w:cs="Arial"/>
          <w:sz w:val="22"/>
          <w:szCs w:val="22"/>
        </w:rPr>
        <w:t>και</w:t>
      </w:r>
      <w:r w:rsidRPr="00480379">
        <w:rPr>
          <w:rFonts w:asciiTheme="minorHAnsi" w:hAnsiTheme="minorHAnsi" w:cs="Arial"/>
          <w:sz w:val="22"/>
          <w:szCs w:val="22"/>
        </w:rPr>
        <w:t xml:space="preserve"> αντιμετωπίζουν πληθώρα ζητημάτων</w:t>
      </w:r>
      <w:r w:rsidR="001E5965">
        <w:rPr>
          <w:rFonts w:asciiTheme="minorHAnsi" w:hAnsiTheme="minorHAnsi" w:cs="Arial"/>
          <w:sz w:val="22"/>
          <w:szCs w:val="22"/>
        </w:rPr>
        <w:t xml:space="preserve"> </w:t>
      </w:r>
      <w:r w:rsidRPr="00480379">
        <w:rPr>
          <w:rFonts w:asciiTheme="minorHAnsi" w:hAnsiTheme="minorHAnsi" w:cs="Arial"/>
          <w:sz w:val="22"/>
          <w:szCs w:val="22"/>
        </w:rPr>
        <w:t xml:space="preserve">της απαραίτητης </w:t>
      </w:r>
      <w:r w:rsidRPr="00480379">
        <w:rPr>
          <w:rFonts w:asciiTheme="minorHAnsi" w:hAnsiTheme="minorHAnsi" w:cs="Arial"/>
          <w:sz w:val="22"/>
          <w:szCs w:val="22"/>
          <w:lang w:val="en-US"/>
        </w:rPr>
        <w:t>ex</w:t>
      </w:r>
      <w:r w:rsidRPr="00480379">
        <w:rPr>
          <w:rFonts w:asciiTheme="minorHAnsi" w:hAnsiTheme="minorHAnsi" w:cs="Arial"/>
          <w:sz w:val="22"/>
          <w:szCs w:val="22"/>
        </w:rPr>
        <w:t xml:space="preserve"> </w:t>
      </w:r>
      <w:r w:rsidRPr="00480379">
        <w:rPr>
          <w:rFonts w:asciiTheme="minorHAnsi" w:hAnsiTheme="minorHAnsi" w:cs="Arial"/>
          <w:sz w:val="22"/>
          <w:szCs w:val="22"/>
          <w:lang w:val="en-US"/>
        </w:rPr>
        <w:t>ante</w:t>
      </w:r>
      <w:r w:rsidRPr="00480379">
        <w:rPr>
          <w:rFonts w:asciiTheme="minorHAnsi" w:hAnsiTheme="minorHAnsi" w:cs="Arial"/>
          <w:sz w:val="22"/>
          <w:szCs w:val="22"/>
        </w:rPr>
        <w:t xml:space="preserve"> όπως για παράδειγμα την ύπαρξη κρατικής ενίσχυσης στο μέσο, τα χαρακτηριστικά του προϊόντος του μέσου </w:t>
      </w:r>
      <w:proofErr w:type="spellStart"/>
      <w:r w:rsidRPr="00480379">
        <w:rPr>
          <w:rFonts w:asciiTheme="minorHAnsi" w:hAnsiTheme="minorHAnsi" w:cs="Arial"/>
          <w:sz w:val="22"/>
          <w:szCs w:val="22"/>
        </w:rPr>
        <w:t>κτλ</w:t>
      </w:r>
      <w:proofErr w:type="spellEnd"/>
    </w:p>
    <w:p w14:paraId="2BE9B622"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β) εξειδικευμένα χρηματοδοτικά εργαλεία (</w:t>
      </w:r>
      <w:r w:rsidRPr="00480379">
        <w:rPr>
          <w:rFonts w:asciiTheme="minorHAnsi" w:hAnsiTheme="minorHAnsi" w:cs="Arial"/>
          <w:sz w:val="22"/>
          <w:szCs w:val="22"/>
          <w:lang w:val="en-US"/>
        </w:rPr>
        <w:t>tailor</w:t>
      </w:r>
      <w:r w:rsidRPr="00480379">
        <w:rPr>
          <w:rFonts w:asciiTheme="minorHAnsi" w:hAnsiTheme="minorHAnsi" w:cs="Arial"/>
          <w:sz w:val="22"/>
          <w:szCs w:val="22"/>
        </w:rPr>
        <w:t xml:space="preserve"> </w:t>
      </w:r>
      <w:r w:rsidRPr="00480379">
        <w:rPr>
          <w:rFonts w:asciiTheme="minorHAnsi" w:hAnsiTheme="minorHAnsi" w:cs="Arial"/>
          <w:sz w:val="22"/>
          <w:szCs w:val="22"/>
          <w:lang w:val="en-US"/>
        </w:rPr>
        <w:t>made</w:t>
      </w:r>
      <w:r w:rsidRPr="00480379">
        <w:rPr>
          <w:rFonts w:asciiTheme="minorHAnsi" w:hAnsiTheme="minorHAnsi" w:cs="Arial"/>
          <w:sz w:val="22"/>
          <w:szCs w:val="22"/>
        </w:rPr>
        <w:t xml:space="preserve">) όπου τα κράτη μέλη οφείλουν να εξετάσουν </w:t>
      </w:r>
      <w:r w:rsidR="001E5965">
        <w:rPr>
          <w:rFonts w:asciiTheme="minorHAnsi" w:hAnsiTheme="minorHAnsi" w:cs="Arial"/>
          <w:sz w:val="22"/>
          <w:szCs w:val="22"/>
        </w:rPr>
        <w:t>το σύνολο</w:t>
      </w:r>
      <w:r w:rsidRPr="00480379">
        <w:rPr>
          <w:rFonts w:asciiTheme="minorHAnsi" w:hAnsiTheme="minorHAnsi" w:cs="Arial"/>
          <w:sz w:val="22"/>
          <w:szCs w:val="22"/>
        </w:rPr>
        <w:t xml:space="preserve"> τ</w:t>
      </w:r>
      <w:r w:rsidR="001E5965">
        <w:rPr>
          <w:rFonts w:asciiTheme="minorHAnsi" w:hAnsiTheme="minorHAnsi" w:cs="Arial"/>
          <w:sz w:val="22"/>
          <w:szCs w:val="22"/>
        </w:rPr>
        <w:t>ων</w:t>
      </w:r>
      <w:r w:rsidRPr="00480379">
        <w:rPr>
          <w:rFonts w:asciiTheme="minorHAnsi" w:hAnsiTheme="minorHAnsi" w:cs="Arial"/>
          <w:sz w:val="22"/>
          <w:szCs w:val="22"/>
        </w:rPr>
        <w:t xml:space="preserve"> απαιτήσε</w:t>
      </w:r>
      <w:r w:rsidR="001E5965">
        <w:rPr>
          <w:rFonts w:asciiTheme="minorHAnsi" w:hAnsiTheme="minorHAnsi" w:cs="Arial"/>
          <w:sz w:val="22"/>
          <w:szCs w:val="22"/>
        </w:rPr>
        <w:t>ων</w:t>
      </w:r>
      <w:r w:rsidRPr="00480379">
        <w:rPr>
          <w:rFonts w:asciiTheme="minorHAnsi" w:hAnsiTheme="minorHAnsi" w:cs="Arial"/>
          <w:sz w:val="22"/>
          <w:szCs w:val="22"/>
        </w:rPr>
        <w:t xml:space="preserve"> της </w:t>
      </w:r>
      <w:r w:rsidRPr="00480379">
        <w:rPr>
          <w:rFonts w:asciiTheme="minorHAnsi" w:hAnsiTheme="minorHAnsi" w:cs="Arial"/>
          <w:sz w:val="22"/>
          <w:szCs w:val="22"/>
          <w:lang w:val="en-US"/>
        </w:rPr>
        <w:t>ex</w:t>
      </w:r>
      <w:r w:rsidRPr="00480379">
        <w:rPr>
          <w:rFonts w:asciiTheme="minorHAnsi" w:hAnsiTheme="minorHAnsi" w:cs="Arial"/>
          <w:sz w:val="22"/>
          <w:szCs w:val="22"/>
        </w:rPr>
        <w:t xml:space="preserve"> </w:t>
      </w:r>
      <w:r w:rsidRPr="00480379">
        <w:rPr>
          <w:rFonts w:asciiTheme="minorHAnsi" w:hAnsiTheme="minorHAnsi" w:cs="Arial"/>
          <w:sz w:val="22"/>
          <w:szCs w:val="22"/>
          <w:lang w:val="en-US"/>
        </w:rPr>
        <w:t>ante</w:t>
      </w:r>
      <w:r w:rsidRPr="00480379">
        <w:rPr>
          <w:rFonts w:asciiTheme="minorHAnsi" w:hAnsiTheme="minorHAnsi" w:cs="Arial"/>
          <w:sz w:val="22"/>
          <w:szCs w:val="22"/>
        </w:rPr>
        <w:t xml:space="preserve"> αξιολόγησης.</w:t>
      </w:r>
    </w:p>
    <w:p w14:paraId="3FFD0F5E"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Ένα από τα χρηματοδοτικά εργαλεία του κανονισμού 964/2014 αναφέρεται σε δάνεια ιδιοκτητών ακινήτων, καθώς και σε διαχειριστές ή άλλα νομικά πρόσωπα που ενεργούν εξ ονόματος και προς </w:t>
      </w:r>
      <w:r w:rsidRPr="00480379">
        <w:rPr>
          <w:rFonts w:asciiTheme="minorHAnsi" w:hAnsiTheme="minorHAnsi" w:cs="Arial"/>
          <w:sz w:val="22"/>
          <w:szCs w:val="22"/>
        </w:rPr>
        <w:lastRenderedPageBreak/>
        <w:t xml:space="preserve">όφελος των ιδιοκτητών, με στόχο την ενεργειακή αναβάθμιση κατοικιών. Δεν </w:t>
      </w:r>
      <w:r w:rsidR="001E5965">
        <w:rPr>
          <w:rFonts w:asciiTheme="minorHAnsi" w:hAnsiTheme="minorHAnsi" w:cs="Arial"/>
          <w:sz w:val="22"/>
          <w:szCs w:val="22"/>
        </w:rPr>
        <w:t>προτάθηκε</w:t>
      </w:r>
      <w:r w:rsidRPr="00480379">
        <w:rPr>
          <w:rFonts w:asciiTheme="minorHAnsi" w:hAnsiTheme="minorHAnsi" w:cs="Arial"/>
          <w:sz w:val="22"/>
          <w:szCs w:val="22"/>
        </w:rPr>
        <w:t xml:space="preserve"> η αξιοποίηση αυτού του </w:t>
      </w:r>
      <w:r w:rsidR="005E65CC">
        <w:rPr>
          <w:rFonts w:asciiTheme="minorHAnsi" w:hAnsiTheme="minorHAnsi" w:cs="Arial"/>
          <w:sz w:val="22"/>
          <w:szCs w:val="22"/>
        </w:rPr>
        <w:t>Χρηματοοικονομικού Εργαλείου (FI)</w:t>
      </w:r>
      <w:r w:rsidRPr="00480379">
        <w:rPr>
          <w:rFonts w:asciiTheme="minorHAnsi" w:hAnsiTheme="minorHAnsi" w:cs="Arial"/>
          <w:sz w:val="22"/>
          <w:szCs w:val="22"/>
        </w:rPr>
        <w:t xml:space="preserve"> καθώς:</w:t>
      </w:r>
    </w:p>
    <w:p w14:paraId="6A435AE5" w14:textId="77777777" w:rsidR="00C07DB8" w:rsidRPr="00480379" w:rsidRDefault="00C07DB8" w:rsidP="00C07DB8">
      <w:pPr>
        <w:pStyle w:val="Default"/>
        <w:numPr>
          <w:ilvl w:val="0"/>
          <w:numId w:val="39"/>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η διαχειριστική αρχή </w:t>
      </w:r>
      <w:r w:rsidR="001E5965">
        <w:rPr>
          <w:rFonts w:asciiTheme="minorHAnsi" w:hAnsiTheme="minorHAnsi" w:cs="Arial"/>
          <w:sz w:val="22"/>
          <w:szCs w:val="22"/>
        </w:rPr>
        <w:t>ήταν</w:t>
      </w:r>
      <w:r w:rsidRPr="00480379">
        <w:rPr>
          <w:rFonts w:asciiTheme="minorHAnsi" w:hAnsiTheme="minorHAnsi" w:cs="Arial"/>
          <w:sz w:val="22"/>
          <w:szCs w:val="22"/>
        </w:rPr>
        <w:t xml:space="preserve"> εξοικειωμένη με τη διαχείριση του μηχανισμού υλοποίησης του ταμείου «</w:t>
      </w:r>
      <w:r w:rsidR="001E5965">
        <w:rPr>
          <w:rFonts w:asciiTheme="minorHAnsi" w:hAnsiTheme="minorHAnsi" w:cs="Arial"/>
          <w:sz w:val="22"/>
          <w:szCs w:val="22"/>
        </w:rPr>
        <w:t>Ε</w:t>
      </w:r>
      <w:r w:rsidRPr="00480379">
        <w:rPr>
          <w:rFonts w:asciiTheme="minorHAnsi" w:hAnsiTheme="minorHAnsi" w:cs="Arial"/>
          <w:sz w:val="22"/>
          <w:szCs w:val="22"/>
        </w:rPr>
        <w:t xml:space="preserve">ξοικονομώ </w:t>
      </w:r>
      <w:r w:rsidR="001E5965">
        <w:rPr>
          <w:rFonts w:asciiTheme="minorHAnsi" w:hAnsiTheme="minorHAnsi" w:cs="Arial"/>
          <w:sz w:val="22"/>
          <w:szCs w:val="22"/>
        </w:rPr>
        <w:t>Ι</w:t>
      </w:r>
      <w:r w:rsidRPr="00480379">
        <w:rPr>
          <w:rFonts w:asciiTheme="minorHAnsi" w:hAnsiTheme="minorHAnsi" w:cs="Arial"/>
          <w:sz w:val="22"/>
          <w:szCs w:val="22"/>
        </w:rPr>
        <w:t>»</w:t>
      </w:r>
    </w:p>
    <w:p w14:paraId="3502E38D" w14:textId="77777777" w:rsidR="00C07DB8" w:rsidRPr="00480379" w:rsidRDefault="00C07DB8" w:rsidP="00C07DB8">
      <w:pPr>
        <w:pStyle w:val="Default"/>
        <w:numPr>
          <w:ilvl w:val="0"/>
          <w:numId w:val="39"/>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το </w:t>
      </w:r>
      <w:proofErr w:type="spellStart"/>
      <w:r w:rsidR="001E5965">
        <w:rPr>
          <w:rFonts w:asciiTheme="minorHAnsi" w:hAnsiTheme="minorHAnsi" w:cs="Arial"/>
          <w:sz w:val="22"/>
          <w:szCs w:val="22"/>
        </w:rPr>
        <w:t>εφαρμοσθέν</w:t>
      </w:r>
      <w:proofErr w:type="spellEnd"/>
      <w:r w:rsidRPr="00480379">
        <w:rPr>
          <w:rFonts w:asciiTheme="minorHAnsi" w:hAnsiTheme="minorHAnsi" w:cs="Arial"/>
          <w:sz w:val="22"/>
          <w:szCs w:val="22"/>
        </w:rPr>
        <w:t xml:space="preserve"> μέσο </w:t>
      </w:r>
      <w:r w:rsidR="001E5965">
        <w:rPr>
          <w:rFonts w:asciiTheme="minorHAnsi" w:hAnsiTheme="minorHAnsi" w:cs="Arial"/>
          <w:sz w:val="22"/>
          <w:szCs w:val="22"/>
        </w:rPr>
        <w:t xml:space="preserve">είναι σύνθετο καθώς </w:t>
      </w:r>
      <w:r w:rsidR="008471C4">
        <w:rPr>
          <w:rFonts w:asciiTheme="minorHAnsi" w:hAnsiTheme="minorHAnsi" w:cs="Arial"/>
          <w:sz w:val="22"/>
          <w:szCs w:val="22"/>
        </w:rPr>
        <w:t>επιδοτείται το</w:t>
      </w:r>
      <w:r w:rsidRPr="00480379">
        <w:rPr>
          <w:rFonts w:asciiTheme="minorHAnsi" w:hAnsiTheme="minorHAnsi" w:cs="Arial"/>
          <w:sz w:val="22"/>
          <w:szCs w:val="22"/>
        </w:rPr>
        <w:t xml:space="preserve"> επιτ</w:t>
      </w:r>
      <w:r w:rsidR="008471C4">
        <w:rPr>
          <w:rFonts w:asciiTheme="minorHAnsi" w:hAnsiTheme="minorHAnsi" w:cs="Arial"/>
          <w:sz w:val="22"/>
          <w:szCs w:val="22"/>
        </w:rPr>
        <w:t>όκιο</w:t>
      </w:r>
      <w:r w:rsidRPr="00480379">
        <w:rPr>
          <w:rFonts w:asciiTheme="minorHAnsi" w:hAnsiTheme="minorHAnsi" w:cs="Arial"/>
          <w:sz w:val="22"/>
          <w:szCs w:val="22"/>
        </w:rPr>
        <w:t xml:space="preserve"> των δανείων κάτι που δεν υποστηρίζεται από το </w:t>
      </w:r>
      <w:r w:rsidR="005E65CC">
        <w:rPr>
          <w:rFonts w:asciiTheme="minorHAnsi" w:hAnsiTheme="minorHAnsi" w:cs="Arial"/>
          <w:sz w:val="22"/>
          <w:szCs w:val="22"/>
        </w:rPr>
        <w:t>Χρηματοοικονομικό Εργαλείο (FI)</w:t>
      </w:r>
      <w:r w:rsidRPr="00480379">
        <w:rPr>
          <w:rFonts w:asciiTheme="minorHAnsi" w:hAnsiTheme="minorHAnsi" w:cs="Arial"/>
          <w:sz w:val="22"/>
          <w:szCs w:val="22"/>
        </w:rPr>
        <w:t xml:space="preserve"> του κανονισμού 964/2014</w:t>
      </w:r>
    </w:p>
    <w:p w14:paraId="4AE06254" w14:textId="77777777" w:rsidR="00C07DB8" w:rsidRPr="00480379" w:rsidRDefault="00C07DB8" w:rsidP="00C07DB8">
      <w:pPr>
        <w:pStyle w:val="Default"/>
        <w:numPr>
          <w:ilvl w:val="0"/>
          <w:numId w:val="39"/>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τα χαρακτηριστικά του προϊόντος του κανονισμού 964/2014 είναι προσανατολισμένα για άλλες χώρες της ΕΕ όχι όμως τη χώρα μας, καθώς:</w:t>
      </w:r>
    </w:p>
    <w:p w14:paraId="1D28FCA5" w14:textId="77777777" w:rsidR="00C07DB8" w:rsidRPr="00480379" w:rsidRDefault="00C07DB8" w:rsidP="00C07DB8">
      <w:pPr>
        <w:pStyle w:val="Default"/>
        <w:numPr>
          <w:ilvl w:val="1"/>
          <w:numId w:val="39"/>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η ονομαστική αξία του δανείου μπορεί να ανέλθει έως 60.000€ καθώς τα δάνεια δεν συνάπτονται αποκλειστικά με τους </w:t>
      </w:r>
      <w:r w:rsidRPr="00480379">
        <w:rPr>
          <w:rFonts w:asciiTheme="minorHAnsi" w:hAnsiTheme="minorHAnsi" w:cs="Arial"/>
          <w:sz w:val="22"/>
          <w:szCs w:val="22"/>
          <w:lang w:val="en-US"/>
        </w:rPr>
        <w:t>end</w:t>
      </w:r>
      <w:r w:rsidRPr="00480379">
        <w:rPr>
          <w:rFonts w:asciiTheme="minorHAnsi" w:hAnsiTheme="minorHAnsi" w:cs="Arial"/>
          <w:sz w:val="22"/>
          <w:szCs w:val="22"/>
        </w:rPr>
        <w:t xml:space="preserve"> </w:t>
      </w:r>
      <w:r w:rsidRPr="00480379">
        <w:rPr>
          <w:rFonts w:asciiTheme="minorHAnsi" w:hAnsiTheme="minorHAnsi" w:cs="Arial"/>
          <w:sz w:val="22"/>
          <w:szCs w:val="22"/>
          <w:lang w:val="en-US"/>
        </w:rPr>
        <w:t>user</w:t>
      </w:r>
    </w:p>
    <w:p w14:paraId="48710E66" w14:textId="77777777" w:rsidR="00C07DB8" w:rsidRPr="00480379" w:rsidRDefault="00C07DB8" w:rsidP="00C07DB8">
      <w:pPr>
        <w:pStyle w:val="Default"/>
        <w:numPr>
          <w:ilvl w:val="1"/>
          <w:numId w:val="39"/>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στη χώρα μας δεν υπάρχουν </w:t>
      </w:r>
      <w:r w:rsidRPr="00480379">
        <w:rPr>
          <w:rFonts w:asciiTheme="minorHAnsi" w:hAnsiTheme="minorHAnsi" w:cs="Arial"/>
          <w:sz w:val="22"/>
          <w:szCs w:val="22"/>
          <w:lang w:val="en-US"/>
        </w:rPr>
        <w:t>housing</w:t>
      </w:r>
      <w:r w:rsidRPr="00480379">
        <w:rPr>
          <w:rFonts w:asciiTheme="minorHAnsi" w:hAnsiTheme="minorHAnsi" w:cs="Arial"/>
          <w:sz w:val="22"/>
          <w:szCs w:val="22"/>
        </w:rPr>
        <w:t xml:space="preserve"> </w:t>
      </w:r>
      <w:r w:rsidRPr="00480379">
        <w:rPr>
          <w:rFonts w:asciiTheme="minorHAnsi" w:hAnsiTheme="minorHAnsi" w:cs="Arial"/>
          <w:sz w:val="22"/>
          <w:szCs w:val="22"/>
          <w:lang w:val="en-US"/>
        </w:rPr>
        <w:t>organization</w:t>
      </w:r>
      <w:r w:rsidRPr="00480379">
        <w:rPr>
          <w:rFonts w:asciiTheme="minorHAnsi" w:hAnsiTheme="minorHAnsi" w:cs="Arial"/>
          <w:sz w:val="22"/>
          <w:szCs w:val="22"/>
        </w:rPr>
        <w:t xml:space="preserve"> ή επιχειρήσεις ενεργειακών υπηρεσιών που να έχουν αναπτύξει τις δραστηριότητες τους στην εξοικονόμηση ενέργειας στις κατοικίες</w:t>
      </w:r>
    </w:p>
    <w:p w14:paraId="34422B55" w14:textId="77777777" w:rsidR="00C07DB8" w:rsidRPr="00480379" w:rsidRDefault="00C07DB8" w:rsidP="00C07DB8">
      <w:pPr>
        <w:pStyle w:val="Default"/>
        <w:numPr>
          <w:ilvl w:val="1"/>
          <w:numId w:val="39"/>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τα θεσμικό πλαίσιο των ιδιοκτητών διαμερισμάτων πολυκατοικίας δεν διευκολύνει την υλοποίηση των ενεργειακών παρεμβάσεων.</w:t>
      </w:r>
    </w:p>
    <w:p w14:paraId="69853245" w14:textId="77777777" w:rsidR="008471C4" w:rsidRPr="00480379" w:rsidRDefault="008471C4" w:rsidP="008471C4">
      <w:pPr>
        <w:spacing w:line="360" w:lineRule="auto"/>
      </w:pPr>
      <w:r>
        <w:rPr>
          <w:color w:val="000000"/>
        </w:rPr>
        <w:t xml:space="preserve">Επιπλέον των παραπάνω, το </w:t>
      </w:r>
      <w:r>
        <w:t>Χρηματοοικονομικό Εργαλείο (FI) που ιδρύθηκε ως διάδοχο αλλά και σε συνέχεια του ταμείου ΕΞΟΙΚΟΝΟΜΩ Ι</w:t>
      </w:r>
      <w:r w:rsidR="00410BEE" w:rsidRPr="00410BEE">
        <w:t xml:space="preserve">, </w:t>
      </w:r>
      <w:r w:rsidR="00410BEE">
        <w:t>το οποίο επίσης</w:t>
      </w:r>
      <w:r>
        <w:t xml:space="preserve"> βρισκόταν σε συνδυασμό με επιχορηγήσεις</w:t>
      </w:r>
      <w:r>
        <w:rPr>
          <w:color w:val="000000"/>
        </w:rPr>
        <w:t xml:space="preserve">. </w:t>
      </w:r>
      <w:r w:rsidRPr="00480379">
        <w:t>Επισημαίνεται ότι ο κανονισμός 1303/2013 επιτρέπει τον συνδυασμό</w:t>
      </w:r>
      <w:r w:rsidRPr="00480379">
        <w:rPr>
          <w:rStyle w:val="ac"/>
        </w:rPr>
        <w:footnoteReference w:id="48"/>
      </w:r>
      <w:r w:rsidRPr="00480379">
        <w:t xml:space="preserve"> επιχορηγήσεων και </w:t>
      </w:r>
      <w:r w:rsidRPr="001E5965">
        <w:t>Χρηματοοικονομικού Εργαλείου (FI)</w:t>
      </w:r>
      <w:r w:rsidRPr="00480379">
        <w:t xml:space="preserve"> στην ίδια δαπάνη υπό την προϋπόθεση ότι το άθροισμα όλων των ενισχύσεων δεν υπερβαίνει το ποσό της δαπάνης και τηρούνται οι διατάξεις των παραγράφων 7 και 8 του άρθρου 37 του κανονισμού 1303/2013:</w:t>
      </w:r>
    </w:p>
    <w:p w14:paraId="35E66B77" w14:textId="77777777" w:rsidR="008471C4" w:rsidRPr="00480379" w:rsidRDefault="008471C4" w:rsidP="008471C4">
      <w:pPr>
        <w:pStyle w:val="CM1"/>
        <w:spacing w:line="360" w:lineRule="auto"/>
        <w:rPr>
          <w:rFonts w:asciiTheme="minorHAnsi" w:hAnsiTheme="minorHAnsi"/>
          <w:sz w:val="22"/>
          <w:szCs w:val="22"/>
        </w:rPr>
      </w:pPr>
      <w:r w:rsidRPr="00480379">
        <w:rPr>
          <w:rFonts w:asciiTheme="minorHAnsi" w:hAnsiTheme="minorHAnsi"/>
          <w:sz w:val="22"/>
          <w:szCs w:val="22"/>
        </w:rPr>
        <w:t>α) τηρούνται ξεχωριστά αρχεία για κάθε πηγή βοήθειας και η χρηματοδοτική στήριξη από τα ΕΔΕΤ αποτελεί μέρος πράξης της οποίας οι δαπάνες οι επιλέξιμες για υποστήριξη, είναι ξεχωριστές από τις άλλες πηγές βοήθειας</w:t>
      </w:r>
    </w:p>
    <w:p w14:paraId="63B58B5F" w14:textId="77777777" w:rsidR="008471C4" w:rsidRPr="00480379" w:rsidRDefault="008471C4" w:rsidP="008471C4">
      <w:pPr>
        <w:pStyle w:val="CM1"/>
        <w:spacing w:line="360" w:lineRule="auto"/>
        <w:rPr>
          <w:rFonts w:asciiTheme="minorHAnsi" w:hAnsiTheme="minorHAnsi"/>
          <w:sz w:val="22"/>
          <w:szCs w:val="22"/>
        </w:rPr>
      </w:pPr>
      <w:r w:rsidRPr="00480379">
        <w:rPr>
          <w:rFonts w:asciiTheme="minorHAnsi" w:hAnsiTheme="minorHAnsi"/>
          <w:sz w:val="22"/>
          <w:szCs w:val="22"/>
        </w:rPr>
        <w:t>β) Τα μέσα χρηματοοικονομικής τεχνικής δεν χρησιμοποιούνται για την προχρηματοδότηση επιχορηγήσεων.</w:t>
      </w:r>
    </w:p>
    <w:p w14:paraId="46B09EDE" w14:textId="77777777" w:rsidR="00C07DB8" w:rsidRPr="005B76B8" w:rsidRDefault="008471C4" w:rsidP="00C07DB8">
      <w:pPr>
        <w:spacing w:line="360" w:lineRule="auto"/>
      </w:pPr>
      <w:r>
        <w:rPr>
          <w:color w:val="000000"/>
        </w:rPr>
        <w:lastRenderedPageBreak/>
        <w:t xml:space="preserve"> Όσον αφορά στον συνδυασμό με </w:t>
      </w:r>
      <w:r w:rsidRPr="00480379">
        <w:t>επιχορηγήσεις</w:t>
      </w:r>
      <w:r w:rsidR="005B76B8">
        <w:rPr>
          <w:rStyle w:val="ac"/>
        </w:rPr>
        <w:footnoteReference w:id="49"/>
      </w:r>
      <w:r w:rsidR="005B76B8">
        <w:t xml:space="preserve"> </w:t>
      </w:r>
      <w:r w:rsidRPr="00480379">
        <w:t>που αναφέρ</w:t>
      </w:r>
      <w:r>
        <w:t>ε</w:t>
      </w:r>
      <w:r w:rsidRPr="00480379">
        <w:t>ται</w:t>
      </w:r>
      <w:r>
        <w:t xml:space="preserve"> στην</w:t>
      </w:r>
      <w:r w:rsidRPr="00480379">
        <w:t xml:space="preserve"> παράγραφο 7 του άρθρου 37 του κανονισμού 1303/2013</w:t>
      </w:r>
      <w:r>
        <w:t>, αυτός αφορά</w:t>
      </w:r>
      <w:r w:rsidR="005B76B8">
        <w:t xml:space="preserve"> σ</w:t>
      </w:r>
      <w:r w:rsidR="005B76B8" w:rsidRPr="00480379">
        <w:t xml:space="preserve">την τεχνική υποστήριξη του τελικού αποδέκτη για την ενεργειακή αναβάθμιση της κατοικίας του. </w:t>
      </w:r>
    </w:p>
    <w:p w14:paraId="00CB7EF2" w14:textId="77777777" w:rsidR="00C07DB8" w:rsidRPr="00480379" w:rsidRDefault="00C07DB8" w:rsidP="00FA5CD9">
      <w:pPr>
        <w:pStyle w:val="3"/>
      </w:pPr>
      <w:bookmarkStart w:id="82" w:name="_Toc464038707"/>
      <w:bookmarkStart w:id="83" w:name="_Toc36639239"/>
      <w:r w:rsidRPr="00480379">
        <w:t>Καθορισμός των αναμενόμενων αποτελεσμάτων σε συνέπεια με το ΕΠΑνΕΚ</w:t>
      </w:r>
      <w:bookmarkEnd w:id="82"/>
      <w:bookmarkEnd w:id="83"/>
    </w:p>
    <w:p w14:paraId="19D1CAA8"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Η παράγραφος 29(</w:t>
      </w:r>
      <w:proofErr w:type="spellStart"/>
      <w:r w:rsidRPr="00480379">
        <w:rPr>
          <w:rFonts w:asciiTheme="minorHAnsi" w:hAnsiTheme="minorHAnsi" w:cs="Arial"/>
          <w:sz w:val="22"/>
          <w:szCs w:val="22"/>
        </w:rPr>
        <w:t>στ</w:t>
      </w:r>
      <w:proofErr w:type="spellEnd"/>
      <w:r w:rsidRPr="00480379">
        <w:rPr>
          <w:rFonts w:asciiTheme="minorHAnsi" w:hAnsiTheme="minorHAnsi" w:cs="Arial"/>
          <w:sz w:val="22"/>
          <w:szCs w:val="22"/>
        </w:rPr>
        <w:t xml:space="preserve">) του άρθρου 37 του κανονισμού 1303/2013 καθορίζει ότι η αξιολόγηση του </w:t>
      </w:r>
      <w:r w:rsidR="00410BEE">
        <w:rPr>
          <w:rFonts w:asciiTheme="minorHAnsi" w:hAnsiTheme="minorHAnsi" w:cs="Arial"/>
          <w:sz w:val="22"/>
          <w:szCs w:val="22"/>
        </w:rPr>
        <w:t xml:space="preserve">χρηματοοικονομικού εργαλείου </w:t>
      </w:r>
      <w:r w:rsidR="00410BEE" w:rsidRPr="00410BEE">
        <w:rPr>
          <w:rFonts w:asciiTheme="minorHAnsi" w:hAnsiTheme="minorHAnsi" w:cs="Arial"/>
          <w:sz w:val="22"/>
          <w:szCs w:val="22"/>
        </w:rPr>
        <w:t>(</w:t>
      </w:r>
      <w:r w:rsidR="00410BEE">
        <w:rPr>
          <w:rFonts w:asciiTheme="minorHAnsi" w:hAnsiTheme="minorHAnsi" w:cs="Arial"/>
          <w:sz w:val="22"/>
          <w:szCs w:val="22"/>
          <w:lang w:val="en-US"/>
        </w:rPr>
        <w:t>FI</w:t>
      </w:r>
      <w:r w:rsidR="00410BEE" w:rsidRPr="00410BEE">
        <w:rPr>
          <w:rFonts w:asciiTheme="minorHAnsi" w:hAnsiTheme="minorHAnsi" w:cs="Arial"/>
          <w:sz w:val="22"/>
          <w:szCs w:val="22"/>
        </w:rPr>
        <w:t xml:space="preserve">) </w:t>
      </w:r>
      <w:r w:rsidRPr="00480379">
        <w:rPr>
          <w:rFonts w:asciiTheme="minorHAnsi" w:hAnsiTheme="minorHAnsi" w:cs="Arial"/>
          <w:sz w:val="22"/>
          <w:szCs w:val="22"/>
        </w:rPr>
        <w:t>θα περιλαμβάνει:</w:t>
      </w:r>
    </w:p>
    <w:p w14:paraId="2058401D" w14:textId="77777777" w:rsidR="00C07DB8" w:rsidRPr="00480379" w:rsidRDefault="00C07DB8" w:rsidP="00C07DB8">
      <w:pPr>
        <w:pStyle w:val="Default"/>
        <w:numPr>
          <w:ilvl w:val="0"/>
          <w:numId w:val="41"/>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την προδιαγραφή των αναμενόμενων αποτελεσμάτων</w:t>
      </w:r>
      <w:r w:rsidR="00410BEE">
        <w:rPr>
          <w:rFonts w:asciiTheme="minorHAnsi" w:hAnsiTheme="minorHAnsi" w:cs="Arial"/>
          <w:sz w:val="22"/>
          <w:szCs w:val="22"/>
        </w:rPr>
        <w:t xml:space="preserve"> και κυρίως την επίπτωση στην αγορά  και την ανεπάρκεια που αναδείχθηκε</w:t>
      </w:r>
    </w:p>
    <w:p w14:paraId="74A05689" w14:textId="77777777" w:rsidR="00C07DB8" w:rsidRPr="00480379" w:rsidRDefault="00C07DB8" w:rsidP="00C07DB8">
      <w:pPr>
        <w:pStyle w:val="Default"/>
        <w:numPr>
          <w:ilvl w:val="0"/>
          <w:numId w:val="41"/>
        </w:numPr>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τον τρόπο με τον οποίο το </w:t>
      </w:r>
      <w:r w:rsidR="006766F3">
        <w:rPr>
          <w:rFonts w:asciiTheme="minorHAnsi" w:hAnsiTheme="minorHAnsi" w:cs="Arial"/>
          <w:sz w:val="22"/>
          <w:szCs w:val="22"/>
        </w:rPr>
        <w:t>Χρηματοοικονομικό Εργαλείο</w:t>
      </w:r>
      <w:r w:rsidRPr="00480379">
        <w:rPr>
          <w:rFonts w:asciiTheme="minorHAnsi" w:hAnsiTheme="minorHAnsi" w:cs="Arial"/>
          <w:sz w:val="22"/>
          <w:szCs w:val="22"/>
        </w:rPr>
        <w:t xml:space="preserve"> αναμένεται να συνεισφέρει στην επίτευξη των σκοπών και αποτελεσμάτων του σχετικού άξονα προτεραιότητας του επιχειρησιακού προγράμματος, συμπεριλαμβανομένου δεικτών για αυτή τη συνεισφορά.</w:t>
      </w:r>
    </w:p>
    <w:p w14:paraId="4624BE97"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Επιπρόσθετα οι δείκτες είναι χρήσιμοι για πιθανή αναθεώρηση της αξιολόγησης του μέσου κατά τη φάση υλοποίησης του μέσου. Σχετική αναφορά για αυτό το θέμα υπάρχει στο τελευταίο κεφάλαιο της αξιολόγησης. </w:t>
      </w:r>
    </w:p>
    <w:p w14:paraId="0AB08FFC"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Καταρχήν θα πρέπει να παρακολουθούνται οι δείκτες που προβλέπονται στο παράρτημα Ι του κανονισμού 1301/2013 (ΕΤΠΑ) για την </w:t>
      </w:r>
      <w:r w:rsidR="00410BEE">
        <w:rPr>
          <w:rFonts w:asciiTheme="minorHAnsi" w:hAnsiTheme="minorHAnsi" w:cs="Arial"/>
          <w:sz w:val="22"/>
          <w:szCs w:val="22"/>
        </w:rPr>
        <w:t>Ε</w:t>
      </w:r>
      <w:r w:rsidRPr="00480379">
        <w:rPr>
          <w:rFonts w:asciiTheme="minorHAnsi" w:hAnsiTheme="minorHAnsi" w:cs="Arial"/>
          <w:sz w:val="22"/>
          <w:szCs w:val="22"/>
        </w:rPr>
        <w:t xml:space="preserve">πενδυτική </w:t>
      </w:r>
      <w:r w:rsidR="00410BEE">
        <w:rPr>
          <w:rFonts w:asciiTheme="minorHAnsi" w:hAnsiTheme="minorHAnsi" w:cs="Arial"/>
          <w:sz w:val="22"/>
          <w:szCs w:val="22"/>
        </w:rPr>
        <w:t>Π</w:t>
      </w:r>
      <w:r w:rsidRPr="00480379">
        <w:rPr>
          <w:rFonts w:asciiTheme="minorHAnsi" w:hAnsiTheme="minorHAnsi" w:cs="Arial"/>
          <w:sz w:val="22"/>
          <w:szCs w:val="22"/>
        </w:rPr>
        <w:t>ροτεραιότητα 4</w:t>
      </w:r>
      <w:r w:rsidR="00410BEE">
        <w:rPr>
          <w:rFonts w:asciiTheme="minorHAnsi" w:hAnsiTheme="minorHAnsi" w:cs="Arial"/>
          <w:sz w:val="22"/>
          <w:szCs w:val="22"/>
          <w:lang w:val="en-US"/>
        </w:rPr>
        <w:t>c</w:t>
      </w:r>
      <w:r w:rsidRPr="00480379">
        <w:rPr>
          <w:rFonts w:asciiTheme="minorHAnsi" w:hAnsiTheme="minorHAnsi" w:cs="Arial"/>
          <w:sz w:val="22"/>
          <w:szCs w:val="22"/>
        </w:rPr>
        <w:t xml:space="preserve">. Ο κανονισμός απαιτεί την παρακολούθηση του δείκτη εκροών «Αριθμός νοικοκυριών που κατατάσσονται σε καλλίτερη κατηγορία ενεργειακής κατανάλωσης». Ο συγκεκριμένος δείκτης εντάσσεται </w:t>
      </w:r>
      <w:r w:rsidR="00410BEE">
        <w:rPr>
          <w:rFonts w:asciiTheme="minorHAnsi" w:hAnsiTheme="minorHAnsi" w:cs="Arial"/>
          <w:sz w:val="22"/>
          <w:szCs w:val="22"/>
        </w:rPr>
        <w:t xml:space="preserve">και </w:t>
      </w:r>
      <w:r w:rsidRPr="00480379">
        <w:rPr>
          <w:rFonts w:asciiTheme="minorHAnsi" w:hAnsiTheme="minorHAnsi" w:cs="Arial"/>
          <w:sz w:val="22"/>
          <w:szCs w:val="22"/>
        </w:rPr>
        <w:t>στο πλαίσιο</w:t>
      </w:r>
      <w:r w:rsidR="00410BEE">
        <w:rPr>
          <w:rFonts w:asciiTheme="minorHAnsi" w:hAnsiTheme="minorHAnsi" w:cs="Arial"/>
          <w:sz w:val="22"/>
          <w:szCs w:val="22"/>
        </w:rPr>
        <w:t xml:space="preserve"> του αποθεματικού</w:t>
      </w:r>
      <w:r w:rsidRPr="00480379">
        <w:rPr>
          <w:rFonts w:asciiTheme="minorHAnsi" w:hAnsiTheme="minorHAnsi" w:cs="Arial"/>
          <w:sz w:val="22"/>
          <w:szCs w:val="22"/>
        </w:rPr>
        <w:t xml:space="preserve"> επίδοσης του ΕΠΑνΕΚ.</w:t>
      </w:r>
    </w:p>
    <w:p w14:paraId="329063F4"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 xml:space="preserve">Στο επιχειρησιακό πρόγραμμα ΕΠΑνΕΚ δηλώνεται ως δείκτης εκροών και η «Εκτιμώμενη ετήσια μείωση των εκπομπών των αερίων θερμοκηπίου» με μονάδα μέτρησης τους τόνους ισοδυνάμου </w:t>
      </w:r>
      <w:r w:rsidRPr="00480379">
        <w:rPr>
          <w:rFonts w:asciiTheme="minorHAnsi" w:hAnsiTheme="minorHAnsi" w:cs="Arial"/>
          <w:sz w:val="22"/>
          <w:szCs w:val="22"/>
          <w:lang w:val="en-US"/>
        </w:rPr>
        <w:t>CO</w:t>
      </w:r>
      <w:r w:rsidRPr="00480379">
        <w:rPr>
          <w:rFonts w:asciiTheme="minorHAnsi" w:hAnsiTheme="minorHAnsi" w:cs="Arial"/>
          <w:sz w:val="22"/>
          <w:szCs w:val="22"/>
          <w:vertAlign w:val="subscript"/>
        </w:rPr>
        <w:t>2</w:t>
      </w:r>
      <w:r w:rsidRPr="00480379">
        <w:rPr>
          <w:rFonts w:asciiTheme="minorHAnsi" w:hAnsiTheme="minorHAnsi" w:cs="Arial"/>
          <w:sz w:val="22"/>
          <w:szCs w:val="22"/>
        </w:rPr>
        <w:t xml:space="preserve">. </w:t>
      </w:r>
      <w:r w:rsidRPr="00480379">
        <w:rPr>
          <w:rFonts w:asciiTheme="minorHAnsi" w:hAnsiTheme="minorHAnsi" w:cs="Arial"/>
          <w:sz w:val="22"/>
          <w:szCs w:val="22"/>
          <w:lang w:val="en-US"/>
        </w:rPr>
        <w:t>O</w:t>
      </w:r>
      <w:r w:rsidRPr="00480379">
        <w:rPr>
          <w:rFonts w:asciiTheme="minorHAnsi" w:hAnsiTheme="minorHAnsi" w:cs="Arial"/>
          <w:sz w:val="22"/>
          <w:szCs w:val="22"/>
        </w:rPr>
        <w:t xml:space="preserve"> συγκεκριμένος δείκτης δεν συμπεριλαμβάνεται στο πλαίσιο </w:t>
      </w:r>
      <w:r w:rsidR="00410BEE">
        <w:rPr>
          <w:rFonts w:asciiTheme="minorHAnsi" w:hAnsiTheme="minorHAnsi" w:cs="Arial"/>
          <w:sz w:val="22"/>
          <w:szCs w:val="22"/>
        </w:rPr>
        <w:t xml:space="preserve">του αποθεματικού </w:t>
      </w:r>
      <w:r w:rsidRPr="00480379">
        <w:rPr>
          <w:rFonts w:asciiTheme="minorHAnsi" w:hAnsiTheme="minorHAnsi" w:cs="Arial"/>
          <w:sz w:val="22"/>
          <w:szCs w:val="22"/>
        </w:rPr>
        <w:t>επίδοσης</w:t>
      </w:r>
      <w:r w:rsidRPr="00480379">
        <w:rPr>
          <w:rStyle w:val="ac"/>
          <w:rFonts w:asciiTheme="minorHAnsi" w:hAnsiTheme="minorHAnsi" w:cs="Arial"/>
          <w:sz w:val="22"/>
          <w:szCs w:val="22"/>
        </w:rPr>
        <w:footnoteReference w:id="50"/>
      </w:r>
      <w:r w:rsidRPr="00480379">
        <w:rPr>
          <w:rFonts w:asciiTheme="minorHAnsi" w:hAnsiTheme="minorHAnsi" w:cs="Arial"/>
          <w:sz w:val="22"/>
          <w:szCs w:val="22"/>
        </w:rPr>
        <w:t>.</w:t>
      </w:r>
    </w:p>
    <w:p w14:paraId="68576453" w14:textId="77777777" w:rsidR="00C07DB8" w:rsidRPr="00480379" w:rsidRDefault="00C07DB8" w:rsidP="00C07DB8">
      <w:pPr>
        <w:spacing w:line="360" w:lineRule="auto"/>
        <w:rPr>
          <w:rFonts w:eastAsia="Times New Roman"/>
          <w:lang w:eastAsia="el-GR"/>
        </w:rPr>
      </w:pPr>
      <w:r w:rsidRPr="00480379">
        <w:t xml:space="preserve">Ως δείκτης αποτελέσματος στο επιχειρησιακό πρόγραμμα δηλώνεται η «Ετήσια εξοικονόμησης τελικής ενέργειας» με μονάδα μέτρησης </w:t>
      </w:r>
      <w:proofErr w:type="spellStart"/>
      <w:r w:rsidRPr="00480379">
        <w:rPr>
          <w:lang w:val="en-US"/>
        </w:rPr>
        <w:t>ktoe</w:t>
      </w:r>
      <w:proofErr w:type="spellEnd"/>
      <w:r w:rsidRPr="00480379">
        <w:t xml:space="preserve">/έτος. Αναλυτικές πληροφορίες για τον τρόπο </w:t>
      </w:r>
      <w:r w:rsidRPr="00480379">
        <w:lastRenderedPageBreak/>
        <w:t>υπολογισμού του δείκτη δίνονται στο Εθνικό Σχέδιο Δράσης Ενεργειακής Απόδοσης - ΕΣΔΕΑ (</w:t>
      </w:r>
      <w:proofErr w:type="spellStart"/>
      <w:r w:rsidRPr="00480379">
        <w:t>υπ΄αριθμόν</w:t>
      </w:r>
      <w:proofErr w:type="spellEnd"/>
      <w:r w:rsidRPr="00480379">
        <w:t xml:space="preserve"> </w:t>
      </w:r>
      <w:r w:rsidRPr="00480379">
        <w:rPr>
          <w:rFonts w:eastAsia="Times New Roman"/>
          <w:lang w:eastAsia="el-GR"/>
        </w:rPr>
        <w:t>ΔΕΠΕΑ/Γ/οικ185496 υπουργική απόφαση με ημερομηνία έκδοσης 21</w:t>
      </w:r>
      <w:r w:rsidR="00054688">
        <w:rPr>
          <w:rFonts w:eastAsia="Times New Roman"/>
          <w:lang w:eastAsia="el-GR"/>
        </w:rPr>
        <w:t>.</w:t>
      </w:r>
      <w:r w:rsidRPr="00480379">
        <w:rPr>
          <w:rFonts w:eastAsia="Times New Roman"/>
          <w:lang w:eastAsia="el-GR"/>
        </w:rPr>
        <w:t>12</w:t>
      </w:r>
      <w:r w:rsidR="00054688">
        <w:rPr>
          <w:rFonts w:eastAsia="Times New Roman"/>
          <w:lang w:eastAsia="el-GR"/>
        </w:rPr>
        <w:t>.</w:t>
      </w:r>
      <w:r w:rsidRPr="00480379">
        <w:rPr>
          <w:rFonts w:eastAsia="Times New Roman"/>
          <w:lang w:eastAsia="el-GR"/>
        </w:rPr>
        <w:t>2015)</w:t>
      </w:r>
      <w:r w:rsidR="007C10C5" w:rsidRPr="007C10C5">
        <w:rPr>
          <w:rStyle w:val="ac"/>
          <w:rFonts w:eastAsia="Times New Roman"/>
          <w:lang w:eastAsia="el-GR"/>
        </w:rPr>
        <w:t xml:space="preserve"> </w:t>
      </w:r>
      <w:r w:rsidR="007C10C5">
        <w:rPr>
          <w:rStyle w:val="ac"/>
          <w:rFonts w:eastAsia="Times New Roman"/>
          <w:lang w:eastAsia="el-GR"/>
        </w:rPr>
        <w:footnoteReference w:id="51"/>
      </w:r>
      <w:r w:rsidRPr="00480379">
        <w:rPr>
          <w:rFonts w:eastAsia="Times New Roman"/>
          <w:lang w:eastAsia="el-GR"/>
        </w:rPr>
        <w:t>.</w:t>
      </w:r>
    </w:p>
    <w:p w14:paraId="7BB0B870" w14:textId="77777777" w:rsidR="00C07DB8" w:rsidRPr="00480379" w:rsidRDefault="00C07DB8" w:rsidP="00C07DB8">
      <w:pPr>
        <w:spacing w:line="360" w:lineRule="auto"/>
        <w:rPr>
          <w:lang w:eastAsia="el-GR"/>
        </w:rPr>
      </w:pPr>
      <w:r w:rsidRPr="00480379">
        <w:rPr>
          <w:lang w:eastAsia="el-GR"/>
        </w:rPr>
        <w:t>Επιπλέον προτείνονται δείκτες επίδοσης για το μέσο χρηματοοικονομικής τεχνικής ώστε να καταμετράται η λειτουργική απόδοση της υλοποίησής του. Οι δείκτες που προτείνονται είναι οι αμοιβές διαχείρισης του μέσου και οι πιστωτικές αθετήσεις. Η μονάδα μέτρησης στη πρώτη περίπτωση είναι το ποσοστό του συνολικού ποσού των συνεισφορών του επιχειρησιακού προγράμματος που έχουν καταβληθεί στο ταμείο χαρτοφυλακίου, και στη δεύτερη περίπτωση το ποσοστό των δανείων που κατέπεσαν προς το σύνολο των δανείων.</w:t>
      </w:r>
    </w:p>
    <w:p w14:paraId="45A09D4B" w14:textId="77777777" w:rsidR="00C07DB8" w:rsidRPr="00480379" w:rsidRDefault="00C07DB8" w:rsidP="00C07DB8">
      <w:pPr>
        <w:spacing w:line="360" w:lineRule="auto"/>
        <w:rPr>
          <w:lang w:eastAsia="el-GR"/>
        </w:rPr>
      </w:pPr>
      <w:r w:rsidRPr="00480379">
        <w:rPr>
          <w:lang w:eastAsia="el-GR"/>
        </w:rPr>
        <w:t>Όλοι οι προαναφερθέντες δείκτες εμφανίζονται στο συγκεντρωτικό πίνακα που ακολουθεί.</w:t>
      </w:r>
      <w:r w:rsidR="007C10C5">
        <w:rPr>
          <w:lang w:eastAsia="el-GR"/>
        </w:rPr>
        <w:t xml:space="preserve"> Ο υπολογισμός των τιμών των δεικτών βασίζεται στα στοιχεία των ολοκληρωμένων κατοικιών από τον </w:t>
      </w:r>
      <w:proofErr w:type="spellStart"/>
      <w:r w:rsidR="007C10C5">
        <w:rPr>
          <w:lang w:eastAsia="el-GR"/>
        </w:rPr>
        <w:t>Α’Κύκλο</w:t>
      </w:r>
      <w:proofErr w:type="spellEnd"/>
      <w:r w:rsidR="007C10C5">
        <w:rPr>
          <w:lang w:eastAsia="el-GR"/>
        </w:rPr>
        <w:t>.</w:t>
      </w:r>
    </w:p>
    <w:tbl>
      <w:tblPr>
        <w:tblStyle w:val="a6"/>
        <w:tblW w:w="0" w:type="auto"/>
        <w:tblLook w:val="04A0" w:firstRow="1" w:lastRow="0" w:firstColumn="1" w:lastColumn="0" w:noHBand="0" w:noVBand="1"/>
      </w:tblPr>
      <w:tblGrid>
        <w:gridCol w:w="2131"/>
        <w:gridCol w:w="2259"/>
        <w:gridCol w:w="2409"/>
        <w:gridCol w:w="1979"/>
      </w:tblGrid>
      <w:tr w:rsidR="007C10C5" w:rsidRPr="00CF2ABB" w14:paraId="4BE5E036" w14:textId="77777777" w:rsidTr="00627544">
        <w:tc>
          <w:tcPr>
            <w:tcW w:w="8778" w:type="dxa"/>
            <w:gridSpan w:val="4"/>
            <w:shd w:val="clear" w:color="auto" w:fill="D9D9D9" w:themeFill="background1" w:themeFillShade="D9"/>
            <w:vAlign w:val="center"/>
          </w:tcPr>
          <w:p w14:paraId="3DBF22C8" w14:textId="77777777" w:rsidR="007C10C5" w:rsidRPr="00CF2ABB" w:rsidRDefault="007C10C5" w:rsidP="000C719B">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Τύπος Χρηματοοικονομικού Εργαλείου (FI)</w:t>
            </w:r>
          </w:p>
          <w:p w14:paraId="68A63902" w14:textId="77777777" w:rsidR="007C10C5" w:rsidRPr="00CF2ABB" w:rsidRDefault="007C10C5" w:rsidP="000C719B">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w:t>
            </w:r>
            <w:r w:rsidRPr="00CF2ABB">
              <w:rPr>
                <w:rFonts w:asciiTheme="minorHAnsi" w:hAnsiTheme="minorHAnsi" w:cs="Arial"/>
                <w:i/>
                <w:sz w:val="20"/>
                <w:szCs w:val="20"/>
              </w:rPr>
              <w:t>Δάνεια με επιδότηση επιτοκίου για παρεμβάσεις εξοικονόμησης ενέργειας στις κατοικίες</w:t>
            </w:r>
            <w:r w:rsidRPr="00CF2ABB">
              <w:rPr>
                <w:rFonts w:asciiTheme="minorHAnsi" w:hAnsiTheme="minorHAnsi" w:cs="Arial"/>
                <w:sz w:val="20"/>
                <w:szCs w:val="20"/>
              </w:rPr>
              <w:t>»</w:t>
            </w:r>
          </w:p>
        </w:tc>
      </w:tr>
      <w:tr w:rsidR="007C10C5" w:rsidRPr="00CF2ABB" w14:paraId="76323A00" w14:textId="77777777" w:rsidTr="000843C4">
        <w:trPr>
          <w:trHeight w:val="609"/>
        </w:trPr>
        <w:tc>
          <w:tcPr>
            <w:tcW w:w="8778" w:type="dxa"/>
            <w:gridSpan w:val="4"/>
            <w:shd w:val="clear" w:color="auto" w:fill="FADAD3" w:themeFill="accent5" w:themeFillTint="33"/>
            <w:vAlign w:val="center"/>
          </w:tcPr>
          <w:p w14:paraId="4CD75354" w14:textId="77777777" w:rsidR="007C10C5" w:rsidRPr="00CF2ABB" w:rsidRDefault="007C10C5" w:rsidP="007C10C5">
            <w:pPr>
              <w:pStyle w:val="Default"/>
              <w:spacing w:before="40" w:after="40"/>
              <w:jc w:val="center"/>
              <w:rPr>
                <w:rFonts w:asciiTheme="minorHAnsi" w:hAnsiTheme="minorHAnsi" w:cs="Arial"/>
                <w:sz w:val="20"/>
                <w:szCs w:val="20"/>
              </w:rPr>
            </w:pPr>
            <w:r w:rsidRPr="00CF2ABB">
              <w:rPr>
                <w:rFonts w:asciiTheme="minorHAnsi" w:hAnsiTheme="minorHAnsi" w:cs="Arial"/>
                <w:sz w:val="20"/>
                <w:szCs w:val="20"/>
              </w:rPr>
              <w:t>Δημόσια Δαπάνη</w:t>
            </w:r>
          </w:p>
          <w:p w14:paraId="7BA4A3F0" w14:textId="77777777" w:rsidR="007C10C5" w:rsidRPr="00CF2ABB" w:rsidRDefault="007C10C5" w:rsidP="007C10C5">
            <w:pPr>
              <w:pStyle w:val="Default"/>
              <w:spacing w:before="40" w:after="40"/>
              <w:jc w:val="center"/>
              <w:rPr>
                <w:rFonts w:asciiTheme="minorHAnsi" w:hAnsiTheme="minorHAnsi" w:cs="Arial"/>
                <w:sz w:val="20"/>
                <w:szCs w:val="20"/>
              </w:rPr>
            </w:pPr>
            <w:r w:rsidRPr="00CF2ABB">
              <w:rPr>
                <w:rFonts w:asciiTheme="minorHAnsi" w:hAnsiTheme="minorHAnsi" w:cs="Arial"/>
                <w:sz w:val="20"/>
                <w:szCs w:val="20"/>
              </w:rPr>
              <w:t>88εκ.€ από πόρους ΕΤΠΑ του ΕΠΑνΕΚ</w:t>
            </w:r>
          </w:p>
        </w:tc>
      </w:tr>
      <w:tr w:rsidR="007C10C5" w:rsidRPr="00CF2ABB" w14:paraId="649942E9" w14:textId="77777777" w:rsidTr="007C10C5">
        <w:trPr>
          <w:trHeight w:val="570"/>
        </w:trPr>
        <w:tc>
          <w:tcPr>
            <w:tcW w:w="2131" w:type="dxa"/>
            <w:vMerge w:val="restart"/>
            <w:shd w:val="clear" w:color="auto" w:fill="D9D9D9" w:themeFill="background1" w:themeFillShade="D9"/>
            <w:vAlign w:val="center"/>
          </w:tcPr>
          <w:p w14:paraId="7FE8101A" w14:textId="77777777" w:rsidR="007C10C5" w:rsidRPr="00CF2ABB" w:rsidRDefault="007C10C5" w:rsidP="000C719B">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Δείκτης αποτελέσματος (ΕΠΑνΕΚ)</w:t>
            </w:r>
          </w:p>
        </w:tc>
        <w:tc>
          <w:tcPr>
            <w:tcW w:w="2259" w:type="dxa"/>
            <w:shd w:val="clear" w:color="auto" w:fill="D9D9D9" w:themeFill="background1" w:themeFillShade="D9"/>
            <w:vAlign w:val="center"/>
          </w:tcPr>
          <w:p w14:paraId="04BEAA43" w14:textId="77777777" w:rsidR="007C10C5" w:rsidRPr="00CF2ABB" w:rsidRDefault="007C10C5" w:rsidP="000C719B">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Δείκτης</w:t>
            </w:r>
          </w:p>
        </w:tc>
        <w:tc>
          <w:tcPr>
            <w:tcW w:w="2409" w:type="dxa"/>
            <w:shd w:val="clear" w:color="auto" w:fill="D9D9D9" w:themeFill="background1" w:themeFillShade="D9"/>
            <w:vAlign w:val="center"/>
          </w:tcPr>
          <w:p w14:paraId="219686B6" w14:textId="77777777" w:rsidR="007C10C5" w:rsidRPr="00CF2ABB" w:rsidRDefault="007C10C5" w:rsidP="000C719B">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Μονάδα μέτρησης</w:t>
            </w:r>
          </w:p>
        </w:tc>
        <w:tc>
          <w:tcPr>
            <w:tcW w:w="1979" w:type="dxa"/>
            <w:shd w:val="clear" w:color="auto" w:fill="D9D9D9" w:themeFill="background1" w:themeFillShade="D9"/>
            <w:vAlign w:val="center"/>
          </w:tcPr>
          <w:p w14:paraId="26BABAB4" w14:textId="77777777" w:rsidR="007C10C5" w:rsidRPr="00CF2ABB" w:rsidRDefault="007C10C5" w:rsidP="000C719B">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Τιμή στόχος (2023)</w:t>
            </w:r>
          </w:p>
        </w:tc>
      </w:tr>
      <w:tr w:rsidR="007C10C5" w:rsidRPr="00CF2ABB" w14:paraId="67E20D4A" w14:textId="77777777" w:rsidTr="000843C4">
        <w:trPr>
          <w:trHeight w:val="570"/>
        </w:trPr>
        <w:tc>
          <w:tcPr>
            <w:tcW w:w="2131" w:type="dxa"/>
            <w:vMerge/>
            <w:shd w:val="clear" w:color="auto" w:fill="D9D9D9" w:themeFill="background1" w:themeFillShade="D9"/>
          </w:tcPr>
          <w:p w14:paraId="66A8D556" w14:textId="77777777" w:rsidR="007C10C5" w:rsidRPr="00CF2ABB" w:rsidRDefault="007C10C5" w:rsidP="000C719B">
            <w:pPr>
              <w:pStyle w:val="Default"/>
              <w:spacing w:before="40" w:after="120"/>
              <w:jc w:val="center"/>
              <w:rPr>
                <w:rFonts w:asciiTheme="minorHAnsi" w:hAnsiTheme="minorHAnsi" w:cs="Arial"/>
                <w:sz w:val="20"/>
                <w:szCs w:val="20"/>
              </w:rPr>
            </w:pPr>
          </w:p>
        </w:tc>
        <w:tc>
          <w:tcPr>
            <w:tcW w:w="2259" w:type="dxa"/>
            <w:shd w:val="clear" w:color="auto" w:fill="FADAD3" w:themeFill="accent5" w:themeFillTint="33"/>
            <w:vAlign w:val="center"/>
          </w:tcPr>
          <w:p w14:paraId="760D2545" w14:textId="77777777" w:rsidR="007C10C5" w:rsidRPr="00CF2ABB" w:rsidRDefault="007C10C5" w:rsidP="00FC5388">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Ετήσια εξοικονόμηση τελικής ενέργειας</w:t>
            </w:r>
          </w:p>
        </w:tc>
        <w:tc>
          <w:tcPr>
            <w:tcW w:w="2409" w:type="dxa"/>
            <w:shd w:val="clear" w:color="auto" w:fill="FADAD3" w:themeFill="accent5" w:themeFillTint="33"/>
            <w:vAlign w:val="center"/>
          </w:tcPr>
          <w:p w14:paraId="715BD0E2" w14:textId="77777777" w:rsidR="007C10C5" w:rsidRPr="00CF2ABB" w:rsidRDefault="007C10C5" w:rsidP="000C719B">
            <w:pPr>
              <w:pStyle w:val="Default"/>
              <w:spacing w:before="40" w:after="120"/>
              <w:jc w:val="center"/>
              <w:rPr>
                <w:rFonts w:asciiTheme="minorHAnsi" w:hAnsiTheme="minorHAnsi" w:cs="Arial"/>
                <w:sz w:val="20"/>
                <w:szCs w:val="20"/>
              </w:rPr>
            </w:pPr>
            <w:proofErr w:type="spellStart"/>
            <w:r w:rsidRPr="00CF2ABB">
              <w:rPr>
                <w:rFonts w:asciiTheme="minorHAnsi" w:hAnsiTheme="minorHAnsi" w:cs="Arial"/>
                <w:sz w:val="20"/>
                <w:szCs w:val="20"/>
                <w:lang w:val="en-US"/>
              </w:rPr>
              <w:t>ktoe</w:t>
            </w:r>
            <w:proofErr w:type="spellEnd"/>
            <w:r w:rsidRPr="00CF2ABB">
              <w:rPr>
                <w:rFonts w:asciiTheme="minorHAnsi" w:hAnsiTheme="minorHAnsi" w:cs="Arial"/>
                <w:sz w:val="20"/>
                <w:szCs w:val="20"/>
                <w:lang w:val="en-US"/>
              </w:rPr>
              <w:t>/</w:t>
            </w:r>
            <w:r w:rsidRPr="00CF2ABB">
              <w:rPr>
                <w:rFonts w:asciiTheme="minorHAnsi" w:hAnsiTheme="minorHAnsi" w:cs="Arial"/>
                <w:sz w:val="20"/>
                <w:szCs w:val="20"/>
              </w:rPr>
              <w:t>έτος</w:t>
            </w:r>
          </w:p>
        </w:tc>
        <w:tc>
          <w:tcPr>
            <w:tcW w:w="1979" w:type="dxa"/>
            <w:shd w:val="clear" w:color="auto" w:fill="FADAD3" w:themeFill="accent5" w:themeFillTint="33"/>
            <w:vAlign w:val="center"/>
          </w:tcPr>
          <w:p w14:paraId="6A696203" w14:textId="77777777" w:rsidR="007C10C5" w:rsidRPr="00CF2ABB" w:rsidRDefault="007C10C5" w:rsidP="007C10C5">
            <w:pPr>
              <w:pStyle w:val="Default"/>
              <w:spacing w:before="40" w:after="120"/>
              <w:jc w:val="center"/>
              <w:rPr>
                <w:rFonts w:asciiTheme="minorHAnsi" w:hAnsiTheme="minorHAnsi" w:cs="Arial"/>
                <w:sz w:val="20"/>
                <w:szCs w:val="20"/>
              </w:rPr>
            </w:pPr>
            <w:r w:rsidRPr="00CF2ABB">
              <w:rPr>
                <w:rFonts w:ascii="Calibri" w:hAnsi="Calibri"/>
                <w:sz w:val="20"/>
                <w:szCs w:val="20"/>
              </w:rPr>
              <w:t>58,02</w:t>
            </w:r>
          </w:p>
        </w:tc>
      </w:tr>
      <w:tr w:rsidR="007C10C5" w:rsidRPr="00CF2ABB" w14:paraId="70CB1610" w14:textId="77777777" w:rsidTr="00627544">
        <w:tc>
          <w:tcPr>
            <w:tcW w:w="8778" w:type="dxa"/>
            <w:gridSpan w:val="4"/>
            <w:shd w:val="clear" w:color="auto" w:fill="FFF4CD" w:themeFill="accent1" w:themeFillTint="33"/>
            <w:vAlign w:val="center"/>
          </w:tcPr>
          <w:p w14:paraId="6624C7EA" w14:textId="77777777" w:rsidR="007C10C5" w:rsidRPr="00CF2ABB" w:rsidRDefault="007C10C5" w:rsidP="00A026BF">
            <w:pPr>
              <w:pStyle w:val="Default"/>
              <w:spacing w:before="40" w:after="40"/>
              <w:jc w:val="center"/>
              <w:rPr>
                <w:rFonts w:asciiTheme="minorHAnsi" w:hAnsiTheme="minorHAnsi" w:cs="Arial"/>
                <w:sz w:val="20"/>
                <w:szCs w:val="20"/>
              </w:rPr>
            </w:pPr>
            <w:r w:rsidRPr="00CF2ABB">
              <w:rPr>
                <w:rFonts w:asciiTheme="minorHAnsi" w:hAnsiTheme="minorHAnsi" w:cs="Arial"/>
                <w:sz w:val="20"/>
                <w:szCs w:val="20"/>
              </w:rPr>
              <w:t>Δημόσια Δαπάνη</w:t>
            </w:r>
          </w:p>
          <w:p w14:paraId="2C165BC3" w14:textId="77777777" w:rsidR="007C10C5" w:rsidRPr="00CF2ABB" w:rsidRDefault="007C10C5" w:rsidP="00A026BF">
            <w:pPr>
              <w:pStyle w:val="Default"/>
              <w:spacing w:before="40" w:after="40"/>
              <w:jc w:val="center"/>
              <w:rPr>
                <w:rFonts w:asciiTheme="minorHAnsi" w:hAnsiTheme="minorHAnsi" w:cs="Arial"/>
                <w:sz w:val="20"/>
                <w:szCs w:val="20"/>
              </w:rPr>
            </w:pPr>
            <w:r w:rsidRPr="00CF2ABB">
              <w:rPr>
                <w:rFonts w:asciiTheme="minorHAnsi" w:hAnsiTheme="minorHAnsi" w:cs="Arial"/>
                <w:sz w:val="20"/>
                <w:szCs w:val="20"/>
              </w:rPr>
              <w:t>115εκ.€ από πόρους ΕΤΠΑ του ΕΠΑνΕΚ</w:t>
            </w:r>
          </w:p>
        </w:tc>
      </w:tr>
      <w:tr w:rsidR="007C10C5" w:rsidRPr="00CF2ABB" w14:paraId="35CBB8CC" w14:textId="77777777" w:rsidTr="007C10C5">
        <w:trPr>
          <w:trHeight w:val="570"/>
        </w:trPr>
        <w:tc>
          <w:tcPr>
            <w:tcW w:w="2131" w:type="dxa"/>
            <w:vMerge w:val="restart"/>
            <w:shd w:val="clear" w:color="auto" w:fill="D9D9D9" w:themeFill="background1" w:themeFillShade="D9"/>
            <w:vAlign w:val="center"/>
          </w:tcPr>
          <w:p w14:paraId="3A1A55EE" w14:textId="77777777" w:rsidR="007C10C5" w:rsidRPr="00CF2ABB" w:rsidRDefault="007C10C5" w:rsidP="00627544">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Δείκτης αποτελέσματος (ΕΠΑνΕΚ)</w:t>
            </w:r>
          </w:p>
        </w:tc>
        <w:tc>
          <w:tcPr>
            <w:tcW w:w="2259" w:type="dxa"/>
            <w:shd w:val="clear" w:color="auto" w:fill="D9D9D9" w:themeFill="background1" w:themeFillShade="D9"/>
            <w:vAlign w:val="center"/>
          </w:tcPr>
          <w:p w14:paraId="1F5F5784" w14:textId="77777777" w:rsidR="007C10C5" w:rsidRPr="00CF2ABB" w:rsidRDefault="007C10C5" w:rsidP="00627544">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Δείκτης</w:t>
            </w:r>
          </w:p>
        </w:tc>
        <w:tc>
          <w:tcPr>
            <w:tcW w:w="2409" w:type="dxa"/>
            <w:shd w:val="clear" w:color="auto" w:fill="D9D9D9" w:themeFill="background1" w:themeFillShade="D9"/>
            <w:vAlign w:val="center"/>
          </w:tcPr>
          <w:p w14:paraId="27AD2471" w14:textId="77777777" w:rsidR="007C10C5" w:rsidRPr="00CF2ABB" w:rsidRDefault="007C10C5" w:rsidP="00627544">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Μονάδα μέτρησης</w:t>
            </w:r>
          </w:p>
        </w:tc>
        <w:tc>
          <w:tcPr>
            <w:tcW w:w="1979" w:type="dxa"/>
            <w:shd w:val="clear" w:color="auto" w:fill="D9D9D9" w:themeFill="background1" w:themeFillShade="D9"/>
            <w:vAlign w:val="center"/>
          </w:tcPr>
          <w:p w14:paraId="385BD373" w14:textId="77777777" w:rsidR="007C10C5" w:rsidRPr="00CF2ABB" w:rsidRDefault="007C10C5" w:rsidP="00627544">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Τιμή στόχος (2023)</w:t>
            </w:r>
          </w:p>
        </w:tc>
      </w:tr>
      <w:tr w:rsidR="007C10C5" w:rsidRPr="00CF2ABB" w14:paraId="2E82470D" w14:textId="77777777" w:rsidTr="007C10C5">
        <w:trPr>
          <w:trHeight w:val="570"/>
        </w:trPr>
        <w:tc>
          <w:tcPr>
            <w:tcW w:w="2131" w:type="dxa"/>
            <w:vMerge/>
            <w:shd w:val="clear" w:color="auto" w:fill="D9D9D9" w:themeFill="background1" w:themeFillShade="D9"/>
          </w:tcPr>
          <w:p w14:paraId="637D31AA" w14:textId="77777777" w:rsidR="007C10C5" w:rsidRPr="00CF2ABB" w:rsidRDefault="007C10C5" w:rsidP="00627544">
            <w:pPr>
              <w:pStyle w:val="Default"/>
              <w:spacing w:before="40" w:after="120"/>
              <w:jc w:val="center"/>
              <w:rPr>
                <w:rFonts w:asciiTheme="minorHAnsi" w:hAnsiTheme="minorHAnsi" w:cs="Arial"/>
                <w:sz w:val="20"/>
                <w:szCs w:val="20"/>
              </w:rPr>
            </w:pPr>
          </w:p>
        </w:tc>
        <w:tc>
          <w:tcPr>
            <w:tcW w:w="2259" w:type="dxa"/>
            <w:vAlign w:val="center"/>
          </w:tcPr>
          <w:p w14:paraId="54E73281" w14:textId="77777777" w:rsidR="007C10C5" w:rsidRPr="00CF2ABB" w:rsidRDefault="007C10C5" w:rsidP="00627544">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Ετήσια εξοικονόμηση τελικής ενέργειας</w:t>
            </w:r>
          </w:p>
        </w:tc>
        <w:tc>
          <w:tcPr>
            <w:tcW w:w="2409" w:type="dxa"/>
            <w:vAlign w:val="center"/>
          </w:tcPr>
          <w:p w14:paraId="44896058" w14:textId="77777777" w:rsidR="007C10C5" w:rsidRPr="00CF2ABB" w:rsidRDefault="007C10C5" w:rsidP="00627544">
            <w:pPr>
              <w:pStyle w:val="Default"/>
              <w:spacing w:before="40" w:after="120"/>
              <w:jc w:val="center"/>
              <w:rPr>
                <w:rFonts w:asciiTheme="minorHAnsi" w:hAnsiTheme="minorHAnsi" w:cs="Arial"/>
                <w:sz w:val="20"/>
                <w:szCs w:val="20"/>
              </w:rPr>
            </w:pPr>
            <w:proofErr w:type="spellStart"/>
            <w:r w:rsidRPr="00CF2ABB">
              <w:rPr>
                <w:rFonts w:asciiTheme="minorHAnsi" w:hAnsiTheme="minorHAnsi" w:cs="Arial"/>
                <w:sz w:val="20"/>
                <w:szCs w:val="20"/>
                <w:lang w:val="en-US"/>
              </w:rPr>
              <w:t>ktoe</w:t>
            </w:r>
            <w:proofErr w:type="spellEnd"/>
            <w:r w:rsidRPr="00CF2ABB">
              <w:rPr>
                <w:rFonts w:asciiTheme="minorHAnsi" w:hAnsiTheme="minorHAnsi" w:cs="Arial"/>
                <w:sz w:val="20"/>
                <w:szCs w:val="20"/>
                <w:lang w:val="en-US"/>
              </w:rPr>
              <w:t>/</w:t>
            </w:r>
            <w:r w:rsidRPr="00CF2ABB">
              <w:rPr>
                <w:rFonts w:asciiTheme="minorHAnsi" w:hAnsiTheme="minorHAnsi" w:cs="Arial"/>
                <w:sz w:val="20"/>
                <w:szCs w:val="20"/>
              </w:rPr>
              <w:t>έτος</w:t>
            </w:r>
          </w:p>
        </w:tc>
        <w:tc>
          <w:tcPr>
            <w:tcW w:w="1979" w:type="dxa"/>
            <w:vAlign w:val="center"/>
          </w:tcPr>
          <w:p w14:paraId="6541F5DF" w14:textId="77777777" w:rsidR="007C10C5" w:rsidRPr="00CF2ABB" w:rsidRDefault="007C10C5" w:rsidP="00627544">
            <w:pPr>
              <w:pStyle w:val="Default"/>
              <w:spacing w:before="40" w:after="120"/>
              <w:jc w:val="center"/>
              <w:rPr>
                <w:rFonts w:asciiTheme="minorHAnsi" w:hAnsiTheme="minorHAnsi" w:cs="Arial"/>
                <w:sz w:val="20"/>
                <w:szCs w:val="20"/>
              </w:rPr>
            </w:pPr>
            <w:r w:rsidRPr="00CF2ABB">
              <w:rPr>
                <w:rFonts w:ascii="Calibri" w:hAnsi="Calibri"/>
                <w:sz w:val="20"/>
                <w:szCs w:val="20"/>
              </w:rPr>
              <w:t>75,82</w:t>
            </w:r>
          </w:p>
        </w:tc>
      </w:tr>
    </w:tbl>
    <w:p w14:paraId="56EC8BCC" w14:textId="77777777" w:rsidR="000C719B" w:rsidRPr="00CF2ABB" w:rsidRDefault="000C719B" w:rsidP="00A026BF">
      <w:pPr>
        <w:spacing w:line="240" w:lineRule="auto"/>
        <w:rPr>
          <w:sz w:val="20"/>
          <w:szCs w:val="20"/>
          <w:lang w:eastAsia="el-GR"/>
        </w:rPr>
      </w:pPr>
      <w:r w:rsidRPr="00CF2ABB">
        <w:rPr>
          <w:sz w:val="20"/>
          <w:szCs w:val="20"/>
          <w:lang w:eastAsia="el-GR"/>
        </w:rPr>
        <w:t xml:space="preserve"> </w:t>
      </w:r>
    </w:p>
    <w:tbl>
      <w:tblPr>
        <w:tblStyle w:val="a6"/>
        <w:tblW w:w="0" w:type="auto"/>
        <w:tblLook w:val="04A0" w:firstRow="1" w:lastRow="0" w:firstColumn="1" w:lastColumn="0" w:noHBand="0" w:noVBand="1"/>
      </w:tblPr>
      <w:tblGrid>
        <w:gridCol w:w="2405"/>
        <w:gridCol w:w="1972"/>
        <w:gridCol w:w="1430"/>
        <w:gridCol w:w="2971"/>
      </w:tblGrid>
      <w:tr w:rsidR="000C719B" w:rsidRPr="00CF2ABB" w14:paraId="04BDEC1B" w14:textId="77777777" w:rsidTr="00366AF2">
        <w:tc>
          <w:tcPr>
            <w:tcW w:w="8778" w:type="dxa"/>
            <w:gridSpan w:val="4"/>
            <w:shd w:val="clear" w:color="auto" w:fill="D9D9D9" w:themeFill="background1" w:themeFillShade="D9"/>
            <w:vAlign w:val="center"/>
          </w:tcPr>
          <w:p w14:paraId="4BBBF54A" w14:textId="77777777" w:rsidR="000C719B" w:rsidRPr="00CF2ABB" w:rsidRDefault="000C719B" w:rsidP="000C719B">
            <w:pPr>
              <w:spacing w:line="240" w:lineRule="auto"/>
              <w:jc w:val="center"/>
              <w:rPr>
                <w:sz w:val="20"/>
                <w:szCs w:val="20"/>
              </w:rPr>
            </w:pPr>
            <w:r w:rsidRPr="00CF2ABB">
              <w:rPr>
                <w:sz w:val="20"/>
                <w:szCs w:val="20"/>
              </w:rPr>
              <w:t xml:space="preserve">Δείκτες επίδοσης </w:t>
            </w:r>
            <w:r w:rsidRPr="00CF2ABB">
              <w:rPr>
                <w:sz w:val="20"/>
                <w:szCs w:val="20"/>
                <w:lang w:val="en-US"/>
              </w:rPr>
              <w:t>FI</w:t>
            </w:r>
          </w:p>
        </w:tc>
      </w:tr>
      <w:tr w:rsidR="000C719B" w:rsidRPr="00CF2ABB" w14:paraId="4D83DF29" w14:textId="77777777" w:rsidTr="00A026BF">
        <w:tc>
          <w:tcPr>
            <w:tcW w:w="2405" w:type="dxa"/>
            <w:shd w:val="clear" w:color="auto" w:fill="D9D9D9" w:themeFill="background1" w:themeFillShade="D9"/>
            <w:vAlign w:val="center"/>
          </w:tcPr>
          <w:p w14:paraId="05178195" w14:textId="77777777" w:rsidR="000C719B" w:rsidRPr="00CF2ABB" w:rsidRDefault="000C719B" w:rsidP="000C719B">
            <w:pPr>
              <w:spacing w:line="240" w:lineRule="auto"/>
              <w:jc w:val="center"/>
              <w:rPr>
                <w:sz w:val="20"/>
                <w:szCs w:val="20"/>
              </w:rPr>
            </w:pPr>
            <w:r w:rsidRPr="00CF2ABB">
              <w:rPr>
                <w:sz w:val="20"/>
                <w:szCs w:val="20"/>
              </w:rPr>
              <w:t>Δείκτης</w:t>
            </w:r>
          </w:p>
        </w:tc>
        <w:tc>
          <w:tcPr>
            <w:tcW w:w="1972" w:type="dxa"/>
            <w:shd w:val="clear" w:color="auto" w:fill="D9D9D9" w:themeFill="background1" w:themeFillShade="D9"/>
            <w:vAlign w:val="center"/>
          </w:tcPr>
          <w:p w14:paraId="71D2E653" w14:textId="77777777" w:rsidR="000C719B" w:rsidRPr="00CF2ABB" w:rsidRDefault="000C719B" w:rsidP="000C719B">
            <w:pPr>
              <w:spacing w:line="240" w:lineRule="auto"/>
              <w:jc w:val="center"/>
              <w:rPr>
                <w:sz w:val="20"/>
                <w:szCs w:val="20"/>
              </w:rPr>
            </w:pPr>
            <w:r w:rsidRPr="00CF2ABB">
              <w:rPr>
                <w:sz w:val="20"/>
                <w:szCs w:val="20"/>
              </w:rPr>
              <w:t>Μονάδα μέτρησης</w:t>
            </w:r>
          </w:p>
        </w:tc>
        <w:tc>
          <w:tcPr>
            <w:tcW w:w="1430" w:type="dxa"/>
            <w:shd w:val="clear" w:color="auto" w:fill="D9D9D9" w:themeFill="background1" w:themeFillShade="D9"/>
            <w:vAlign w:val="center"/>
          </w:tcPr>
          <w:p w14:paraId="42DAFD02" w14:textId="77777777" w:rsidR="000C719B" w:rsidRPr="00CF2ABB" w:rsidRDefault="000C719B" w:rsidP="000C719B">
            <w:pPr>
              <w:spacing w:line="240" w:lineRule="auto"/>
              <w:jc w:val="center"/>
              <w:rPr>
                <w:sz w:val="20"/>
                <w:szCs w:val="20"/>
              </w:rPr>
            </w:pPr>
            <w:r w:rsidRPr="00CF2ABB">
              <w:rPr>
                <w:sz w:val="20"/>
                <w:szCs w:val="20"/>
              </w:rPr>
              <w:t>Στόχος</w:t>
            </w:r>
          </w:p>
        </w:tc>
        <w:tc>
          <w:tcPr>
            <w:tcW w:w="2971" w:type="dxa"/>
            <w:shd w:val="clear" w:color="auto" w:fill="D9D9D9" w:themeFill="background1" w:themeFillShade="D9"/>
            <w:vAlign w:val="center"/>
          </w:tcPr>
          <w:p w14:paraId="6628FD22" w14:textId="77777777" w:rsidR="000C719B" w:rsidRPr="00CF2ABB" w:rsidRDefault="000C719B" w:rsidP="000C719B">
            <w:pPr>
              <w:spacing w:line="240" w:lineRule="auto"/>
              <w:jc w:val="center"/>
              <w:rPr>
                <w:sz w:val="20"/>
                <w:szCs w:val="20"/>
              </w:rPr>
            </w:pPr>
            <w:r w:rsidRPr="00CF2ABB">
              <w:rPr>
                <w:sz w:val="20"/>
                <w:szCs w:val="20"/>
              </w:rPr>
              <w:t>Πηγή στοιχείων</w:t>
            </w:r>
          </w:p>
        </w:tc>
      </w:tr>
      <w:tr w:rsidR="000C719B" w:rsidRPr="00CF2ABB" w14:paraId="5EDFB769" w14:textId="77777777" w:rsidTr="00A026BF">
        <w:tc>
          <w:tcPr>
            <w:tcW w:w="2405" w:type="dxa"/>
            <w:vAlign w:val="center"/>
          </w:tcPr>
          <w:p w14:paraId="5715119E" w14:textId="77777777" w:rsidR="000C719B" w:rsidRPr="00CF2ABB" w:rsidRDefault="000C719B" w:rsidP="000C719B">
            <w:pPr>
              <w:spacing w:line="240" w:lineRule="auto"/>
              <w:jc w:val="center"/>
              <w:rPr>
                <w:color w:val="000000"/>
                <w:sz w:val="20"/>
                <w:szCs w:val="20"/>
              </w:rPr>
            </w:pPr>
            <w:r w:rsidRPr="00CF2ABB">
              <w:rPr>
                <w:sz w:val="20"/>
                <w:szCs w:val="20"/>
                <w:lang w:eastAsia="el-GR"/>
              </w:rPr>
              <w:t>Αμοιβές διαχείρισης του μέσου</w:t>
            </w:r>
          </w:p>
        </w:tc>
        <w:tc>
          <w:tcPr>
            <w:tcW w:w="1972" w:type="dxa"/>
            <w:vAlign w:val="center"/>
          </w:tcPr>
          <w:p w14:paraId="5E51BF8D" w14:textId="77777777" w:rsidR="000C719B" w:rsidRPr="00CF2ABB" w:rsidRDefault="000C719B" w:rsidP="000C719B">
            <w:pPr>
              <w:spacing w:line="240" w:lineRule="auto"/>
              <w:jc w:val="center"/>
              <w:rPr>
                <w:sz w:val="20"/>
                <w:szCs w:val="20"/>
              </w:rPr>
            </w:pPr>
            <w:r w:rsidRPr="00CF2ABB">
              <w:rPr>
                <w:sz w:val="20"/>
                <w:szCs w:val="20"/>
              </w:rPr>
              <w:t>ποσοστό</w:t>
            </w:r>
          </w:p>
        </w:tc>
        <w:tc>
          <w:tcPr>
            <w:tcW w:w="1430" w:type="dxa"/>
            <w:vAlign w:val="center"/>
          </w:tcPr>
          <w:p w14:paraId="012E664F" w14:textId="77777777" w:rsidR="000C719B" w:rsidRPr="00CF2ABB" w:rsidRDefault="000C719B" w:rsidP="000C719B">
            <w:pPr>
              <w:spacing w:line="240" w:lineRule="auto"/>
              <w:jc w:val="center"/>
              <w:rPr>
                <w:sz w:val="20"/>
                <w:szCs w:val="20"/>
              </w:rPr>
            </w:pPr>
            <w:r w:rsidRPr="00CF2ABB">
              <w:rPr>
                <w:sz w:val="20"/>
                <w:szCs w:val="20"/>
              </w:rPr>
              <w:t>7%</w:t>
            </w:r>
          </w:p>
        </w:tc>
        <w:tc>
          <w:tcPr>
            <w:tcW w:w="2971" w:type="dxa"/>
            <w:vMerge w:val="restart"/>
            <w:vAlign w:val="center"/>
          </w:tcPr>
          <w:p w14:paraId="6C178F42" w14:textId="77777777" w:rsidR="000C719B" w:rsidRPr="00CF2ABB" w:rsidRDefault="000C719B" w:rsidP="000C719B">
            <w:pPr>
              <w:spacing w:line="240" w:lineRule="auto"/>
              <w:jc w:val="center"/>
              <w:rPr>
                <w:sz w:val="20"/>
                <w:szCs w:val="20"/>
              </w:rPr>
            </w:pPr>
            <w:r w:rsidRPr="00CF2ABB">
              <w:rPr>
                <w:sz w:val="20"/>
                <w:szCs w:val="20"/>
              </w:rPr>
              <w:t>Εξαμηνιαία έκθεση προόδου του διαχειριστή του ταμείου.</w:t>
            </w:r>
          </w:p>
        </w:tc>
      </w:tr>
      <w:tr w:rsidR="000C719B" w:rsidRPr="00CF2ABB" w14:paraId="1DE38875" w14:textId="77777777" w:rsidTr="00A026BF">
        <w:tc>
          <w:tcPr>
            <w:tcW w:w="2405" w:type="dxa"/>
            <w:vAlign w:val="center"/>
          </w:tcPr>
          <w:p w14:paraId="478C13D5" w14:textId="77777777" w:rsidR="000C719B" w:rsidRPr="00CF2ABB" w:rsidRDefault="000C719B" w:rsidP="000C719B">
            <w:pPr>
              <w:spacing w:line="240" w:lineRule="auto"/>
              <w:jc w:val="center"/>
              <w:rPr>
                <w:sz w:val="20"/>
                <w:szCs w:val="20"/>
                <w:lang w:eastAsia="el-GR"/>
              </w:rPr>
            </w:pPr>
            <w:r w:rsidRPr="00CF2ABB">
              <w:rPr>
                <w:sz w:val="20"/>
                <w:szCs w:val="20"/>
                <w:lang w:eastAsia="el-GR"/>
              </w:rPr>
              <w:t>Ποσοστό πιστωτικών αθετήσεων</w:t>
            </w:r>
          </w:p>
        </w:tc>
        <w:tc>
          <w:tcPr>
            <w:tcW w:w="1972" w:type="dxa"/>
            <w:vAlign w:val="center"/>
          </w:tcPr>
          <w:p w14:paraId="63E1A04D" w14:textId="77777777" w:rsidR="000C719B" w:rsidRPr="00CF2ABB" w:rsidRDefault="000C719B" w:rsidP="000C719B">
            <w:pPr>
              <w:spacing w:line="240" w:lineRule="auto"/>
              <w:jc w:val="center"/>
              <w:rPr>
                <w:sz w:val="20"/>
                <w:szCs w:val="20"/>
              </w:rPr>
            </w:pPr>
            <w:r w:rsidRPr="00CF2ABB">
              <w:rPr>
                <w:sz w:val="20"/>
                <w:szCs w:val="20"/>
              </w:rPr>
              <w:t>ποσοστό</w:t>
            </w:r>
          </w:p>
        </w:tc>
        <w:tc>
          <w:tcPr>
            <w:tcW w:w="1430" w:type="dxa"/>
            <w:vAlign w:val="center"/>
          </w:tcPr>
          <w:p w14:paraId="61CFA694" w14:textId="77777777" w:rsidR="000C719B" w:rsidRPr="00CF2ABB" w:rsidRDefault="000C719B" w:rsidP="000C719B">
            <w:pPr>
              <w:spacing w:line="240" w:lineRule="auto"/>
              <w:jc w:val="center"/>
              <w:rPr>
                <w:sz w:val="20"/>
                <w:szCs w:val="20"/>
              </w:rPr>
            </w:pPr>
            <w:r w:rsidRPr="00CF2ABB">
              <w:rPr>
                <w:sz w:val="20"/>
                <w:szCs w:val="20"/>
              </w:rPr>
              <w:t>3%</w:t>
            </w:r>
          </w:p>
        </w:tc>
        <w:tc>
          <w:tcPr>
            <w:tcW w:w="2971" w:type="dxa"/>
            <w:vMerge/>
          </w:tcPr>
          <w:p w14:paraId="76365839" w14:textId="77777777" w:rsidR="000C719B" w:rsidRPr="00CF2ABB" w:rsidRDefault="000C719B" w:rsidP="000C719B">
            <w:pPr>
              <w:spacing w:line="240" w:lineRule="auto"/>
              <w:jc w:val="center"/>
              <w:rPr>
                <w:sz w:val="20"/>
                <w:szCs w:val="20"/>
              </w:rPr>
            </w:pPr>
          </w:p>
        </w:tc>
      </w:tr>
    </w:tbl>
    <w:p w14:paraId="3CF6ACD2" w14:textId="77777777" w:rsidR="00C07DB8" w:rsidRPr="00CF2ABB" w:rsidRDefault="000C719B" w:rsidP="00C07DB8">
      <w:pPr>
        <w:spacing w:line="360" w:lineRule="auto"/>
        <w:rPr>
          <w:sz w:val="20"/>
          <w:szCs w:val="20"/>
          <w:lang w:eastAsia="el-GR"/>
        </w:rPr>
      </w:pPr>
      <w:r w:rsidRPr="00CF2ABB">
        <w:rPr>
          <w:sz w:val="20"/>
          <w:szCs w:val="20"/>
          <w:lang w:eastAsia="el-GR"/>
        </w:rPr>
        <w:t xml:space="preserve"> </w:t>
      </w:r>
      <w:r w:rsidR="00C07DB8" w:rsidRPr="00CF2ABB">
        <w:rPr>
          <w:sz w:val="20"/>
          <w:szCs w:val="20"/>
          <w:lang w:eastAsia="el-GR"/>
        </w:rPr>
        <w:br w:type="page"/>
      </w:r>
    </w:p>
    <w:p w14:paraId="5E50D698" w14:textId="77777777" w:rsidR="00C07DB8" w:rsidRPr="00480379" w:rsidRDefault="00C07DB8" w:rsidP="00C07DB8">
      <w:pPr>
        <w:spacing w:line="360" w:lineRule="auto"/>
        <w:rPr>
          <w:lang w:eastAsia="el-GR"/>
        </w:rPr>
        <w:sectPr w:rsidR="00C07DB8" w:rsidRPr="00480379" w:rsidSect="004E5441">
          <w:footerReference w:type="default" r:id="rId45"/>
          <w:pgSz w:w="11906" w:h="16838"/>
          <w:pgMar w:top="1440" w:right="1558" w:bottom="1440" w:left="1560" w:header="708" w:footer="708" w:gutter="0"/>
          <w:cols w:space="708"/>
          <w:docGrid w:linePitch="360"/>
        </w:sectPr>
      </w:pPr>
    </w:p>
    <w:tbl>
      <w:tblPr>
        <w:tblStyle w:val="a6"/>
        <w:tblW w:w="0" w:type="auto"/>
        <w:tblLook w:val="04A0" w:firstRow="1" w:lastRow="0" w:firstColumn="1" w:lastColumn="0" w:noHBand="0" w:noVBand="1"/>
      </w:tblPr>
      <w:tblGrid>
        <w:gridCol w:w="1648"/>
        <w:gridCol w:w="1324"/>
        <w:gridCol w:w="1899"/>
        <w:gridCol w:w="1503"/>
        <w:gridCol w:w="1349"/>
        <w:gridCol w:w="1055"/>
      </w:tblGrid>
      <w:tr w:rsidR="00C07DB8" w:rsidRPr="00CF2ABB" w14:paraId="28287F6E" w14:textId="77777777" w:rsidTr="000C719B">
        <w:tc>
          <w:tcPr>
            <w:tcW w:w="8778" w:type="dxa"/>
            <w:gridSpan w:val="6"/>
            <w:shd w:val="clear" w:color="auto" w:fill="D9D9D9" w:themeFill="background1" w:themeFillShade="D9"/>
            <w:vAlign w:val="center"/>
          </w:tcPr>
          <w:p w14:paraId="5E456B0B" w14:textId="1A6D75CF" w:rsidR="00C07DB8" w:rsidRPr="00CF2ABB" w:rsidRDefault="00C07DB8" w:rsidP="00CB0DA9">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lastRenderedPageBreak/>
              <w:t xml:space="preserve">Δείκτες εκροών, άξονας προτεραιότητας </w:t>
            </w:r>
            <w:r w:rsidRPr="00CF2ABB">
              <w:rPr>
                <w:rFonts w:asciiTheme="minorHAnsi" w:hAnsiTheme="minorHAnsi" w:cs="Arial"/>
                <w:b/>
                <w:color w:val="auto"/>
                <w:sz w:val="20"/>
                <w:szCs w:val="20"/>
              </w:rPr>
              <w:t>03</w:t>
            </w:r>
            <w:r w:rsidRPr="00CF2ABB">
              <w:rPr>
                <w:rStyle w:val="ac"/>
                <w:rFonts w:asciiTheme="minorHAnsi" w:hAnsiTheme="minorHAnsi" w:cs="Arial"/>
                <w:color w:val="auto"/>
                <w:sz w:val="20"/>
                <w:szCs w:val="20"/>
              </w:rPr>
              <w:footnoteReference w:id="52"/>
            </w:r>
          </w:p>
        </w:tc>
      </w:tr>
      <w:tr w:rsidR="000843C4" w:rsidRPr="00CF2ABB" w14:paraId="448BF818" w14:textId="77777777" w:rsidTr="00CB0DA9">
        <w:trPr>
          <w:trHeight w:val="441"/>
        </w:trPr>
        <w:tc>
          <w:tcPr>
            <w:tcW w:w="1648" w:type="dxa"/>
            <w:vMerge w:val="restart"/>
            <w:shd w:val="clear" w:color="auto" w:fill="D9D9D9" w:themeFill="background1" w:themeFillShade="D9"/>
            <w:vAlign w:val="center"/>
          </w:tcPr>
          <w:p w14:paraId="34AD7129" w14:textId="77777777" w:rsidR="000843C4" w:rsidRPr="00CF2ABB" w:rsidRDefault="000843C4" w:rsidP="000843C4">
            <w:pPr>
              <w:pStyle w:val="Default"/>
              <w:rPr>
                <w:rFonts w:asciiTheme="minorHAnsi" w:hAnsiTheme="minorHAnsi" w:cs="Arial"/>
                <w:sz w:val="20"/>
                <w:szCs w:val="20"/>
              </w:rPr>
            </w:pPr>
            <w:r w:rsidRPr="00CF2ABB">
              <w:rPr>
                <w:rFonts w:asciiTheme="minorHAnsi" w:hAnsiTheme="minorHAnsi" w:cs="Arial"/>
                <w:sz w:val="20"/>
                <w:szCs w:val="20"/>
              </w:rPr>
              <w:t>Δείκτης</w:t>
            </w:r>
          </w:p>
        </w:tc>
        <w:tc>
          <w:tcPr>
            <w:tcW w:w="1324" w:type="dxa"/>
            <w:vMerge w:val="restart"/>
            <w:shd w:val="clear" w:color="auto" w:fill="D9D9D9" w:themeFill="background1" w:themeFillShade="D9"/>
            <w:vAlign w:val="center"/>
          </w:tcPr>
          <w:p w14:paraId="7CDAEF55" w14:textId="77777777" w:rsidR="000843C4" w:rsidRPr="00CF2ABB" w:rsidRDefault="000843C4" w:rsidP="000843C4">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Μονάδα μέτρησης</w:t>
            </w:r>
          </w:p>
        </w:tc>
        <w:tc>
          <w:tcPr>
            <w:tcW w:w="1899" w:type="dxa"/>
            <w:vMerge w:val="restart"/>
            <w:shd w:val="clear" w:color="auto" w:fill="D9D9D9" w:themeFill="background1" w:themeFillShade="D9"/>
            <w:vAlign w:val="center"/>
          </w:tcPr>
          <w:p w14:paraId="761C8DFB" w14:textId="77777777" w:rsidR="000843C4" w:rsidRPr="00CF2ABB" w:rsidRDefault="000843C4" w:rsidP="000843C4">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Κατηγορία Περιφέρειας</w:t>
            </w:r>
          </w:p>
        </w:tc>
        <w:tc>
          <w:tcPr>
            <w:tcW w:w="2852" w:type="dxa"/>
            <w:gridSpan w:val="2"/>
            <w:shd w:val="clear" w:color="auto" w:fill="D9D9D9" w:themeFill="background1" w:themeFillShade="D9"/>
            <w:vAlign w:val="center"/>
          </w:tcPr>
          <w:p w14:paraId="407FCAFF" w14:textId="77777777" w:rsidR="000843C4" w:rsidRPr="00CF2ABB" w:rsidRDefault="000843C4" w:rsidP="000843C4">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Τιμή στόχος (2023)</w:t>
            </w:r>
          </w:p>
        </w:tc>
        <w:tc>
          <w:tcPr>
            <w:tcW w:w="1055" w:type="dxa"/>
            <w:vMerge w:val="restart"/>
            <w:shd w:val="clear" w:color="auto" w:fill="D9D9D9" w:themeFill="background1" w:themeFillShade="D9"/>
            <w:vAlign w:val="center"/>
          </w:tcPr>
          <w:p w14:paraId="019B7960" w14:textId="77777777" w:rsidR="000843C4" w:rsidRPr="00CF2ABB" w:rsidRDefault="000843C4" w:rsidP="000843C4">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Δείκτης πλαισίου επίδοσης</w:t>
            </w:r>
          </w:p>
        </w:tc>
      </w:tr>
      <w:tr w:rsidR="000843C4" w:rsidRPr="00CF2ABB" w14:paraId="345162AD" w14:textId="77777777" w:rsidTr="00CF2ABB">
        <w:trPr>
          <w:trHeight w:val="408"/>
        </w:trPr>
        <w:tc>
          <w:tcPr>
            <w:tcW w:w="1648" w:type="dxa"/>
            <w:vMerge/>
            <w:shd w:val="clear" w:color="auto" w:fill="D9D9D9" w:themeFill="background1" w:themeFillShade="D9"/>
          </w:tcPr>
          <w:p w14:paraId="48B98E9B" w14:textId="77777777" w:rsidR="000843C4" w:rsidRPr="00CF2ABB" w:rsidRDefault="000843C4" w:rsidP="000843C4">
            <w:pPr>
              <w:pStyle w:val="Default"/>
              <w:jc w:val="center"/>
              <w:rPr>
                <w:rFonts w:asciiTheme="minorHAnsi" w:hAnsiTheme="minorHAnsi" w:cs="Arial"/>
                <w:sz w:val="20"/>
                <w:szCs w:val="20"/>
              </w:rPr>
            </w:pPr>
          </w:p>
        </w:tc>
        <w:tc>
          <w:tcPr>
            <w:tcW w:w="1324" w:type="dxa"/>
            <w:vMerge/>
            <w:shd w:val="clear" w:color="auto" w:fill="D9D9D9" w:themeFill="background1" w:themeFillShade="D9"/>
            <w:vAlign w:val="center"/>
          </w:tcPr>
          <w:p w14:paraId="11A0A61B" w14:textId="77777777" w:rsidR="000843C4" w:rsidRPr="00CF2ABB" w:rsidRDefault="000843C4" w:rsidP="000843C4">
            <w:pPr>
              <w:pStyle w:val="Default"/>
              <w:jc w:val="center"/>
              <w:rPr>
                <w:rFonts w:asciiTheme="minorHAnsi" w:hAnsiTheme="minorHAnsi" w:cs="Arial"/>
                <w:color w:val="auto"/>
                <w:sz w:val="20"/>
                <w:szCs w:val="20"/>
              </w:rPr>
            </w:pPr>
          </w:p>
        </w:tc>
        <w:tc>
          <w:tcPr>
            <w:tcW w:w="1899" w:type="dxa"/>
            <w:vMerge/>
            <w:shd w:val="clear" w:color="auto" w:fill="D9D9D9" w:themeFill="background1" w:themeFillShade="D9"/>
            <w:vAlign w:val="center"/>
          </w:tcPr>
          <w:p w14:paraId="5B110C75" w14:textId="77777777" w:rsidR="000843C4" w:rsidRPr="00CF2ABB" w:rsidRDefault="000843C4" w:rsidP="000843C4">
            <w:pPr>
              <w:pStyle w:val="Default"/>
              <w:jc w:val="center"/>
              <w:rPr>
                <w:rFonts w:asciiTheme="minorHAnsi" w:hAnsiTheme="minorHAnsi" w:cs="Arial"/>
                <w:color w:val="auto"/>
                <w:sz w:val="20"/>
                <w:szCs w:val="20"/>
              </w:rPr>
            </w:pPr>
          </w:p>
        </w:tc>
        <w:tc>
          <w:tcPr>
            <w:tcW w:w="1503" w:type="dxa"/>
            <w:shd w:val="clear" w:color="auto" w:fill="FADAD3" w:themeFill="accent5" w:themeFillTint="33"/>
            <w:vAlign w:val="center"/>
          </w:tcPr>
          <w:p w14:paraId="3817DC9D"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sz w:val="20"/>
                <w:szCs w:val="20"/>
              </w:rPr>
              <w:t>Δημόσια Δαπάνη</w:t>
            </w:r>
          </w:p>
          <w:p w14:paraId="06775366" w14:textId="77777777" w:rsidR="000843C4" w:rsidRPr="00CF2ABB" w:rsidRDefault="000843C4" w:rsidP="000843C4">
            <w:pPr>
              <w:pStyle w:val="Default"/>
              <w:jc w:val="center"/>
              <w:rPr>
                <w:rFonts w:asciiTheme="minorHAnsi" w:hAnsiTheme="minorHAnsi" w:cs="Arial"/>
                <w:color w:val="auto"/>
                <w:sz w:val="20"/>
                <w:szCs w:val="20"/>
              </w:rPr>
            </w:pPr>
            <w:r w:rsidRPr="00CF2ABB">
              <w:rPr>
                <w:rFonts w:asciiTheme="minorHAnsi" w:hAnsiTheme="minorHAnsi" w:cs="Arial"/>
                <w:sz w:val="20"/>
                <w:szCs w:val="20"/>
              </w:rPr>
              <w:t>88εκ.€</w:t>
            </w:r>
          </w:p>
        </w:tc>
        <w:tc>
          <w:tcPr>
            <w:tcW w:w="1349" w:type="dxa"/>
            <w:shd w:val="clear" w:color="auto" w:fill="FFF4CD" w:themeFill="accent1" w:themeFillTint="33"/>
            <w:vAlign w:val="center"/>
          </w:tcPr>
          <w:p w14:paraId="2AC713CC"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sz w:val="20"/>
                <w:szCs w:val="20"/>
              </w:rPr>
              <w:t>Δημόσια Δαπάνη</w:t>
            </w:r>
          </w:p>
          <w:p w14:paraId="324F453D" w14:textId="77777777" w:rsidR="000843C4" w:rsidRPr="00CF2ABB" w:rsidRDefault="000843C4" w:rsidP="000843C4">
            <w:pPr>
              <w:pStyle w:val="Default"/>
              <w:jc w:val="center"/>
              <w:rPr>
                <w:rFonts w:asciiTheme="minorHAnsi" w:hAnsiTheme="minorHAnsi" w:cs="Arial"/>
                <w:color w:val="auto"/>
                <w:sz w:val="20"/>
                <w:szCs w:val="20"/>
              </w:rPr>
            </w:pPr>
            <w:r w:rsidRPr="00CF2ABB">
              <w:rPr>
                <w:rFonts w:asciiTheme="minorHAnsi" w:hAnsiTheme="minorHAnsi" w:cs="Arial"/>
                <w:sz w:val="20"/>
                <w:szCs w:val="20"/>
              </w:rPr>
              <w:t>115εκ.€</w:t>
            </w:r>
          </w:p>
        </w:tc>
        <w:tc>
          <w:tcPr>
            <w:tcW w:w="1055" w:type="dxa"/>
            <w:vMerge/>
            <w:shd w:val="clear" w:color="auto" w:fill="D9D9D9" w:themeFill="background1" w:themeFillShade="D9"/>
            <w:vAlign w:val="center"/>
          </w:tcPr>
          <w:p w14:paraId="261FFD9E" w14:textId="77777777" w:rsidR="000843C4" w:rsidRPr="00CF2ABB" w:rsidRDefault="000843C4" w:rsidP="000843C4">
            <w:pPr>
              <w:pStyle w:val="Default"/>
              <w:jc w:val="center"/>
              <w:rPr>
                <w:rFonts w:asciiTheme="minorHAnsi" w:hAnsiTheme="minorHAnsi" w:cs="Arial"/>
                <w:color w:val="auto"/>
                <w:sz w:val="20"/>
                <w:szCs w:val="20"/>
              </w:rPr>
            </w:pPr>
          </w:p>
        </w:tc>
      </w:tr>
      <w:tr w:rsidR="00574C7B" w:rsidRPr="00CF2ABB" w14:paraId="2B58FF9A" w14:textId="77777777" w:rsidTr="00D31745">
        <w:trPr>
          <w:trHeight w:val="732"/>
        </w:trPr>
        <w:tc>
          <w:tcPr>
            <w:tcW w:w="1648" w:type="dxa"/>
            <w:vMerge w:val="restart"/>
            <w:vAlign w:val="center"/>
          </w:tcPr>
          <w:p w14:paraId="31435D3E" w14:textId="07687AB9" w:rsidR="00574C7B" w:rsidRPr="00CF2ABB" w:rsidRDefault="00D31745" w:rsidP="00D31745">
            <w:pPr>
              <w:pStyle w:val="Default"/>
              <w:rPr>
                <w:rFonts w:asciiTheme="minorHAnsi" w:hAnsiTheme="minorHAnsi" w:cs="Arial"/>
                <w:sz w:val="20"/>
                <w:szCs w:val="20"/>
              </w:rPr>
            </w:pPr>
            <w:r w:rsidRPr="00D31745">
              <w:rPr>
                <w:rFonts w:asciiTheme="minorHAnsi" w:hAnsiTheme="minorHAnsi" w:cs="Arial"/>
                <w:sz w:val="20"/>
                <w:szCs w:val="20"/>
              </w:rPr>
              <w:t xml:space="preserve">01401 </w:t>
            </w:r>
            <w:r w:rsidR="00D83352" w:rsidRPr="00D83352">
              <w:rPr>
                <w:rFonts w:asciiTheme="minorHAnsi" w:hAnsiTheme="minorHAnsi" w:cs="Arial"/>
                <w:sz w:val="20"/>
                <w:szCs w:val="20"/>
              </w:rPr>
              <w:t xml:space="preserve"> </w:t>
            </w:r>
            <w:r w:rsidR="00D83352">
              <w:rPr>
                <w:rFonts w:asciiTheme="minorHAnsi" w:hAnsiTheme="minorHAnsi" w:cs="Arial"/>
                <w:sz w:val="20"/>
                <w:szCs w:val="20"/>
              </w:rPr>
              <w:t xml:space="preserve">- </w:t>
            </w:r>
            <w:r w:rsidR="00574C7B" w:rsidRPr="00CF2ABB">
              <w:rPr>
                <w:rFonts w:asciiTheme="minorHAnsi" w:hAnsiTheme="minorHAnsi" w:cs="Arial"/>
                <w:sz w:val="20"/>
                <w:szCs w:val="20"/>
              </w:rPr>
              <w:t xml:space="preserve">Αριθμός </w:t>
            </w:r>
            <w:r>
              <w:rPr>
                <w:rFonts w:asciiTheme="minorHAnsi" w:hAnsiTheme="minorHAnsi" w:cs="Arial"/>
                <w:sz w:val="20"/>
                <w:szCs w:val="20"/>
              </w:rPr>
              <w:t>δανείων</w:t>
            </w:r>
            <w:r w:rsidR="00CB0DA9">
              <w:rPr>
                <w:rStyle w:val="ac"/>
                <w:rFonts w:asciiTheme="minorHAnsi" w:hAnsiTheme="minorHAnsi" w:cs="Arial"/>
                <w:sz w:val="20"/>
                <w:szCs w:val="20"/>
              </w:rPr>
              <w:footnoteReference w:id="53"/>
            </w:r>
          </w:p>
        </w:tc>
        <w:tc>
          <w:tcPr>
            <w:tcW w:w="1324" w:type="dxa"/>
            <w:vMerge w:val="restart"/>
            <w:vAlign w:val="center"/>
          </w:tcPr>
          <w:p w14:paraId="005CD790"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νοικοκυριά</w:t>
            </w:r>
          </w:p>
        </w:tc>
        <w:tc>
          <w:tcPr>
            <w:tcW w:w="1899" w:type="dxa"/>
            <w:vAlign w:val="center"/>
          </w:tcPr>
          <w:p w14:paraId="04C66018"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Λιγότερο Ανεπτυγμένες περιφέρειες</w:t>
            </w:r>
          </w:p>
        </w:tc>
        <w:tc>
          <w:tcPr>
            <w:tcW w:w="1503" w:type="dxa"/>
            <w:shd w:val="clear" w:color="auto" w:fill="FADAD3" w:themeFill="accent5" w:themeFillTint="33"/>
            <w:vAlign w:val="center"/>
          </w:tcPr>
          <w:p w14:paraId="496135B6" w14:textId="77777777" w:rsidR="003942A8" w:rsidRDefault="00574C7B" w:rsidP="003942A8">
            <w:pPr>
              <w:pStyle w:val="Default"/>
              <w:jc w:val="center"/>
              <w:rPr>
                <w:rFonts w:asciiTheme="minorHAnsi" w:hAnsiTheme="minorHAnsi" w:cs="Arial"/>
                <w:b/>
                <w:color w:val="auto"/>
                <w:sz w:val="20"/>
                <w:szCs w:val="20"/>
              </w:rPr>
            </w:pPr>
            <w:r>
              <w:rPr>
                <w:rFonts w:asciiTheme="minorHAnsi" w:hAnsiTheme="minorHAnsi" w:cs="Arial"/>
                <w:b/>
                <w:color w:val="auto"/>
                <w:sz w:val="20"/>
                <w:szCs w:val="20"/>
              </w:rPr>
              <w:t>14.</w:t>
            </w:r>
            <w:r w:rsidR="002F3530">
              <w:rPr>
                <w:rFonts w:asciiTheme="minorHAnsi" w:hAnsiTheme="minorHAnsi" w:cs="Arial"/>
                <w:b/>
                <w:color w:val="auto"/>
                <w:sz w:val="20"/>
                <w:szCs w:val="20"/>
              </w:rPr>
              <w:t>99</w:t>
            </w:r>
            <w:r>
              <w:rPr>
                <w:rFonts w:asciiTheme="minorHAnsi" w:hAnsiTheme="minorHAnsi" w:cs="Arial"/>
                <w:b/>
                <w:color w:val="auto"/>
                <w:sz w:val="20"/>
                <w:szCs w:val="20"/>
              </w:rPr>
              <w:t>0</w:t>
            </w:r>
          </w:p>
          <w:p w14:paraId="315669C9" w14:textId="6C90FF89" w:rsidR="00574C7B" w:rsidRPr="00CF2ABB" w:rsidRDefault="003942A8" w:rsidP="00D83352">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D83352">
              <w:rPr>
                <w:rFonts w:asciiTheme="minorHAnsi" w:hAnsiTheme="minorHAnsi" w:cs="Arial"/>
                <w:color w:val="auto"/>
                <w:sz w:val="20"/>
                <w:szCs w:val="20"/>
              </w:rPr>
              <w:t>16.620</w:t>
            </w:r>
            <w:r>
              <w:rPr>
                <w:rFonts w:asciiTheme="minorHAnsi" w:hAnsiTheme="minorHAnsi" w:cs="Arial"/>
                <w:color w:val="auto"/>
                <w:sz w:val="20"/>
                <w:szCs w:val="20"/>
              </w:rPr>
              <w:t>)</w:t>
            </w:r>
          </w:p>
        </w:tc>
        <w:tc>
          <w:tcPr>
            <w:tcW w:w="1349" w:type="dxa"/>
            <w:shd w:val="clear" w:color="auto" w:fill="FFF4CD" w:themeFill="accent1" w:themeFillTint="33"/>
            <w:vAlign w:val="center"/>
          </w:tcPr>
          <w:p w14:paraId="5B250F79" w14:textId="77777777" w:rsidR="00574C7B" w:rsidRPr="00CF2ABB" w:rsidRDefault="007D2CEE" w:rsidP="00574C7B">
            <w:pPr>
              <w:pStyle w:val="Default"/>
              <w:jc w:val="center"/>
              <w:rPr>
                <w:rFonts w:asciiTheme="minorHAnsi" w:hAnsiTheme="minorHAnsi" w:cs="Arial"/>
                <w:color w:val="auto"/>
                <w:sz w:val="20"/>
                <w:szCs w:val="20"/>
              </w:rPr>
            </w:pPr>
            <w:r w:rsidRPr="00CF2ABB">
              <w:rPr>
                <w:rFonts w:asciiTheme="minorHAnsi" w:hAnsiTheme="minorHAnsi" w:cs="Arial"/>
                <w:b/>
                <w:color w:val="auto"/>
                <w:sz w:val="20"/>
                <w:szCs w:val="20"/>
              </w:rPr>
              <w:t xml:space="preserve"> </w:t>
            </w:r>
            <w:r w:rsidR="00574C7B">
              <w:rPr>
                <w:rFonts w:asciiTheme="minorHAnsi" w:hAnsiTheme="minorHAnsi" w:cs="Arial"/>
                <w:b/>
                <w:color w:val="auto"/>
                <w:sz w:val="20"/>
                <w:szCs w:val="20"/>
              </w:rPr>
              <w:t>19.144</w:t>
            </w:r>
          </w:p>
        </w:tc>
        <w:tc>
          <w:tcPr>
            <w:tcW w:w="1055" w:type="dxa"/>
            <w:vAlign w:val="center"/>
          </w:tcPr>
          <w:p w14:paraId="37CF6B6D"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w:t>
            </w:r>
          </w:p>
        </w:tc>
      </w:tr>
      <w:tr w:rsidR="00574C7B" w:rsidRPr="00CF2ABB" w14:paraId="12519CE5" w14:textId="77777777" w:rsidTr="00D31745">
        <w:trPr>
          <w:trHeight w:val="732"/>
        </w:trPr>
        <w:tc>
          <w:tcPr>
            <w:tcW w:w="1648" w:type="dxa"/>
            <w:vMerge/>
          </w:tcPr>
          <w:p w14:paraId="105289F8" w14:textId="77777777" w:rsidR="00574C7B" w:rsidRPr="00CF2ABB" w:rsidRDefault="00574C7B" w:rsidP="00574C7B">
            <w:pPr>
              <w:pStyle w:val="Default"/>
              <w:jc w:val="center"/>
              <w:rPr>
                <w:rFonts w:asciiTheme="minorHAnsi" w:hAnsiTheme="minorHAnsi" w:cs="Arial"/>
                <w:sz w:val="20"/>
                <w:szCs w:val="20"/>
              </w:rPr>
            </w:pPr>
          </w:p>
        </w:tc>
        <w:tc>
          <w:tcPr>
            <w:tcW w:w="1324" w:type="dxa"/>
            <w:vMerge/>
            <w:vAlign w:val="center"/>
          </w:tcPr>
          <w:p w14:paraId="4983AC76" w14:textId="77777777" w:rsidR="00574C7B" w:rsidRPr="00CF2ABB" w:rsidRDefault="00574C7B" w:rsidP="00574C7B">
            <w:pPr>
              <w:pStyle w:val="Default"/>
              <w:jc w:val="center"/>
              <w:rPr>
                <w:rFonts w:asciiTheme="minorHAnsi" w:hAnsiTheme="minorHAnsi" w:cs="Arial"/>
                <w:color w:val="auto"/>
                <w:sz w:val="20"/>
                <w:szCs w:val="20"/>
              </w:rPr>
            </w:pPr>
          </w:p>
        </w:tc>
        <w:tc>
          <w:tcPr>
            <w:tcW w:w="1899" w:type="dxa"/>
            <w:vAlign w:val="center"/>
          </w:tcPr>
          <w:p w14:paraId="5B7BFBA3"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Μετάβαση</w:t>
            </w:r>
          </w:p>
        </w:tc>
        <w:tc>
          <w:tcPr>
            <w:tcW w:w="1503" w:type="dxa"/>
            <w:shd w:val="clear" w:color="auto" w:fill="FADAD3" w:themeFill="accent5" w:themeFillTint="33"/>
            <w:vAlign w:val="center"/>
          </w:tcPr>
          <w:p w14:paraId="3E719513" w14:textId="77777777" w:rsidR="003942A8" w:rsidRDefault="00574C7B" w:rsidP="002F3530">
            <w:pPr>
              <w:pStyle w:val="Default"/>
              <w:jc w:val="center"/>
              <w:rPr>
                <w:rFonts w:asciiTheme="minorHAnsi" w:hAnsiTheme="minorHAnsi" w:cs="Arial"/>
                <w:b/>
                <w:color w:val="auto"/>
                <w:sz w:val="20"/>
                <w:szCs w:val="20"/>
              </w:rPr>
            </w:pPr>
            <w:r>
              <w:rPr>
                <w:rFonts w:asciiTheme="minorHAnsi" w:hAnsiTheme="minorHAnsi" w:cs="Arial"/>
                <w:b/>
                <w:color w:val="auto"/>
                <w:sz w:val="20"/>
                <w:szCs w:val="20"/>
              </w:rPr>
              <w:t>4.</w:t>
            </w:r>
            <w:r w:rsidR="002F3530">
              <w:rPr>
                <w:rFonts w:asciiTheme="minorHAnsi" w:hAnsiTheme="minorHAnsi" w:cs="Arial"/>
                <w:b/>
                <w:color w:val="auto"/>
                <w:sz w:val="20"/>
                <w:szCs w:val="20"/>
              </w:rPr>
              <w:t>600</w:t>
            </w:r>
          </w:p>
          <w:p w14:paraId="2670D338" w14:textId="4139C882" w:rsidR="00574C7B" w:rsidRPr="00CF2ABB" w:rsidRDefault="003942A8" w:rsidP="00D83352">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D83352">
              <w:rPr>
                <w:rFonts w:asciiTheme="minorHAnsi" w:hAnsiTheme="minorHAnsi" w:cs="Arial"/>
                <w:color w:val="auto"/>
                <w:sz w:val="20"/>
                <w:szCs w:val="20"/>
              </w:rPr>
              <w:t>3.234</w:t>
            </w:r>
            <w:r>
              <w:rPr>
                <w:rFonts w:asciiTheme="minorHAnsi" w:hAnsiTheme="minorHAnsi" w:cs="Arial"/>
                <w:color w:val="auto"/>
                <w:sz w:val="20"/>
                <w:szCs w:val="20"/>
              </w:rPr>
              <w:t>)</w:t>
            </w:r>
          </w:p>
        </w:tc>
        <w:tc>
          <w:tcPr>
            <w:tcW w:w="1349" w:type="dxa"/>
            <w:shd w:val="clear" w:color="auto" w:fill="FFF4CD" w:themeFill="accent1" w:themeFillTint="33"/>
            <w:vAlign w:val="center"/>
          </w:tcPr>
          <w:p w14:paraId="5163D29A" w14:textId="77777777" w:rsidR="00574C7B" w:rsidRPr="00CF2ABB" w:rsidRDefault="007D2CEE" w:rsidP="00574C7B">
            <w:pPr>
              <w:pStyle w:val="Default"/>
              <w:jc w:val="center"/>
              <w:rPr>
                <w:rFonts w:asciiTheme="minorHAnsi" w:hAnsiTheme="minorHAnsi" w:cs="Arial"/>
                <w:color w:val="auto"/>
                <w:sz w:val="20"/>
                <w:szCs w:val="20"/>
              </w:rPr>
            </w:pPr>
            <w:r w:rsidRPr="00CF2ABB">
              <w:rPr>
                <w:rFonts w:asciiTheme="minorHAnsi" w:hAnsiTheme="minorHAnsi" w:cs="Arial"/>
                <w:b/>
                <w:color w:val="auto"/>
                <w:sz w:val="20"/>
                <w:szCs w:val="20"/>
              </w:rPr>
              <w:t xml:space="preserve"> </w:t>
            </w:r>
            <w:r w:rsidR="00574C7B">
              <w:rPr>
                <w:rFonts w:asciiTheme="minorHAnsi" w:hAnsiTheme="minorHAnsi" w:cs="Arial"/>
                <w:b/>
                <w:color w:val="auto"/>
                <w:sz w:val="20"/>
                <w:szCs w:val="20"/>
              </w:rPr>
              <w:t>5.877</w:t>
            </w:r>
          </w:p>
        </w:tc>
        <w:tc>
          <w:tcPr>
            <w:tcW w:w="1055" w:type="dxa"/>
            <w:vAlign w:val="center"/>
          </w:tcPr>
          <w:p w14:paraId="7D932DD1"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w:t>
            </w:r>
          </w:p>
        </w:tc>
      </w:tr>
      <w:tr w:rsidR="00574C7B" w:rsidRPr="00CF2ABB" w14:paraId="160232E3" w14:textId="77777777" w:rsidTr="00D31745">
        <w:trPr>
          <w:trHeight w:val="733"/>
        </w:trPr>
        <w:tc>
          <w:tcPr>
            <w:tcW w:w="1648" w:type="dxa"/>
            <w:vMerge/>
          </w:tcPr>
          <w:p w14:paraId="5FFCBB4E" w14:textId="77777777" w:rsidR="00574C7B" w:rsidRPr="00CF2ABB" w:rsidRDefault="00574C7B" w:rsidP="00574C7B">
            <w:pPr>
              <w:pStyle w:val="Default"/>
              <w:jc w:val="center"/>
              <w:rPr>
                <w:rFonts w:asciiTheme="minorHAnsi" w:hAnsiTheme="minorHAnsi" w:cs="Arial"/>
                <w:sz w:val="20"/>
                <w:szCs w:val="20"/>
              </w:rPr>
            </w:pPr>
          </w:p>
        </w:tc>
        <w:tc>
          <w:tcPr>
            <w:tcW w:w="1324" w:type="dxa"/>
            <w:vMerge/>
            <w:vAlign w:val="center"/>
          </w:tcPr>
          <w:p w14:paraId="7DAA8F6D" w14:textId="77777777" w:rsidR="00574C7B" w:rsidRPr="00CF2ABB" w:rsidRDefault="00574C7B" w:rsidP="00574C7B">
            <w:pPr>
              <w:pStyle w:val="Default"/>
              <w:jc w:val="center"/>
              <w:rPr>
                <w:rFonts w:asciiTheme="minorHAnsi" w:hAnsiTheme="minorHAnsi" w:cs="Arial"/>
                <w:color w:val="auto"/>
                <w:sz w:val="20"/>
                <w:szCs w:val="20"/>
              </w:rPr>
            </w:pPr>
          </w:p>
        </w:tc>
        <w:tc>
          <w:tcPr>
            <w:tcW w:w="1899" w:type="dxa"/>
            <w:vAlign w:val="center"/>
          </w:tcPr>
          <w:p w14:paraId="134D3E9D"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Περισσότερο ανεπτυγμένες περιφέρειες</w:t>
            </w:r>
          </w:p>
        </w:tc>
        <w:tc>
          <w:tcPr>
            <w:tcW w:w="1503" w:type="dxa"/>
            <w:shd w:val="clear" w:color="auto" w:fill="FADAD3" w:themeFill="accent5" w:themeFillTint="33"/>
            <w:vAlign w:val="center"/>
          </w:tcPr>
          <w:p w14:paraId="1567C3D0" w14:textId="77777777" w:rsidR="003942A8" w:rsidRDefault="00574C7B" w:rsidP="003942A8">
            <w:pPr>
              <w:pStyle w:val="Default"/>
              <w:jc w:val="center"/>
              <w:rPr>
                <w:rFonts w:asciiTheme="minorHAnsi" w:hAnsiTheme="minorHAnsi" w:cs="Arial"/>
                <w:b/>
                <w:color w:val="auto"/>
                <w:sz w:val="20"/>
                <w:szCs w:val="20"/>
              </w:rPr>
            </w:pPr>
            <w:r>
              <w:rPr>
                <w:rFonts w:asciiTheme="minorHAnsi" w:hAnsiTheme="minorHAnsi" w:cs="Arial"/>
                <w:b/>
                <w:color w:val="auto"/>
                <w:sz w:val="20"/>
                <w:szCs w:val="20"/>
              </w:rPr>
              <w:t>6.</w:t>
            </w:r>
            <w:r w:rsidR="002F3530">
              <w:rPr>
                <w:rFonts w:asciiTheme="minorHAnsi" w:hAnsiTheme="minorHAnsi" w:cs="Arial"/>
                <w:b/>
                <w:color w:val="auto"/>
                <w:sz w:val="20"/>
                <w:szCs w:val="20"/>
              </w:rPr>
              <w:t>180</w:t>
            </w:r>
          </w:p>
          <w:p w14:paraId="48CFAD92" w14:textId="08FB7AF2" w:rsidR="00574C7B" w:rsidRPr="00CF2ABB" w:rsidRDefault="003942A8" w:rsidP="00D83352">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D83352">
              <w:rPr>
                <w:rFonts w:asciiTheme="minorHAnsi" w:hAnsiTheme="minorHAnsi" w:cs="Arial"/>
                <w:color w:val="auto"/>
                <w:sz w:val="20"/>
                <w:szCs w:val="20"/>
              </w:rPr>
              <w:t>4.861</w:t>
            </w:r>
            <w:r>
              <w:rPr>
                <w:rFonts w:asciiTheme="minorHAnsi" w:hAnsiTheme="minorHAnsi" w:cs="Arial"/>
                <w:color w:val="auto"/>
                <w:sz w:val="20"/>
                <w:szCs w:val="20"/>
              </w:rPr>
              <w:t>)</w:t>
            </w:r>
            <w:r w:rsidRPr="00CF2ABB">
              <w:rPr>
                <w:rFonts w:asciiTheme="minorHAnsi" w:hAnsiTheme="minorHAnsi" w:cs="Arial"/>
                <w:color w:val="auto"/>
                <w:sz w:val="20"/>
                <w:szCs w:val="20"/>
              </w:rPr>
              <w:t xml:space="preserve"> </w:t>
            </w:r>
          </w:p>
        </w:tc>
        <w:tc>
          <w:tcPr>
            <w:tcW w:w="1349" w:type="dxa"/>
            <w:shd w:val="clear" w:color="auto" w:fill="FFF4CD" w:themeFill="accent1" w:themeFillTint="33"/>
            <w:vAlign w:val="center"/>
          </w:tcPr>
          <w:p w14:paraId="62429DEB" w14:textId="77777777" w:rsidR="00574C7B" w:rsidRPr="00CF2ABB" w:rsidRDefault="007D2CEE" w:rsidP="00574C7B">
            <w:pPr>
              <w:pStyle w:val="Default"/>
              <w:jc w:val="center"/>
              <w:rPr>
                <w:rFonts w:asciiTheme="minorHAnsi" w:hAnsiTheme="minorHAnsi" w:cs="Arial"/>
                <w:color w:val="auto"/>
                <w:sz w:val="20"/>
                <w:szCs w:val="20"/>
              </w:rPr>
            </w:pPr>
            <w:r w:rsidRPr="00CF2ABB">
              <w:rPr>
                <w:rFonts w:asciiTheme="minorHAnsi" w:hAnsiTheme="minorHAnsi" w:cs="Arial"/>
                <w:b/>
                <w:color w:val="auto"/>
                <w:sz w:val="20"/>
                <w:szCs w:val="20"/>
              </w:rPr>
              <w:t xml:space="preserve"> </w:t>
            </w:r>
            <w:r w:rsidR="00574C7B">
              <w:rPr>
                <w:rFonts w:asciiTheme="minorHAnsi" w:hAnsiTheme="minorHAnsi" w:cs="Arial"/>
                <w:b/>
                <w:color w:val="auto"/>
                <w:sz w:val="20"/>
                <w:szCs w:val="20"/>
              </w:rPr>
              <w:t>7.890</w:t>
            </w:r>
          </w:p>
        </w:tc>
        <w:tc>
          <w:tcPr>
            <w:tcW w:w="1055" w:type="dxa"/>
            <w:vAlign w:val="center"/>
          </w:tcPr>
          <w:p w14:paraId="30B11F15"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w:t>
            </w:r>
          </w:p>
        </w:tc>
      </w:tr>
      <w:tr w:rsidR="00574C7B" w:rsidRPr="00CF2ABB" w14:paraId="4E2F5EDA" w14:textId="77777777" w:rsidTr="00D31745">
        <w:trPr>
          <w:trHeight w:val="732"/>
        </w:trPr>
        <w:tc>
          <w:tcPr>
            <w:tcW w:w="1648" w:type="dxa"/>
            <w:vMerge w:val="restart"/>
            <w:vAlign w:val="center"/>
          </w:tcPr>
          <w:p w14:paraId="6D66E22A" w14:textId="46EC5A28" w:rsidR="00574C7B" w:rsidRPr="00CF2ABB" w:rsidRDefault="00D83352" w:rsidP="00D83352">
            <w:pPr>
              <w:pStyle w:val="Default"/>
              <w:rPr>
                <w:rFonts w:asciiTheme="minorHAnsi" w:hAnsiTheme="minorHAnsi" w:cs="Arial"/>
                <w:sz w:val="20"/>
                <w:szCs w:val="20"/>
              </w:rPr>
            </w:pPr>
            <w:r w:rsidRPr="00D83352">
              <w:rPr>
                <w:rFonts w:asciiTheme="minorHAnsi" w:hAnsiTheme="minorHAnsi" w:cs="Arial"/>
                <w:sz w:val="20"/>
                <w:szCs w:val="20"/>
              </w:rPr>
              <w:t>CO34</w:t>
            </w:r>
            <w:r>
              <w:rPr>
                <w:rFonts w:asciiTheme="minorHAnsi" w:hAnsiTheme="minorHAnsi" w:cs="Arial"/>
                <w:sz w:val="20"/>
                <w:szCs w:val="20"/>
              </w:rPr>
              <w:t xml:space="preserve"> - </w:t>
            </w:r>
            <w:r w:rsidR="00574C7B" w:rsidRPr="00CF2ABB">
              <w:rPr>
                <w:rFonts w:asciiTheme="minorHAnsi" w:hAnsiTheme="minorHAnsi" w:cs="Arial"/>
                <w:sz w:val="20"/>
                <w:szCs w:val="20"/>
              </w:rPr>
              <w:t>Ετήσια μείωση των εκπομπών των αερίων θερμοκηπίου</w:t>
            </w:r>
            <w:r w:rsidR="00CB0DA9">
              <w:rPr>
                <w:rStyle w:val="ac"/>
                <w:rFonts w:asciiTheme="minorHAnsi" w:hAnsiTheme="minorHAnsi" w:cs="Arial"/>
                <w:sz w:val="20"/>
                <w:szCs w:val="20"/>
              </w:rPr>
              <w:footnoteReference w:id="54"/>
            </w:r>
            <w:r w:rsidR="00574C7B" w:rsidRPr="00CF2ABB">
              <w:rPr>
                <w:rFonts w:asciiTheme="minorHAnsi" w:hAnsiTheme="minorHAnsi" w:cs="Arial"/>
                <w:sz w:val="20"/>
                <w:szCs w:val="20"/>
              </w:rPr>
              <w:t xml:space="preserve"> </w:t>
            </w:r>
          </w:p>
        </w:tc>
        <w:tc>
          <w:tcPr>
            <w:tcW w:w="1324" w:type="dxa"/>
            <w:vMerge w:val="restart"/>
            <w:vAlign w:val="center"/>
          </w:tcPr>
          <w:p w14:paraId="1EFF4BD6" w14:textId="77777777" w:rsidR="00574C7B" w:rsidRPr="00CF2ABB" w:rsidRDefault="00574C7B" w:rsidP="00574C7B">
            <w:pPr>
              <w:pStyle w:val="Default"/>
              <w:jc w:val="center"/>
              <w:rPr>
                <w:rFonts w:asciiTheme="minorHAnsi" w:hAnsiTheme="minorHAnsi" w:cs="Arial"/>
                <w:color w:val="auto"/>
                <w:sz w:val="20"/>
                <w:szCs w:val="20"/>
              </w:rPr>
            </w:pPr>
            <w:proofErr w:type="spellStart"/>
            <w:r>
              <w:rPr>
                <w:rFonts w:asciiTheme="minorHAnsi" w:hAnsiTheme="minorHAnsi" w:cs="Arial"/>
                <w:color w:val="auto"/>
                <w:sz w:val="20"/>
                <w:szCs w:val="20"/>
                <w:lang w:val="en-US"/>
              </w:rPr>
              <w:t>kt</w:t>
            </w:r>
            <w:proofErr w:type="spellEnd"/>
            <w:r w:rsidRPr="00CF2ABB">
              <w:rPr>
                <w:rFonts w:asciiTheme="minorHAnsi" w:hAnsiTheme="minorHAnsi" w:cs="Arial"/>
                <w:color w:val="auto"/>
                <w:sz w:val="20"/>
                <w:szCs w:val="20"/>
              </w:rPr>
              <w:t xml:space="preserve"> ισοδυνάμου </w:t>
            </w:r>
            <w:r w:rsidRPr="00CF2ABB">
              <w:rPr>
                <w:rFonts w:asciiTheme="minorHAnsi" w:eastAsia="Times New Roman" w:hAnsiTheme="minorHAnsi" w:cs="Arial"/>
                <w:color w:val="auto"/>
                <w:sz w:val="20"/>
                <w:szCs w:val="20"/>
                <w:lang w:val="en-US" w:eastAsia="el-GR"/>
              </w:rPr>
              <w:t>CO</w:t>
            </w:r>
            <w:r w:rsidRPr="00CF2ABB">
              <w:rPr>
                <w:rFonts w:asciiTheme="minorHAnsi" w:eastAsia="Times New Roman" w:hAnsiTheme="minorHAnsi" w:cs="Arial"/>
                <w:color w:val="auto"/>
                <w:sz w:val="20"/>
                <w:szCs w:val="20"/>
                <w:vertAlign w:val="subscript"/>
                <w:lang w:eastAsia="el-GR"/>
              </w:rPr>
              <w:t>2</w:t>
            </w:r>
          </w:p>
        </w:tc>
        <w:tc>
          <w:tcPr>
            <w:tcW w:w="1899" w:type="dxa"/>
            <w:vAlign w:val="center"/>
          </w:tcPr>
          <w:p w14:paraId="430D1DD8"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Λιγότερο ανεπτυγμένες περιφέρειες</w:t>
            </w:r>
          </w:p>
        </w:tc>
        <w:tc>
          <w:tcPr>
            <w:tcW w:w="1503" w:type="dxa"/>
            <w:shd w:val="clear" w:color="auto" w:fill="FADAD3" w:themeFill="accent5" w:themeFillTint="33"/>
            <w:vAlign w:val="center"/>
          </w:tcPr>
          <w:p w14:paraId="693EBDC9" w14:textId="77777777" w:rsidR="00574C7B" w:rsidRDefault="007D2CEE" w:rsidP="007D2CEE">
            <w:pPr>
              <w:pStyle w:val="Default"/>
              <w:jc w:val="center"/>
              <w:rPr>
                <w:rFonts w:asciiTheme="minorHAnsi" w:hAnsiTheme="minorHAnsi" w:cs="Arial"/>
                <w:b/>
                <w:color w:val="auto"/>
                <w:sz w:val="20"/>
                <w:szCs w:val="20"/>
              </w:rPr>
            </w:pPr>
            <w:r>
              <w:rPr>
                <w:rFonts w:asciiTheme="minorHAnsi" w:hAnsiTheme="minorHAnsi" w:cs="Arial"/>
                <w:b/>
                <w:color w:val="auto"/>
                <w:sz w:val="20"/>
                <w:szCs w:val="20"/>
              </w:rPr>
              <w:t>29,30</w:t>
            </w:r>
          </w:p>
          <w:p w14:paraId="2703AB74" w14:textId="2BA6D1A0" w:rsidR="003942A8" w:rsidRPr="003942A8" w:rsidRDefault="003942A8" w:rsidP="00CB0DA9">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CB0DA9">
              <w:rPr>
                <w:rFonts w:asciiTheme="minorHAnsi" w:hAnsiTheme="minorHAnsi" w:cs="Arial"/>
                <w:color w:val="auto"/>
                <w:sz w:val="20"/>
                <w:szCs w:val="20"/>
                <w:lang w:val="en-US"/>
              </w:rPr>
              <w:t>34,12</w:t>
            </w:r>
            <w:r>
              <w:rPr>
                <w:rFonts w:asciiTheme="minorHAnsi" w:hAnsiTheme="minorHAnsi" w:cs="Arial"/>
                <w:color w:val="auto"/>
                <w:sz w:val="20"/>
                <w:szCs w:val="20"/>
              </w:rPr>
              <w:t>)</w:t>
            </w:r>
          </w:p>
        </w:tc>
        <w:tc>
          <w:tcPr>
            <w:tcW w:w="1349" w:type="dxa"/>
            <w:shd w:val="clear" w:color="auto" w:fill="FFF4CD" w:themeFill="accent1" w:themeFillTint="33"/>
            <w:vAlign w:val="center"/>
          </w:tcPr>
          <w:p w14:paraId="52D5360A" w14:textId="77777777" w:rsidR="00574C7B" w:rsidRPr="00CF2ABB" w:rsidRDefault="007D2CEE" w:rsidP="007D2CEE">
            <w:pPr>
              <w:pStyle w:val="Default"/>
              <w:jc w:val="center"/>
              <w:rPr>
                <w:rFonts w:asciiTheme="minorHAnsi" w:hAnsiTheme="minorHAnsi" w:cs="Arial"/>
                <w:b/>
                <w:color w:val="auto"/>
                <w:sz w:val="20"/>
                <w:szCs w:val="20"/>
              </w:rPr>
            </w:pPr>
            <w:r w:rsidRPr="00CF2ABB">
              <w:rPr>
                <w:rFonts w:asciiTheme="minorHAnsi" w:hAnsiTheme="minorHAnsi" w:cs="Arial"/>
                <w:b/>
                <w:color w:val="auto"/>
                <w:sz w:val="20"/>
                <w:szCs w:val="20"/>
              </w:rPr>
              <w:t xml:space="preserve"> </w:t>
            </w:r>
            <w:r>
              <w:rPr>
                <w:rFonts w:asciiTheme="minorHAnsi" w:hAnsiTheme="minorHAnsi" w:cs="Arial"/>
                <w:b/>
                <w:color w:val="auto"/>
                <w:sz w:val="20"/>
                <w:szCs w:val="20"/>
              </w:rPr>
              <w:t>38,29</w:t>
            </w:r>
          </w:p>
        </w:tc>
        <w:tc>
          <w:tcPr>
            <w:tcW w:w="1055" w:type="dxa"/>
            <w:vAlign w:val="center"/>
          </w:tcPr>
          <w:p w14:paraId="5887009D" w14:textId="77777777" w:rsidR="00574C7B" w:rsidRPr="00CF2ABB" w:rsidRDefault="00574C7B" w:rsidP="00574C7B">
            <w:pPr>
              <w:pStyle w:val="Default"/>
              <w:jc w:val="center"/>
              <w:rPr>
                <w:rFonts w:asciiTheme="minorHAnsi" w:hAnsiTheme="minorHAnsi" w:cs="Arial"/>
                <w:color w:val="auto"/>
                <w:sz w:val="20"/>
                <w:szCs w:val="20"/>
              </w:rPr>
            </w:pPr>
          </w:p>
        </w:tc>
      </w:tr>
      <w:tr w:rsidR="00574C7B" w:rsidRPr="00CF2ABB" w14:paraId="4FA774C2" w14:textId="77777777" w:rsidTr="00D31745">
        <w:trPr>
          <w:trHeight w:val="732"/>
        </w:trPr>
        <w:tc>
          <w:tcPr>
            <w:tcW w:w="1648" w:type="dxa"/>
            <w:vMerge/>
          </w:tcPr>
          <w:p w14:paraId="0A56A68B" w14:textId="77777777" w:rsidR="00574C7B" w:rsidRPr="00CF2ABB" w:rsidRDefault="00574C7B" w:rsidP="00574C7B">
            <w:pPr>
              <w:pStyle w:val="Default"/>
              <w:jc w:val="center"/>
              <w:rPr>
                <w:rFonts w:asciiTheme="minorHAnsi" w:hAnsiTheme="minorHAnsi" w:cs="Arial"/>
                <w:sz w:val="20"/>
                <w:szCs w:val="20"/>
              </w:rPr>
            </w:pPr>
          </w:p>
        </w:tc>
        <w:tc>
          <w:tcPr>
            <w:tcW w:w="1324" w:type="dxa"/>
            <w:vMerge/>
            <w:vAlign w:val="center"/>
          </w:tcPr>
          <w:p w14:paraId="393FD1B4" w14:textId="77777777" w:rsidR="00574C7B" w:rsidRPr="00CF2ABB" w:rsidRDefault="00574C7B" w:rsidP="00574C7B">
            <w:pPr>
              <w:pStyle w:val="Default"/>
              <w:jc w:val="center"/>
              <w:rPr>
                <w:rFonts w:asciiTheme="minorHAnsi" w:hAnsiTheme="minorHAnsi" w:cs="Arial"/>
                <w:color w:val="auto"/>
                <w:sz w:val="20"/>
                <w:szCs w:val="20"/>
              </w:rPr>
            </w:pPr>
          </w:p>
        </w:tc>
        <w:tc>
          <w:tcPr>
            <w:tcW w:w="1899" w:type="dxa"/>
            <w:vAlign w:val="center"/>
          </w:tcPr>
          <w:p w14:paraId="605CAA80"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Μετάβαση</w:t>
            </w:r>
          </w:p>
        </w:tc>
        <w:tc>
          <w:tcPr>
            <w:tcW w:w="1503" w:type="dxa"/>
            <w:shd w:val="clear" w:color="auto" w:fill="FADAD3" w:themeFill="accent5" w:themeFillTint="33"/>
            <w:vAlign w:val="center"/>
          </w:tcPr>
          <w:p w14:paraId="5E05CE9C" w14:textId="77777777" w:rsidR="00574C7B" w:rsidRDefault="007D2CEE" w:rsidP="007D2CEE">
            <w:pPr>
              <w:pStyle w:val="Default"/>
              <w:jc w:val="center"/>
              <w:rPr>
                <w:rFonts w:asciiTheme="minorHAnsi" w:hAnsiTheme="minorHAnsi" w:cs="Arial"/>
                <w:b/>
                <w:color w:val="auto"/>
                <w:sz w:val="20"/>
                <w:szCs w:val="20"/>
              </w:rPr>
            </w:pPr>
            <w:r>
              <w:rPr>
                <w:rFonts w:asciiTheme="minorHAnsi" w:hAnsiTheme="minorHAnsi" w:cs="Arial"/>
                <w:b/>
                <w:color w:val="auto"/>
                <w:sz w:val="20"/>
                <w:szCs w:val="20"/>
              </w:rPr>
              <w:t>8,99</w:t>
            </w:r>
          </w:p>
          <w:p w14:paraId="1FD415E8" w14:textId="68CB6C8E" w:rsidR="003942A8" w:rsidRPr="003942A8" w:rsidRDefault="003942A8" w:rsidP="00CB0DA9">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CB0DA9">
              <w:rPr>
                <w:rFonts w:asciiTheme="minorHAnsi" w:hAnsiTheme="minorHAnsi" w:cs="Arial"/>
                <w:color w:val="auto"/>
                <w:sz w:val="20"/>
                <w:szCs w:val="20"/>
                <w:lang w:val="en-US"/>
              </w:rPr>
              <w:t>6,05</w:t>
            </w:r>
            <w:r>
              <w:rPr>
                <w:rFonts w:asciiTheme="minorHAnsi" w:hAnsiTheme="minorHAnsi" w:cs="Arial"/>
                <w:color w:val="auto"/>
                <w:sz w:val="20"/>
                <w:szCs w:val="20"/>
              </w:rPr>
              <w:t>)</w:t>
            </w:r>
          </w:p>
        </w:tc>
        <w:tc>
          <w:tcPr>
            <w:tcW w:w="1349" w:type="dxa"/>
            <w:shd w:val="clear" w:color="auto" w:fill="FFF4CD" w:themeFill="accent1" w:themeFillTint="33"/>
            <w:vAlign w:val="center"/>
          </w:tcPr>
          <w:p w14:paraId="265939F4" w14:textId="77777777" w:rsidR="00574C7B" w:rsidRPr="00CF2ABB" w:rsidRDefault="007D2CEE" w:rsidP="007D2CEE">
            <w:pPr>
              <w:pStyle w:val="Default"/>
              <w:jc w:val="center"/>
              <w:rPr>
                <w:rFonts w:asciiTheme="minorHAnsi" w:hAnsiTheme="minorHAnsi" w:cs="Arial"/>
                <w:b/>
                <w:color w:val="auto"/>
                <w:sz w:val="20"/>
                <w:szCs w:val="20"/>
              </w:rPr>
            </w:pPr>
            <w:r w:rsidRPr="00CF2ABB">
              <w:rPr>
                <w:rFonts w:asciiTheme="minorHAnsi" w:hAnsiTheme="minorHAnsi" w:cs="Arial"/>
                <w:b/>
                <w:color w:val="auto"/>
                <w:sz w:val="20"/>
                <w:szCs w:val="20"/>
              </w:rPr>
              <w:t xml:space="preserve"> </w:t>
            </w:r>
            <w:r>
              <w:rPr>
                <w:rFonts w:asciiTheme="minorHAnsi" w:hAnsiTheme="minorHAnsi" w:cs="Arial"/>
                <w:b/>
                <w:color w:val="auto"/>
                <w:sz w:val="20"/>
                <w:szCs w:val="20"/>
              </w:rPr>
              <w:t>11,75</w:t>
            </w:r>
          </w:p>
        </w:tc>
        <w:tc>
          <w:tcPr>
            <w:tcW w:w="1055" w:type="dxa"/>
            <w:vAlign w:val="center"/>
          </w:tcPr>
          <w:p w14:paraId="481102DB" w14:textId="77777777" w:rsidR="00574C7B" w:rsidRPr="00CF2ABB" w:rsidRDefault="00574C7B" w:rsidP="00574C7B">
            <w:pPr>
              <w:pStyle w:val="Default"/>
              <w:jc w:val="center"/>
              <w:rPr>
                <w:rFonts w:asciiTheme="minorHAnsi" w:hAnsiTheme="minorHAnsi" w:cs="Arial"/>
                <w:color w:val="auto"/>
                <w:sz w:val="20"/>
                <w:szCs w:val="20"/>
              </w:rPr>
            </w:pPr>
          </w:p>
        </w:tc>
      </w:tr>
      <w:tr w:rsidR="00574C7B" w:rsidRPr="00CF2ABB" w14:paraId="60B99E33" w14:textId="77777777" w:rsidTr="00D31745">
        <w:trPr>
          <w:trHeight w:val="733"/>
        </w:trPr>
        <w:tc>
          <w:tcPr>
            <w:tcW w:w="1648" w:type="dxa"/>
            <w:vMerge/>
          </w:tcPr>
          <w:p w14:paraId="66371136" w14:textId="77777777" w:rsidR="00574C7B" w:rsidRPr="00CF2ABB" w:rsidRDefault="00574C7B" w:rsidP="00574C7B">
            <w:pPr>
              <w:pStyle w:val="Default"/>
              <w:jc w:val="center"/>
              <w:rPr>
                <w:rFonts w:asciiTheme="minorHAnsi" w:hAnsiTheme="minorHAnsi" w:cs="Arial"/>
                <w:sz w:val="20"/>
                <w:szCs w:val="20"/>
              </w:rPr>
            </w:pPr>
          </w:p>
        </w:tc>
        <w:tc>
          <w:tcPr>
            <w:tcW w:w="1324" w:type="dxa"/>
            <w:vMerge/>
            <w:vAlign w:val="center"/>
          </w:tcPr>
          <w:p w14:paraId="699C438B" w14:textId="77777777" w:rsidR="00574C7B" w:rsidRPr="00CF2ABB" w:rsidRDefault="00574C7B" w:rsidP="00574C7B">
            <w:pPr>
              <w:pStyle w:val="Default"/>
              <w:jc w:val="center"/>
              <w:rPr>
                <w:rFonts w:asciiTheme="minorHAnsi" w:hAnsiTheme="minorHAnsi" w:cs="Arial"/>
                <w:color w:val="auto"/>
                <w:sz w:val="20"/>
                <w:szCs w:val="20"/>
              </w:rPr>
            </w:pPr>
          </w:p>
        </w:tc>
        <w:tc>
          <w:tcPr>
            <w:tcW w:w="1899" w:type="dxa"/>
            <w:vAlign w:val="center"/>
          </w:tcPr>
          <w:p w14:paraId="2AD82029" w14:textId="77777777" w:rsidR="00574C7B" w:rsidRPr="00CF2ABB" w:rsidRDefault="00574C7B" w:rsidP="00574C7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Περισσότερο ανεπτυγμένες περιφέρειες</w:t>
            </w:r>
          </w:p>
        </w:tc>
        <w:tc>
          <w:tcPr>
            <w:tcW w:w="1503" w:type="dxa"/>
            <w:shd w:val="clear" w:color="auto" w:fill="FADAD3" w:themeFill="accent5" w:themeFillTint="33"/>
            <w:vAlign w:val="center"/>
          </w:tcPr>
          <w:p w14:paraId="4056979E" w14:textId="77777777" w:rsidR="00574C7B" w:rsidRDefault="007D2CEE" w:rsidP="007D2CEE">
            <w:pPr>
              <w:pStyle w:val="Default"/>
              <w:jc w:val="center"/>
              <w:rPr>
                <w:rFonts w:asciiTheme="minorHAnsi" w:hAnsiTheme="minorHAnsi" w:cs="Arial"/>
                <w:b/>
                <w:color w:val="auto"/>
                <w:sz w:val="20"/>
                <w:szCs w:val="20"/>
              </w:rPr>
            </w:pPr>
            <w:r>
              <w:rPr>
                <w:rFonts w:asciiTheme="minorHAnsi" w:hAnsiTheme="minorHAnsi" w:cs="Arial"/>
                <w:b/>
                <w:color w:val="auto"/>
                <w:sz w:val="20"/>
                <w:szCs w:val="20"/>
              </w:rPr>
              <w:t>12,07</w:t>
            </w:r>
          </w:p>
          <w:p w14:paraId="55035041" w14:textId="1F8821D5" w:rsidR="003942A8" w:rsidRPr="003942A8" w:rsidRDefault="003942A8" w:rsidP="00CB0DA9">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CB0DA9">
              <w:rPr>
                <w:rFonts w:asciiTheme="minorHAnsi" w:hAnsiTheme="minorHAnsi" w:cs="Arial"/>
                <w:color w:val="auto"/>
                <w:sz w:val="20"/>
                <w:szCs w:val="20"/>
                <w:lang w:val="en-US"/>
              </w:rPr>
              <w:t>8,09</w:t>
            </w:r>
            <w:r>
              <w:rPr>
                <w:rFonts w:asciiTheme="minorHAnsi" w:hAnsiTheme="minorHAnsi" w:cs="Arial"/>
                <w:color w:val="auto"/>
                <w:sz w:val="20"/>
                <w:szCs w:val="20"/>
              </w:rPr>
              <w:t>)</w:t>
            </w:r>
          </w:p>
        </w:tc>
        <w:tc>
          <w:tcPr>
            <w:tcW w:w="1349" w:type="dxa"/>
            <w:shd w:val="clear" w:color="auto" w:fill="FFF4CD" w:themeFill="accent1" w:themeFillTint="33"/>
            <w:vAlign w:val="center"/>
          </w:tcPr>
          <w:p w14:paraId="7B2AAEDE" w14:textId="77777777" w:rsidR="00574C7B" w:rsidRPr="00CF2ABB" w:rsidRDefault="007D2CEE" w:rsidP="007D2CEE">
            <w:pPr>
              <w:pStyle w:val="Default"/>
              <w:jc w:val="center"/>
              <w:rPr>
                <w:rFonts w:asciiTheme="minorHAnsi" w:hAnsiTheme="minorHAnsi" w:cs="Arial"/>
                <w:b/>
                <w:color w:val="auto"/>
                <w:sz w:val="20"/>
                <w:szCs w:val="20"/>
              </w:rPr>
            </w:pPr>
            <w:r w:rsidRPr="00CF2ABB">
              <w:rPr>
                <w:rFonts w:asciiTheme="minorHAnsi" w:hAnsiTheme="minorHAnsi" w:cs="Arial"/>
                <w:b/>
                <w:color w:val="auto"/>
                <w:sz w:val="20"/>
                <w:szCs w:val="20"/>
              </w:rPr>
              <w:t xml:space="preserve"> </w:t>
            </w:r>
            <w:r>
              <w:rPr>
                <w:rFonts w:asciiTheme="minorHAnsi" w:hAnsiTheme="minorHAnsi" w:cs="Arial"/>
                <w:b/>
                <w:color w:val="auto"/>
                <w:sz w:val="20"/>
                <w:szCs w:val="20"/>
              </w:rPr>
              <w:t>15,78</w:t>
            </w:r>
          </w:p>
        </w:tc>
        <w:tc>
          <w:tcPr>
            <w:tcW w:w="1055" w:type="dxa"/>
            <w:vAlign w:val="center"/>
          </w:tcPr>
          <w:p w14:paraId="2F837203" w14:textId="77777777" w:rsidR="00574C7B" w:rsidRPr="00CF2ABB" w:rsidRDefault="00574C7B" w:rsidP="00574C7B">
            <w:pPr>
              <w:pStyle w:val="Default"/>
              <w:jc w:val="center"/>
              <w:rPr>
                <w:rFonts w:asciiTheme="minorHAnsi" w:hAnsiTheme="minorHAnsi" w:cs="Arial"/>
                <w:color w:val="auto"/>
                <w:sz w:val="20"/>
                <w:szCs w:val="20"/>
              </w:rPr>
            </w:pPr>
          </w:p>
        </w:tc>
      </w:tr>
    </w:tbl>
    <w:p w14:paraId="4BF704CF" w14:textId="77777777" w:rsidR="00C07DB8" w:rsidRDefault="00C07DB8" w:rsidP="00C07DB8">
      <w:pPr>
        <w:pStyle w:val="Default"/>
        <w:spacing w:before="40" w:after="120" w:line="360" w:lineRule="auto"/>
        <w:jc w:val="both"/>
        <w:rPr>
          <w:rFonts w:asciiTheme="minorHAnsi" w:hAnsiTheme="minorHAnsi" w:cs="Arial"/>
          <w:sz w:val="22"/>
          <w:szCs w:val="22"/>
        </w:rPr>
      </w:pPr>
    </w:p>
    <w:tbl>
      <w:tblPr>
        <w:tblStyle w:val="a6"/>
        <w:tblW w:w="0" w:type="auto"/>
        <w:tblLook w:val="04A0" w:firstRow="1" w:lastRow="0" w:firstColumn="1" w:lastColumn="0" w:noHBand="0" w:noVBand="1"/>
      </w:tblPr>
      <w:tblGrid>
        <w:gridCol w:w="1922"/>
        <w:gridCol w:w="1324"/>
        <w:gridCol w:w="1519"/>
        <w:gridCol w:w="1449"/>
        <w:gridCol w:w="1436"/>
        <w:gridCol w:w="1128"/>
      </w:tblGrid>
      <w:tr w:rsidR="00C07DB8" w:rsidRPr="00CF2ABB" w14:paraId="7E825B55" w14:textId="77777777" w:rsidTr="000843C4">
        <w:tc>
          <w:tcPr>
            <w:tcW w:w="8778" w:type="dxa"/>
            <w:gridSpan w:val="6"/>
            <w:shd w:val="clear" w:color="auto" w:fill="D9D9D9" w:themeFill="background1" w:themeFillShade="D9"/>
            <w:vAlign w:val="center"/>
          </w:tcPr>
          <w:p w14:paraId="5E8063D2" w14:textId="76CDBDAC" w:rsidR="00C07DB8" w:rsidRPr="00CF2ABB" w:rsidRDefault="00C07DB8" w:rsidP="00CB0DA9">
            <w:pPr>
              <w:pStyle w:val="Default"/>
              <w:jc w:val="center"/>
              <w:rPr>
                <w:rFonts w:asciiTheme="minorHAnsi" w:hAnsiTheme="minorHAnsi" w:cs="Arial"/>
                <w:sz w:val="20"/>
                <w:szCs w:val="20"/>
              </w:rPr>
            </w:pPr>
            <w:r w:rsidRPr="00CF2ABB">
              <w:rPr>
                <w:rFonts w:asciiTheme="minorHAnsi" w:hAnsiTheme="minorHAnsi" w:cs="Arial"/>
                <w:sz w:val="20"/>
                <w:szCs w:val="20"/>
              </w:rPr>
              <w:t xml:space="preserve">Δείκτες εκροών άξονας προτεραιότητας </w:t>
            </w:r>
            <w:r w:rsidRPr="00CF2ABB">
              <w:rPr>
                <w:rFonts w:asciiTheme="minorHAnsi" w:hAnsiTheme="minorHAnsi" w:cs="Arial"/>
                <w:b/>
                <w:sz w:val="20"/>
                <w:szCs w:val="20"/>
              </w:rPr>
              <w:t>03Σ</w:t>
            </w:r>
            <w:r w:rsidR="007D2CEE">
              <w:rPr>
                <w:rFonts w:asciiTheme="minorHAnsi" w:hAnsiTheme="minorHAnsi" w:cs="Arial"/>
                <w:b/>
                <w:sz w:val="20"/>
                <w:szCs w:val="20"/>
              </w:rPr>
              <w:t xml:space="preserve"> </w:t>
            </w:r>
            <w:r w:rsidR="00A34E5B" w:rsidRPr="00CF2ABB">
              <w:rPr>
                <w:rFonts w:asciiTheme="minorHAnsi" w:hAnsiTheme="minorHAnsi" w:cs="Arial"/>
                <w:color w:val="auto"/>
                <w:sz w:val="20"/>
                <w:szCs w:val="20"/>
              </w:rPr>
              <w:t>(</w:t>
            </w:r>
            <w:r w:rsidR="00A34E5B">
              <w:rPr>
                <w:rFonts w:asciiTheme="minorHAnsi" w:hAnsiTheme="minorHAnsi" w:cs="Arial"/>
                <w:color w:val="auto"/>
                <w:sz w:val="20"/>
                <w:szCs w:val="20"/>
              </w:rPr>
              <w:t>σε παρ. οι δείκτες από την τελευταία εξειδίκευση)</w:t>
            </w:r>
            <w:r w:rsidR="007D2CEE" w:rsidRPr="00CF2ABB">
              <w:rPr>
                <w:rFonts w:asciiTheme="minorHAnsi" w:hAnsiTheme="minorHAnsi" w:cs="Arial"/>
                <w:sz w:val="20"/>
                <w:szCs w:val="20"/>
              </w:rPr>
              <w:t xml:space="preserve"> </w:t>
            </w:r>
          </w:p>
        </w:tc>
      </w:tr>
      <w:tr w:rsidR="000843C4" w:rsidRPr="00CF2ABB" w14:paraId="076F3960" w14:textId="77777777" w:rsidTr="00CB0DA9">
        <w:trPr>
          <w:trHeight w:val="397"/>
        </w:trPr>
        <w:tc>
          <w:tcPr>
            <w:tcW w:w="1922" w:type="dxa"/>
            <w:vMerge w:val="restart"/>
            <w:shd w:val="clear" w:color="auto" w:fill="D9D9D9" w:themeFill="background1" w:themeFillShade="D9"/>
            <w:vAlign w:val="center"/>
          </w:tcPr>
          <w:p w14:paraId="69F6C93B" w14:textId="77777777" w:rsidR="000843C4" w:rsidRPr="00CF2ABB" w:rsidRDefault="000843C4" w:rsidP="000843C4">
            <w:pPr>
              <w:pStyle w:val="Default"/>
              <w:spacing w:before="40" w:after="120"/>
              <w:jc w:val="center"/>
              <w:rPr>
                <w:rFonts w:asciiTheme="minorHAnsi" w:hAnsiTheme="minorHAnsi" w:cs="Arial"/>
                <w:sz w:val="20"/>
                <w:szCs w:val="20"/>
              </w:rPr>
            </w:pPr>
            <w:r w:rsidRPr="00CF2ABB">
              <w:rPr>
                <w:rFonts w:asciiTheme="minorHAnsi" w:hAnsiTheme="minorHAnsi" w:cs="Arial"/>
                <w:sz w:val="20"/>
                <w:szCs w:val="20"/>
              </w:rPr>
              <w:t>Δείκτης</w:t>
            </w:r>
          </w:p>
        </w:tc>
        <w:tc>
          <w:tcPr>
            <w:tcW w:w="1324" w:type="dxa"/>
            <w:vMerge w:val="restart"/>
            <w:shd w:val="clear" w:color="auto" w:fill="D9D9D9" w:themeFill="background1" w:themeFillShade="D9"/>
            <w:vAlign w:val="center"/>
          </w:tcPr>
          <w:p w14:paraId="3B92D84A"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color w:val="auto"/>
                <w:sz w:val="20"/>
                <w:szCs w:val="20"/>
              </w:rPr>
              <w:t>Μονάδα μέτρησης</w:t>
            </w:r>
          </w:p>
        </w:tc>
        <w:tc>
          <w:tcPr>
            <w:tcW w:w="1519" w:type="dxa"/>
            <w:vMerge w:val="restart"/>
            <w:shd w:val="clear" w:color="auto" w:fill="D9D9D9" w:themeFill="background1" w:themeFillShade="D9"/>
            <w:vAlign w:val="center"/>
          </w:tcPr>
          <w:p w14:paraId="0B807264"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color w:val="auto"/>
                <w:sz w:val="20"/>
                <w:szCs w:val="20"/>
              </w:rPr>
              <w:t>Κατηγορία Περιφέρειας</w:t>
            </w:r>
          </w:p>
        </w:tc>
        <w:tc>
          <w:tcPr>
            <w:tcW w:w="2885" w:type="dxa"/>
            <w:gridSpan w:val="2"/>
            <w:shd w:val="clear" w:color="auto" w:fill="D9D9D9" w:themeFill="background1" w:themeFillShade="D9"/>
            <w:vAlign w:val="center"/>
          </w:tcPr>
          <w:p w14:paraId="59B12232"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color w:val="auto"/>
                <w:sz w:val="20"/>
                <w:szCs w:val="20"/>
              </w:rPr>
              <w:t>Τιμή στόχος 2023</w:t>
            </w:r>
          </w:p>
        </w:tc>
        <w:tc>
          <w:tcPr>
            <w:tcW w:w="1128" w:type="dxa"/>
            <w:vMerge w:val="restart"/>
            <w:shd w:val="clear" w:color="auto" w:fill="D9D9D9" w:themeFill="background1" w:themeFillShade="D9"/>
            <w:vAlign w:val="center"/>
          </w:tcPr>
          <w:p w14:paraId="7B79B705"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color w:val="auto"/>
                <w:sz w:val="20"/>
                <w:szCs w:val="20"/>
              </w:rPr>
              <w:t>Δείκτης πλαισίου επίδοσης</w:t>
            </w:r>
          </w:p>
        </w:tc>
      </w:tr>
      <w:tr w:rsidR="000843C4" w:rsidRPr="00CF2ABB" w14:paraId="104FB45E" w14:textId="77777777" w:rsidTr="00CF2ABB">
        <w:trPr>
          <w:trHeight w:val="408"/>
        </w:trPr>
        <w:tc>
          <w:tcPr>
            <w:tcW w:w="1922" w:type="dxa"/>
            <w:vMerge/>
            <w:shd w:val="clear" w:color="auto" w:fill="D9D9D9" w:themeFill="background1" w:themeFillShade="D9"/>
          </w:tcPr>
          <w:p w14:paraId="50F8C368" w14:textId="77777777" w:rsidR="000843C4" w:rsidRPr="00CF2ABB" w:rsidRDefault="000843C4" w:rsidP="000843C4">
            <w:pPr>
              <w:pStyle w:val="Default"/>
              <w:spacing w:before="40" w:after="120"/>
              <w:jc w:val="center"/>
              <w:rPr>
                <w:rFonts w:asciiTheme="minorHAnsi" w:hAnsiTheme="minorHAnsi" w:cs="Arial"/>
                <w:sz w:val="20"/>
                <w:szCs w:val="20"/>
              </w:rPr>
            </w:pPr>
          </w:p>
        </w:tc>
        <w:tc>
          <w:tcPr>
            <w:tcW w:w="1324" w:type="dxa"/>
            <w:vMerge/>
            <w:shd w:val="clear" w:color="auto" w:fill="D9D9D9" w:themeFill="background1" w:themeFillShade="D9"/>
            <w:vAlign w:val="center"/>
          </w:tcPr>
          <w:p w14:paraId="726D5B13" w14:textId="77777777" w:rsidR="000843C4" w:rsidRPr="00CF2ABB" w:rsidRDefault="000843C4" w:rsidP="000843C4">
            <w:pPr>
              <w:pStyle w:val="Default"/>
              <w:jc w:val="center"/>
              <w:rPr>
                <w:rFonts w:asciiTheme="minorHAnsi" w:hAnsiTheme="minorHAnsi" w:cs="Arial"/>
                <w:sz w:val="20"/>
                <w:szCs w:val="20"/>
              </w:rPr>
            </w:pPr>
          </w:p>
        </w:tc>
        <w:tc>
          <w:tcPr>
            <w:tcW w:w="1519" w:type="dxa"/>
            <w:vMerge/>
            <w:shd w:val="clear" w:color="auto" w:fill="D9D9D9" w:themeFill="background1" w:themeFillShade="D9"/>
            <w:vAlign w:val="center"/>
          </w:tcPr>
          <w:p w14:paraId="684BD020" w14:textId="77777777" w:rsidR="000843C4" w:rsidRPr="00CF2ABB" w:rsidRDefault="000843C4" w:rsidP="000843C4">
            <w:pPr>
              <w:pStyle w:val="Default"/>
              <w:jc w:val="center"/>
              <w:rPr>
                <w:rFonts w:asciiTheme="minorHAnsi" w:hAnsiTheme="minorHAnsi" w:cs="Arial"/>
                <w:sz w:val="20"/>
                <w:szCs w:val="20"/>
              </w:rPr>
            </w:pPr>
          </w:p>
        </w:tc>
        <w:tc>
          <w:tcPr>
            <w:tcW w:w="1449" w:type="dxa"/>
            <w:shd w:val="clear" w:color="auto" w:fill="FADAD3" w:themeFill="accent5" w:themeFillTint="33"/>
            <w:vAlign w:val="center"/>
          </w:tcPr>
          <w:p w14:paraId="3F7C4EF1"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sz w:val="20"/>
                <w:szCs w:val="20"/>
              </w:rPr>
              <w:t>Δημόσια Δαπάνη</w:t>
            </w:r>
          </w:p>
          <w:p w14:paraId="1EED3BEF"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sz w:val="20"/>
                <w:szCs w:val="20"/>
              </w:rPr>
              <w:t>88εκ.€</w:t>
            </w:r>
          </w:p>
        </w:tc>
        <w:tc>
          <w:tcPr>
            <w:tcW w:w="1436" w:type="dxa"/>
            <w:shd w:val="clear" w:color="auto" w:fill="FFF4CD" w:themeFill="accent1" w:themeFillTint="33"/>
            <w:vAlign w:val="center"/>
          </w:tcPr>
          <w:p w14:paraId="0E210523"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sz w:val="20"/>
                <w:szCs w:val="20"/>
              </w:rPr>
              <w:t>Δημόσια Δαπάνη</w:t>
            </w:r>
          </w:p>
          <w:p w14:paraId="23CEC3DE" w14:textId="77777777" w:rsidR="000843C4" w:rsidRPr="00CF2ABB" w:rsidRDefault="000843C4" w:rsidP="000843C4">
            <w:pPr>
              <w:pStyle w:val="Default"/>
              <w:jc w:val="center"/>
              <w:rPr>
                <w:rFonts w:asciiTheme="minorHAnsi" w:hAnsiTheme="minorHAnsi" w:cs="Arial"/>
                <w:sz w:val="20"/>
                <w:szCs w:val="20"/>
              </w:rPr>
            </w:pPr>
            <w:r w:rsidRPr="00CF2ABB">
              <w:rPr>
                <w:rFonts w:asciiTheme="minorHAnsi" w:hAnsiTheme="minorHAnsi" w:cs="Arial"/>
                <w:sz w:val="20"/>
                <w:szCs w:val="20"/>
              </w:rPr>
              <w:t>115εκ.€</w:t>
            </w:r>
          </w:p>
        </w:tc>
        <w:tc>
          <w:tcPr>
            <w:tcW w:w="1128" w:type="dxa"/>
            <w:vMerge/>
            <w:shd w:val="clear" w:color="auto" w:fill="D9D9D9" w:themeFill="background1" w:themeFillShade="D9"/>
            <w:vAlign w:val="center"/>
          </w:tcPr>
          <w:p w14:paraId="4E3CDF4F" w14:textId="77777777" w:rsidR="000843C4" w:rsidRPr="00CF2ABB" w:rsidRDefault="000843C4" w:rsidP="000843C4">
            <w:pPr>
              <w:pStyle w:val="Default"/>
              <w:jc w:val="center"/>
              <w:rPr>
                <w:rFonts w:asciiTheme="minorHAnsi" w:hAnsiTheme="minorHAnsi" w:cs="Arial"/>
                <w:sz w:val="20"/>
                <w:szCs w:val="20"/>
              </w:rPr>
            </w:pPr>
          </w:p>
        </w:tc>
      </w:tr>
      <w:tr w:rsidR="002A282B" w:rsidRPr="00CF2ABB" w14:paraId="5B0FFA6C" w14:textId="77777777" w:rsidTr="00D31745">
        <w:trPr>
          <w:trHeight w:val="732"/>
        </w:trPr>
        <w:tc>
          <w:tcPr>
            <w:tcW w:w="1922" w:type="dxa"/>
            <w:vMerge w:val="restart"/>
            <w:vAlign w:val="center"/>
          </w:tcPr>
          <w:p w14:paraId="5CC72561" w14:textId="26676965" w:rsidR="002A282B" w:rsidRPr="00CF2ABB" w:rsidRDefault="00D31745" w:rsidP="00D31745">
            <w:pPr>
              <w:pStyle w:val="Default"/>
              <w:spacing w:before="40" w:after="120"/>
              <w:rPr>
                <w:rFonts w:asciiTheme="minorHAnsi" w:hAnsiTheme="minorHAnsi" w:cs="Arial"/>
                <w:color w:val="auto"/>
                <w:sz w:val="20"/>
                <w:szCs w:val="20"/>
              </w:rPr>
            </w:pPr>
            <w:r w:rsidRPr="00D31745">
              <w:rPr>
                <w:rFonts w:asciiTheme="minorHAnsi" w:hAnsiTheme="minorHAnsi" w:cs="Arial"/>
                <w:sz w:val="20"/>
                <w:szCs w:val="20"/>
              </w:rPr>
              <w:t xml:space="preserve">01401 </w:t>
            </w:r>
            <w:r w:rsidRPr="00D83352">
              <w:rPr>
                <w:rFonts w:asciiTheme="minorHAnsi" w:hAnsiTheme="minorHAnsi" w:cs="Arial"/>
                <w:sz w:val="20"/>
                <w:szCs w:val="20"/>
              </w:rPr>
              <w:t xml:space="preserve"> </w:t>
            </w:r>
            <w:r>
              <w:rPr>
                <w:rFonts w:asciiTheme="minorHAnsi" w:hAnsiTheme="minorHAnsi" w:cs="Arial"/>
                <w:sz w:val="20"/>
                <w:szCs w:val="20"/>
              </w:rPr>
              <w:t xml:space="preserve">- </w:t>
            </w:r>
            <w:r w:rsidRPr="00CF2ABB">
              <w:rPr>
                <w:rFonts w:asciiTheme="minorHAnsi" w:hAnsiTheme="minorHAnsi" w:cs="Arial"/>
                <w:sz w:val="20"/>
                <w:szCs w:val="20"/>
              </w:rPr>
              <w:t xml:space="preserve">Αριθμός </w:t>
            </w:r>
            <w:r>
              <w:rPr>
                <w:rFonts w:asciiTheme="minorHAnsi" w:hAnsiTheme="minorHAnsi" w:cs="Arial"/>
                <w:sz w:val="20"/>
                <w:szCs w:val="20"/>
              </w:rPr>
              <w:t>δανείων</w:t>
            </w:r>
            <w:r w:rsidRPr="00CF2ABB">
              <w:rPr>
                <w:rFonts w:asciiTheme="minorHAnsi" w:hAnsiTheme="minorHAnsi" w:cs="Arial"/>
                <w:color w:val="auto"/>
                <w:sz w:val="20"/>
                <w:szCs w:val="20"/>
              </w:rPr>
              <w:t xml:space="preserve"> </w:t>
            </w:r>
            <w:r w:rsidR="00CB0DA9" w:rsidRPr="00CB0DA9">
              <w:rPr>
                <w:rFonts w:asciiTheme="minorHAnsi" w:hAnsiTheme="minorHAnsi" w:cs="Arial"/>
                <w:color w:val="auto"/>
                <w:sz w:val="20"/>
                <w:szCs w:val="20"/>
                <w:vertAlign w:val="superscript"/>
              </w:rPr>
              <w:t>53</w:t>
            </w:r>
          </w:p>
        </w:tc>
        <w:tc>
          <w:tcPr>
            <w:tcW w:w="1324" w:type="dxa"/>
            <w:vMerge w:val="restart"/>
            <w:vAlign w:val="center"/>
          </w:tcPr>
          <w:p w14:paraId="5EF1F305" w14:textId="77777777" w:rsidR="002A282B" w:rsidRPr="00CF2ABB" w:rsidRDefault="002A282B" w:rsidP="002A282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νοικοκυριά</w:t>
            </w:r>
          </w:p>
        </w:tc>
        <w:tc>
          <w:tcPr>
            <w:tcW w:w="1519" w:type="dxa"/>
            <w:vAlign w:val="center"/>
          </w:tcPr>
          <w:p w14:paraId="0304FF88" w14:textId="77777777" w:rsidR="002A282B" w:rsidRPr="00CF2ABB" w:rsidRDefault="002A282B" w:rsidP="002A282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Μετάβαση</w:t>
            </w:r>
          </w:p>
        </w:tc>
        <w:tc>
          <w:tcPr>
            <w:tcW w:w="1449" w:type="dxa"/>
            <w:shd w:val="clear" w:color="auto" w:fill="FADAD3" w:themeFill="accent5" w:themeFillTint="33"/>
            <w:vAlign w:val="center"/>
          </w:tcPr>
          <w:p w14:paraId="71CBA96B" w14:textId="77777777" w:rsidR="002A282B" w:rsidRDefault="005E1691" w:rsidP="002F3530">
            <w:pPr>
              <w:pStyle w:val="Default"/>
              <w:jc w:val="center"/>
              <w:rPr>
                <w:rFonts w:asciiTheme="minorHAnsi" w:hAnsiTheme="minorHAnsi" w:cs="Arial"/>
                <w:b/>
                <w:color w:val="auto"/>
                <w:sz w:val="20"/>
                <w:szCs w:val="20"/>
              </w:rPr>
            </w:pPr>
            <w:r>
              <w:rPr>
                <w:rFonts w:asciiTheme="minorHAnsi" w:hAnsiTheme="minorHAnsi" w:cs="Arial"/>
                <w:b/>
                <w:color w:val="auto"/>
                <w:sz w:val="20"/>
                <w:szCs w:val="20"/>
              </w:rPr>
              <w:t>1.0</w:t>
            </w:r>
            <w:r w:rsidR="002F3530">
              <w:rPr>
                <w:rFonts w:asciiTheme="minorHAnsi" w:hAnsiTheme="minorHAnsi" w:cs="Arial"/>
                <w:b/>
                <w:color w:val="auto"/>
                <w:sz w:val="20"/>
                <w:szCs w:val="20"/>
              </w:rPr>
              <w:t>40</w:t>
            </w:r>
          </w:p>
          <w:p w14:paraId="2D2F63BD" w14:textId="04189D1A" w:rsidR="003942A8" w:rsidRPr="003942A8" w:rsidRDefault="003942A8" w:rsidP="00D83352">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D83352">
              <w:rPr>
                <w:rFonts w:asciiTheme="minorHAnsi" w:hAnsiTheme="minorHAnsi" w:cs="Arial"/>
                <w:color w:val="auto"/>
                <w:sz w:val="20"/>
                <w:szCs w:val="20"/>
              </w:rPr>
              <w:t>705</w:t>
            </w:r>
            <w:r>
              <w:rPr>
                <w:rFonts w:asciiTheme="minorHAnsi" w:hAnsiTheme="minorHAnsi" w:cs="Arial"/>
                <w:color w:val="auto"/>
                <w:sz w:val="20"/>
                <w:szCs w:val="20"/>
              </w:rPr>
              <w:t>)</w:t>
            </w:r>
          </w:p>
        </w:tc>
        <w:tc>
          <w:tcPr>
            <w:tcW w:w="1436" w:type="dxa"/>
            <w:shd w:val="clear" w:color="auto" w:fill="FFF4CD" w:themeFill="accent1" w:themeFillTint="33"/>
            <w:vAlign w:val="center"/>
          </w:tcPr>
          <w:p w14:paraId="0E12096D" w14:textId="77777777" w:rsidR="002A282B" w:rsidRPr="00CF2ABB" w:rsidRDefault="007D2CEE" w:rsidP="002A282B">
            <w:pPr>
              <w:pStyle w:val="Default"/>
              <w:jc w:val="center"/>
              <w:rPr>
                <w:rFonts w:asciiTheme="minorHAnsi" w:hAnsiTheme="minorHAnsi" w:cs="Arial"/>
                <w:b/>
                <w:color w:val="auto"/>
                <w:sz w:val="20"/>
                <w:szCs w:val="20"/>
              </w:rPr>
            </w:pPr>
            <w:r w:rsidRPr="00CF2ABB">
              <w:rPr>
                <w:rFonts w:asciiTheme="minorHAnsi" w:hAnsiTheme="minorHAnsi" w:cs="Arial"/>
                <w:b/>
                <w:color w:val="auto"/>
                <w:sz w:val="20"/>
                <w:szCs w:val="20"/>
              </w:rPr>
              <w:t xml:space="preserve"> </w:t>
            </w:r>
            <w:r w:rsidR="00FB2EEA">
              <w:rPr>
                <w:rFonts w:asciiTheme="minorHAnsi" w:hAnsiTheme="minorHAnsi" w:cs="Arial"/>
                <w:b/>
                <w:color w:val="auto"/>
                <w:sz w:val="20"/>
                <w:szCs w:val="20"/>
              </w:rPr>
              <w:t>1.983</w:t>
            </w:r>
          </w:p>
        </w:tc>
        <w:tc>
          <w:tcPr>
            <w:tcW w:w="1128" w:type="dxa"/>
            <w:vAlign w:val="center"/>
          </w:tcPr>
          <w:p w14:paraId="6500642D" w14:textId="77777777" w:rsidR="002A282B" w:rsidRPr="00CF2ABB" w:rsidRDefault="002A282B" w:rsidP="002A282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w:t>
            </w:r>
          </w:p>
        </w:tc>
      </w:tr>
      <w:tr w:rsidR="002A282B" w:rsidRPr="00CF2ABB" w14:paraId="36F3C1D0" w14:textId="77777777" w:rsidTr="00D31745">
        <w:trPr>
          <w:trHeight w:val="732"/>
        </w:trPr>
        <w:tc>
          <w:tcPr>
            <w:tcW w:w="1922" w:type="dxa"/>
            <w:vMerge/>
            <w:vAlign w:val="center"/>
          </w:tcPr>
          <w:p w14:paraId="0F06E68A" w14:textId="77777777" w:rsidR="002A282B" w:rsidRPr="00CF2ABB" w:rsidRDefault="002A282B" w:rsidP="002A282B">
            <w:pPr>
              <w:pStyle w:val="Default"/>
              <w:spacing w:before="40" w:after="120"/>
              <w:rPr>
                <w:rFonts w:asciiTheme="minorHAnsi" w:hAnsiTheme="minorHAnsi" w:cs="Arial"/>
                <w:color w:val="auto"/>
                <w:sz w:val="20"/>
                <w:szCs w:val="20"/>
              </w:rPr>
            </w:pPr>
          </w:p>
        </w:tc>
        <w:tc>
          <w:tcPr>
            <w:tcW w:w="1324" w:type="dxa"/>
            <w:vMerge/>
            <w:vAlign w:val="center"/>
          </w:tcPr>
          <w:p w14:paraId="16C705CA" w14:textId="77777777" w:rsidR="002A282B" w:rsidRPr="00CF2ABB" w:rsidRDefault="002A282B" w:rsidP="002A282B">
            <w:pPr>
              <w:pStyle w:val="Default"/>
              <w:jc w:val="center"/>
              <w:rPr>
                <w:rFonts w:asciiTheme="minorHAnsi" w:hAnsiTheme="minorHAnsi" w:cs="Arial"/>
                <w:color w:val="auto"/>
                <w:sz w:val="20"/>
                <w:szCs w:val="20"/>
              </w:rPr>
            </w:pPr>
          </w:p>
        </w:tc>
        <w:tc>
          <w:tcPr>
            <w:tcW w:w="1519" w:type="dxa"/>
            <w:vAlign w:val="center"/>
          </w:tcPr>
          <w:p w14:paraId="6C35DF10" w14:textId="77777777" w:rsidR="002A282B" w:rsidRPr="00CF2ABB" w:rsidRDefault="002A282B" w:rsidP="002A282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Περισσότερο ανεπτυγμένες περιφέρειες</w:t>
            </w:r>
          </w:p>
        </w:tc>
        <w:tc>
          <w:tcPr>
            <w:tcW w:w="1449" w:type="dxa"/>
            <w:shd w:val="clear" w:color="auto" w:fill="FADAD3" w:themeFill="accent5" w:themeFillTint="33"/>
            <w:vAlign w:val="center"/>
          </w:tcPr>
          <w:p w14:paraId="69BB49FE" w14:textId="77777777" w:rsidR="002A282B" w:rsidRDefault="005E1691" w:rsidP="002F3530">
            <w:pPr>
              <w:pStyle w:val="Default"/>
              <w:jc w:val="center"/>
              <w:rPr>
                <w:rFonts w:asciiTheme="minorHAnsi" w:hAnsiTheme="minorHAnsi" w:cs="Arial"/>
                <w:b/>
                <w:color w:val="auto"/>
                <w:sz w:val="20"/>
                <w:szCs w:val="20"/>
              </w:rPr>
            </w:pPr>
            <w:r>
              <w:rPr>
                <w:rFonts w:asciiTheme="minorHAnsi" w:hAnsiTheme="minorHAnsi" w:cs="Arial"/>
                <w:b/>
                <w:color w:val="auto"/>
                <w:sz w:val="20"/>
                <w:szCs w:val="20"/>
              </w:rPr>
              <w:t>2</w:t>
            </w:r>
            <w:r w:rsidR="002F3530">
              <w:rPr>
                <w:rFonts w:asciiTheme="minorHAnsi" w:hAnsiTheme="minorHAnsi" w:cs="Arial"/>
                <w:b/>
                <w:color w:val="auto"/>
                <w:sz w:val="20"/>
                <w:szCs w:val="20"/>
              </w:rPr>
              <w:t>35</w:t>
            </w:r>
          </w:p>
          <w:p w14:paraId="511285BD" w14:textId="395D81F3" w:rsidR="003942A8" w:rsidRPr="00CF2ABB" w:rsidRDefault="003942A8" w:rsidP="003942A8">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D83352">
              <w:rPr>
                <w:rFonts w:asciiTheme="minorHAnsi" w:hAnsiTheme="minorHAnsi" w:cs="Arial"/>
                <w:color w:val="auto"/>
                <w:sz w:val="20"/>
                <w:szCs w:val="20"/>
              </w:rPr>
              <w:t>864</w:t>
            </w:r>
            <w:r>
              <w:rPr>
                <w:rFonts w:asciiTheme="minorHAnsi" w:hAnsiTheme="minorHAnsi" w:cs="Arial"/>
                <w:color w:val="auto"/>
                <w:sz w:val="20"/>
                <w:szCs w:val="20"/>
              </w:rPr>
              <w:t>)</w:t>
            </w:r>
          </w:p>
          <w:p w14:paraId="4EA19626" w14:textId="77777777" w:rsidR="003942A8" w:rsidRPr="00CF2ABB" w:rsidRDefault="003942A8" w:rsidP="003942A8">
            <w:pPr>
              <w:pStyle w:val="Default"/>
              <w:rPr>
                <w:rFonts w:asciiTheme="minorHAnsi" w:hAnsiTheme="minorHAnsi" w:cs="Arial"/>
                <w:b/>
                <w:color w:val="auto"/>
                <w:sz w:val="20"/>
                <w:szCs w:val="20"/>
              </w:rPr>
            </w:pPr>
          </w:p>
        </w:tc>
        <w:tc>
          <w:tcPr>
            <w:tcW w:w="1436" w:type="dxa"/>
            <w:shd w:val="clear" w:color="auto" w:fill="FFF4CD" w:themeFill="accent1" w:themeFillTint="33"/>
            <w:vAlign w:val="center"/>
          </w:tcPr>
          <w:p w14:paraId="280A1EA0" w14:textId="77777777" w:rsidR="002A282B" w:rsidRPr="00CF2ABB" w:rsidRDefault="007D2CEE" w:rsidP="002A282B">
            <w:pPr>
              <w:pStyle w:val="Default"/>
              <w:jc w:val="center"/>
              <w:rPr>
                <w:rFonts w:asciiTheme="minorHAnsi" w:hAnsiTheme="minorHAnsi" w:cs="Arial"/>
                <w:b/>
                <w:color w:val="auto"/>
                <w:sz w:val="20"/>
                <w:szCs w:val="20"/>
              </w:rPr>
            </w:pPr>
            <w:r w:rsidRPr="00CF2ABB">
              <w:rPr>
                <w:rFonts w:asciiTheme="minorHAnsi" w:hAnsiTheme="minorHAnsi" w:cs="Arial"/>
                <w:b/>
                <w:color w:val="auto"/>
                <w:sz w:val="20"/>
                <w:szCs w:val="20"/>
              </w:rPr>
              <w:t xml:space="preserve"> </w:t>
            </w:r>
            <w:r w:rsidR="00FB2EEA">
              <w:rPr>
                <w:rFonts w:asciiTheme="minorHAnsi" w:hAnsiTheme="minorHAnsi" w:cs="Arial"/>
                <w:b/>
                <w:color w:val="auto"/>
                <w:sz w:val="20"/>
                <w:szCs w:val="20"/>
              </w:rPr>
              <w:t>447</w:t>
            </w:r>
          </w:p>
        </w:tc>
        <w:tc>
          <w:tcPr>
            <w:tcW w:w="1128" w:type="dxa"/>
            <w:vAlign w:val="center"/>
          </w:tcPr>
          <w:p w14:paraId="2745AC67" w14:textId="77777777" w:rsidR="002A282B" w:rsidRPr="00CF2ABB" w:rsidRDefault="002A282B" w:rsidP="002A282B">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w:t>
            </w:r>
          </w:p>
        </w:tc>
      </w:tr>
      <w:tr w:rsidR="00A508A5" w:rsidRPr="00CF2ABB" w14:paraId="72BCEF66" w14:textId="77777777" w:rsidTr="00D31745">
        <w:trPr>
          <w:trHeight w:val="732"/>
        </w:trPr>
        <w:tc>
          <w:tcPr>
            <w:tcW w:w="1922" w:type="dxa"/>
            <w:vMerge w:val="restart"/>
            <w:vAlign w:val="center"/>
          </w:tcPr>
          <w:p w14:paraId="405F0C99" w14:textId="7B0A7F77" w:rsidR="00A508A5" w:rsidRPr="00CF2ABB" w:rsidRDefault="00D83352" w:rsidP="00A508A5">
            <w:pPr>
              <w:pStyle w:val="Default"/>
              <w:spacing w:before="40" w:after="120"/>
              <w:rPr>
                <w:rFonts w:asciiTheme="minorHAnsi" w:hAnsiTheme="minorHAnsi" w:cs="Arial"/>
                <w:color w:val="auto"/>
                <w:sz w:val="20"/>
                <w:szCs w:val="20"/>
              </w:rPr>
            </w:pPr>
            <w:r w:rsidRPr="00D83352">
              <w:rPr>
                <w:rFonts w:asciiTheme="minorHAnsi" w:hAnsiTheme="minorHAnsi" w:cs="Arial"/>
                <w:color w:val="auto"/>
                <w:sz w:val="20"/>
                <w:szCs w:val="20"/>
              </w:rPr>
              <w:t xml:space="preserve">CO34 </w:t>
            </w:r>
            <w:r>
              <w:rPr>
                <w:rFonts w:asciiTheme="minorHAnsi" w:hAnsiTheme="minorHAnsi" w:cs="Arial"/>
                <w:color w:val="auto"/>
                <w:sz w:val="20"/>
                <w:szCs w:val="20"/>
              </w:rPr>
              <w:t xml:space="preserve">- </w:t>
            </w:r>
            <w:r w:rsidR="00A508A5" w:rsidRPr="00CF2ABB">
              <w:rPr>
                <w:rFonts w:asciiTheme="minorHAnsi" w:hAnsiTheme="minorHAnsi" w:cs="Arial"/>
                <w:color w:val="auto"/>
                <w:sz w:val="20"/>
                <w:szCs w:val="20"/>
              </w:rPr>
              <w:t>Ετήσια μείωση των εκπομπών των αερίων θερμοκηπίου</w:t>
            </w:r>
            <w:r w:rsidR="00CB0DA9" w:rsidRPr="00CB0DA9">
              <w:rPr>
                <w:rFonts w:asciiTheme="minorHAnsi" w:hAnsiTheme="minorHAnsi" w:cs="Arial"/>
                <w:color w:val="auto"/>
                <w:sz w:val="20"/>
                <w:szCs w:val="20"/>
                <w:vertAlign w:val="superscript"/>
              </w:rPr>
              <w:t>54</w:t>
            </w:r>
          </w:p>
        </w:tc>
        <w:tc>
          <w:tcPr>
            <w:tcW w:w="1324" w:type="dxa"/>
            <w:vMerge w:val="restart"/>
            <w:vAlign w:val="center"/>
          </w:tcPr>
          <w:p w14:paraId="197320BA" w14:textId="77777777" w:rsidR="00A508A5" w:rsidRPr="00CF2ABB" w:rsidRDefault="00A508A5" w:rsidP="00A508A5">
            <w:pPr>
              <w:pStyle w:val="Default"/>
              <w:jc w:val="center"/>
              <w:rPr>
                <w:rFonts w:asciiTheme="minorHAnsi" w:hAnsiTheme="minorHAnsi" w:cs="Arial"/>
                <w:color w:val="auto"/>
                <w:sz w:val="20"/>
                <w:szCs w:val="20"/>
              </w:rPr>
            </w:pPr>
            <w:proofErr w:type="spellStart"/>
            <w:r>
              <w:rPr>
                <w:rFonts w:asciiTheme="minorHAnsi" w:hAnsiTheme="minorHAnsi" w:cs="Arial"/>
                <w:color w:val="auto"/>
                <w:sz w:val="20"/>
                <w:szCs w:val="20"/>
                <w:lang w:val="en-US"/>
              </w:rPr>
              <w:t>kt</w:t>
            </w:r>
            <w:proofErr w:type="spellEnd"/>
            <w:r w:rsidRPr="00CF2ABB">
              <w:rPr>
                <w:rFonts w:asciiTheme="minorHAnsi" w:hAnsiTheme="minorHAnsi" w:cs="Arial"/>
                <w:color w:val="auto"/>
                <w:sz w:val="20"/>
                <w:szCs w:val="20"/>
              </w:rPr>
              <w:t xml:space="preserve"> ισοδυνάμου </w:t>
            </w:r>
            <w:r w:rsidRPr="00CF2ABB">
              <w:rPr>
                <w:rFonts w:asciiTheme="minorHAnsi" w:eastAsia="Times New Roman" w:hAnsiTheme="minorHAnsi" w:cs="Arial"/>
                <w:color w:val="auto"/>
                <w:sz w:val="20"/>
                <w:szCs w:val="20"/>
                <w:lang w:val="en-US" w:eastAsia="el-GR"/>
              </w:rPr>
              <w:t>CO</w:t>
            </w:r>
            <w:r w:rsidRPr="00CF2ABB">
              <w:rPr>
                <w:rFonts w:asciiTheme="minorHAnsi" w:eastAsia="Times New Roman" w:hAnsiTheme="minorHAnsi" w:cs="Arial"/>
                <w:color w:val="auto"/>
                <w:sz w:val="20"/>
                <w:szCs w:val="20"/>
                <w:vertAlign w:val="subscript"/>
                <w:lang w:val="en-US" w:eastAsia="el-GR"/>
              </w:rPr>
              <w:t>2</w:t>
            </w:r>
          </w:p>
        </w:tc>
        <w:tc>
          <w:tcPr>
            <w:tcW w:w="1519" w:type="dxa"/>
            <w:vAlign w:val="center"/>
          </w:tcPr>
          <w:p w14:paraId="70BB3C8F" w14:textId="77777777" w:rsidR="00A508A5" w:rsidRPr="00CF2ABB" w:rsidRDefault="00A508A5" w:rsidP="00A508A5">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Μετάβαση</w:t>
            </w:r>
          </w:p>
        </w:tc>
        <w:tc>
          <w:tcPr>
            <w:tcW w:w="1449" w:type="dxa"/>
            <w:shd w:val="clear" w:color="auto" w:fill="FADAD3" w:themeFill="accent5" w:themeFillTint="33"/>
            <w:vAlign w:val="center"/>
          </w:tcPr>
          <w:p w14:paraId="5A0F349B" w14:textId="77777777" w:rsidR="00A508A5" w:rsidRDefault="007D2CEE" w:rsidP="007D2CEE">
            <w:pPr>
              <w:pStyle w:val="Default"/>
              <w:jc w:val="center"/>
              <w:rPr>
                <w:rFonts w:asciiTheme="minorHAnsi" w:hAnsiTheme="minorHAnsi" w:cs="Arial"/>
                <w:b/>
                <w:color w:val="auto"/>
                <w:sz w:val="20"/>
                <w:szCs w:val="20"/>
              </w:rPr>
            </w:pPr>
            <w:r>
              <w:rPr>
                <w:rFonts w:asciiTheme="minorHAnsi" w:hAnsiTheme="minorHAnsi" w:cs="Arial"/>
                <w:b/>
                <w:color w:val="auto"/>
                <w:sz w:val="20"/>
                <w:szCs w:val="20"/>
              </w:rPr>
              <w:t>2,03</w:t>
            </w:r>
          </w:p>
          <w:p w14:paraId="1462057D" w14:textId="45533275" w:rsidR="003942A8" w:rsidRPr="003942A8" w:rsidRDefault="003942A8" w:rsidP="00CB0DA9">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CB0DA9">
              <w:rPr>
                <w:rFonts w:asciiTheme="minorHAnsi" w:hAnsiTheme="minorHAnsi" w:cs="Arial"/>
                <w:color w:val="auto"/>
                <w:sz w:val="20"/>
                <w:szCs w:val="20"/>
                <w:lang w:val="en-US"/>
              </w:rPr>
              <w:t>1,48</w:t>
            </w:r>
            <w:r>
              <w:rPr>
                <w:rFonts w:asciiTheme="minorHAnsi" w:hAnsiTheme="minorHAnsi" w:cs="Arial"/>
                <w:color w:val="auto"/>
                <w:sz w:val="20"/>
                <w:szCs w:val="20"/>
              </w:rPr>
              <w:t>)</w:t>
            </w:r>
          </w:p>
        </w:tc>
        <w:tc>
          <w:tcPr>
            <w:tcW w:w="1436" w:type="dxa"/>
            <w:shd w:val="clear" w:color="auto" w:fill="FFF4CD" w:themeFill="accent1" w:themeFillTint="33"/>
            <w:vAlign w:val="center"/>
          </w:tcPr>
          <w:p w14:paraId="0F794476" w14:textId="77777777" w:rsidR="00A508A5" w:rsidRPr="00A508A5" w:rsidRDefault="00A508A5" w:rsidP="00A508A5">
            <w:pPr>
              <w:pStyle w:val="Default"/>
              <w:jc w:val="center"/>
              <w:rPr>
                <w:rFonts w:asciiTheme="minorHAnsi" w:hAnsiTheme="minorHAnsi" w:cs="Arial"/>
                <w:color w:val="auto"/>
                <w:sz w:val="20"/>
                <w:szCs w:val="20"/>
                <w:lang w:val="en-US"/>
              </w:rPr>
            </w:pPr>
            <w:r w:rsidRPr="00CF2ABB">
              <w:rPr>
                <w:rFonts w:asciiTheme="minorHAnsi" w:hAnsiTheme="minorHAnsi" w:cs="Arial"/>
                <w:color w:val="auto"/>
                <w:sz w:val="20"/>
                <w:szCs w:val="20"/>
              </w:rPr>
              <w:t xml:space="preserve"> </w:t>
            </w:r>
          </w:p>
          <w:p w14:paraId="3A441140" w14:textId="77777777" w:rsidR="00A508A5" w:rsidRPr="00CF2ABB" w:rsidRDefault="007D2CEE" w:rsidP="007D2CEE">
            <w:pPr>
              <w:pStyle w:val="Default"/>
              <w:jc w:val="center"/>
              <w:rPr>
                <w:rFonts w:asciiTheme="minorHAnsi" w:hAnsiTheme="minorHAnsi" w:cs="Arial"/>
                <w:b/>
                <w:color w:val="auto"/>
                <w:sz w:val="20"/>
                <w:szCs w:val="20"/>
              </w:rPr>
            </w:pPr>
            <w:r>
              <w:rPr>
                <w:rFonts w:asciiTheme="minorHAnsi" w:hAnsiTheme="minorHAnsi" w:cs="Arial"/>
                <w:b/>
                <w:color w:val="auto"/>
                <w:sz w:val="20"/>
                <w:szCs w:val="20"/>
              </w:rPr>
              <w:t>3,97</w:t>
            </w:r>
          </w:p>
        </w:tc>
        <w:tc>
          <w:tcPr>
            <w:tcW w:w="1128" w:type="dxa"/>
            <w:vAlign w:val="center"/>
          </w:tcPr>
          <w:p w14:paraId="6056886F" w14:textId="77777777" w:rsidR="00A508A5" w:rsidRPr="00CF2ABB" w:rsidRDefault="00A508A5" w:rsidP="00A508A5">
            <w:pPr>
              <w:pStyle w:val="Default"/>
              <w:jc w:val="center"/>
              <w:rPr>
                <w:rFonts w:asciiTheme="minorHAnsi" w:hAnsiTheme="minorHAnsi" w:cs="Arial"/>
                <w:color w:val="auto"/>
                <w:sz w:val="20"/>
                <w:szCs w:val="20"/>
              </w:rPr>
            </w:pPr>
          </w:p>
        </w:tc>
      </w:tr>
      <w:tr w:rsidR="00A508A5" w:rsidRPr="00CF2ABB" w14:paraId="26653876" w14:textId="77777777" w:rsidTr="00D31745">
        <w:trPr>
          <w:trHeight w:val="733"/>
        </w:trPr>
        <w:tc>
          <w:tcPr>
            <w:tcW w:w="1922" w:type="dxa"/>
            <w:vMerge/>
          </w:tcPr>
          <w:p w14:paraId="55391D88" w14:textId="77777777" w:rsidR="00A508A5" w:rsidRPr="00CF2ABB" w:rsidRDefault="00A508A5" w:rsidP="00A508A5">
            <w:pPr>
              <w:pStyle w:val="Default"/>
              <w:spacing w:before="40" w:after="120"/>
              <w:jc w:val="center"/>
              <w:rPr>
                <w:rFonts w:asciiTheme="minorHAnsi" w:hAnsiTheme="minorHAnsi" w:cs="Arial"/>
                <w:color w:val="auto"/>
                <w:sz w:val="20"/>
                <w:szCs w:val="20"/>
              </w:rPr>
            </w:pPr>
          </w:p>
        </w:tc>
        <w:tc>
          <w:tcPr>
            <w:tcW w:w="1324" w:type="dxa"/>
            <w:vMerge/>
            <w:vAlign w:val="center"/>
          </w:tcPr>
          <w:p w14:paraId="0B2EBF74" w14:textId="77777777" w:rsidR="00A508A5" w:rsidRPr="00CF2ABB" w:rsidRDefault="00A508A5" w:rsidP="00A508A5">
            <w:pPr>
              <w:pStyle w:val="Default"/>
              <w:jc w:val="center"/>
              <w:rPr>
                <w:rFonts w:asciiTheme="minorHAnsi" w:hAnsiTheme="minorHAnsi" w:cs="Arial"/>
                <w:color w:val="auto"/>
                <w:sz w:val="20"/>
                <w:szCs w:val="20"/>
              </w:rPr>
            </w:pPr>
          </w:p>
        </w:tc>
        <w:tc>
          <w:tcPr>
            <w:tcW w:w="1519" w:type="dxa"/>
            <w:vAlign w:val="center"/>
          </w:tcPr>
          <w:p w14:paraId="1B737ED7" w14:textId="77777777" w:rsidR="00A508A5" w:rsidRPr="00CF2ABB" w:rsidRDefault="00A508A5" w:rsidP="00A508A5">
            <w:pPr>
              <w:pStyle w:val="Default"/>
              <w:jc w:val="center"/>
              <w:rPr>
                <w:rFonts w:asciiTheme="minorHAnsi" w:hAnsiTheme="minorHAnsi" w:cs="Arial"/>
                <w:color w:val="auto"/>
                <w:sz w:val="20"/>
                <w:szCs w:val="20"/>
              </w:rPr>
            </w:pPr>
            <w:r w:rsidRPr="00CF2ABB">
              <w:rPr>
                <w:rFonts w:asciiTheme="minorHAnsi" w:hAnsiTheme="minorHAnsi" w:cs="Arial"/>
                <w:color w:val="auto"/>
                <w:sz w:val="20"/>
                <w:szCs w:val="20"/>
              </w:rPr>
              <w:t>Περισσότερο ανεπτυγμένες περιφέρειες</w:t>
            </w:r>
          </w:p>
        </w:tc>
        <w:tc>
          <w:tcPr>
            <w:tcW w:w="1449" w:type="dxa"/>
            <w:shd w:val="clear" w:color="auto" w:fill="FADAD3" w:themeFill="accent5" w:themeFillTint="33"/>
            <w:vAlign w:val="center"/>
          </w:tcPr>
          <w:p w14:paraId="38D5AC56" w14:textId="77777777" w:rsidR="00A508A5" w:rsidRDefault="007D2CEE" w:rsidP="007D2CEE">
            <w:pPr>
              <w:pStyle w:val="Default"/>
              <w:jc w:val="center"/>
              <w:rPr>
                <w:rFonts w:asciiTheme="minorHAnsi" w:hAnsiTheme="minorHAnsi" w:cs="Arial"/>
                <w:b/>
                <w:color w:val="auto"/>
                <w:sz w:val="20"/>
                <w:szCs w:val="20"/>
              </w:rPr>
            </w:pPr>
            <w:r>
              <w:rPr>
                <w:rFonts w:asciiTheme="minorHAnsi" w:hAnsiTheme="minorHAnsi" w:cs="Arial"/>
                <w:b/>
                <w:color w:val="auto"/>
                <w:sz w:val="20"/>
                <w:szCs w:val="20"/>
              </w:rPr>
              <w:t>0,46</w:t>
            </w:r>
          </w:p>
          <w:p w14:paraId="78413BDA" w14:textId="7F5911C9" w:rsidR="003942A8" w:rsidRPr="003942A8" w:rsidRDefault="003942A8" w:rsidP="00CB0DA9">
            <w:pPr>
              <w:pStyle w:val="Default"/>
              <w:jc w:val="center"/>
              <w:rPr>
                <w:rFonts w:asciiTheme="minorHAnsi" w:hAnsiTheme="minorHAnsi" w:cs="Arial"/>
                <w:color w:val="auto"/>
                <w:sz w:val="20"/>
                <w:szCs w:val="20"/>
              </w:rPr>
            </w:pPr>
            <w:r>
              <w:rPr>
                <w:rFonts w:asciiTheme="minorHAnsi" w:hAnsiTheme="minorHAnsi" w:cs="Arial"/>
                <w:color w:val="auto"/>
                <w:sz w:val="20"/>
                <w:szCs w:val="20"/>
              </w:rPr>
              <w:t>(</w:t>
            </w:r>
            <w:r w:rsidR="00CB0DA9">
              <w:rPr>
                <w:rFonts w:asciiTheme="minorHAnsi" w:hAnsiTheme="minorHAnsi" w:cs="Arial"/>
                <w:color w:val="auto"/>
                <w:sz w:val="20"/>
                <w:szCs w:val="20"/>
                <w:lang w:val="en-US"/>
              </w:rPr>
              <w:t>1,50</w:t>
            </w:r>
            <w:r>
              <w:rPr>
                <w:rFonts w:asciiTheme="minorHAnsi" w:hAnsiTheme="minorHAnsi" w:cs="Arial"/>
                <w:color w:val="auto"/>
                <w:sz w:val="20"/>
                <w:szCs w:val="20"/>
              </w:rPr>
              <w:t>)</w:t>
            </w:r>
          </w:p>
        </w:tc>
        <w:tc>
          <w:tcPr>
            <w:tcW w:w="1436" w:type="dxa"/>
            <w:shd w:val="clear" w:color="auto" w:fill="FFF4CD" w:themeFill="accent1" w:themeFillTint="33"/>
            <w:vAlign w:val="center"/>
          </w:tcPr>
          <w:p w14:paraId="79A20783" w14:textId="77777777" w:rsidR="00A508A5" w:rsidRPr="00CF2ABB" w:rsidRDefault="007D2CEE" w:rsidP="007D2CEE">
            <w:pPr>
              <w:pStyle w:val="Default"/>
              <w:jc w:val="center"/>
              <w:rPr>
                <w:rFonts w:asciiTheme="minorHAnsi" w:hAnsiTheme="minorHAnsi" w:cs="Arial"/>
                <w:b/>
                <w:color w:val="auto"/>
                <w:sz w:val="20"/>
                <w:szCs w:val="20"/>
              </w:rPr>
            </w:pPr>
            <w:r w:rsidRPr="00CF2ABB">
              <w:rPr>
                <w:rFonts w:asciiTheme="minorHAnsi" w:hAnsiTheme="minorHAnsi" w:cs="Arial"/>
                <w:b/>
                <w:color w:val="auto"/>
                <w:sz w:val="20"/>
                <w:szCs w:val="20"/>
              </w:rPr>
              <w:t xml:space="preserve"> </w:t>
            </w:r>
            <w:r>
              <w:rPr>
                <w:rFonts w:asciiTheme="minorHAnsi" w:hAnsiTheme="minorHAnsi" w:cs="Arial"/>
                <w:b/>
                <w:color w:val="auto"/>
                <w:sz w:val="20"/>
                <w:szCs w:val="20"/>
              </w:rPr>
              <w:t>0,89</w:t>
            </w:r>
          </w:p>
        </w:tc>
        <w:tc>
          <w:tcPr>
            <w:tcW w:w="1128" w:type="dxa"/>
            <w:vAlign w:val="center"/>
          </w:tcPr>
          <w:p w14:paraId="58072D64" w14:textId="77777777" w:rsidR="00A508A5" w:rsidRPr="00CF2ABB" w:rsidRDefault="00A508A5" w:rsidP="00A508A5">
            <w:pPr>
              <w:pStyle w:val="Default"/>
              <w:jc w:val="center"/>
              <w:rPr>
                <w:rFonts w:asciiTheme="minorHAnsi" w:hAnsiTheme="minorHAnsi" w:cs="Arial"/>
                <w:color w:val="auto"/>
                <w:sz w:val="20"/>
                <w:szCs w:val="20"/>
              </w:rPr>
            </w:pPr>
          </w:p>
        </w:tc>
      </w:tr>
    </w:tbl>
    <w:p w14:paraId="1433C642" w14:textId="77777777" w:rsidR="00C07DB8" w:rsidRDefault="00C07DB8" w:rsidP="00C07DB8">
      <w:pPr>
        <w:pStyle w:val="Default"/>
        <w:spacing w:before="40" w:after="120" w:line="360" w:lineRule="auto"/>
        <w:jc w:val="both"/>
        <w:rPr>
          <w:rFonts w:asciiTheme="minorHAnsi" w:hAnsiTheme="minorHAnsi" w:cs="Arial"/>
          <w:sz w:val="22"/>
          <w:szCs w:val="22"/>
        </w:rPr>
      </w:pPr>
    </w:p>
    <w:p w14:paraId="21499F14" w14:textId="7BF9BF79" w:rsidR="00FB2EEA" w:rsidRPr="00A508A5" w:rsidRDefault="006F5916" w:rsidP="00A508A5">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lastRenderedPageBreak/>
        <w:t xml:space="preserve">Οι τιμές των δεικτών που συνδέονται με το ΧΤ έχουν προκύψει με </w:t>
      </w:r>
      <w:r w:rsidRPr="00480379">
        <w:rPr>
          <w:rFonts w:asciiTheme="minorHAnsi" w:hAnsiTheme="minorHAnsi" w:cs="Arial"/>
          <w:sz w:val="22"/>
          <w:szCs w:val="22"/>
          <w:lang w:val="en-US"/>
        </w:rPr>
        <w:t>pro</w:t>
      </w:r>
      <w:r w:rsidRPr="00480379">
        <w:rPr>
          <w:rFonts w:asciiTheme="minorHAnsi" w:hAnsiTheme="minorHAnsi" w:cs="Arial"/>
          <w:sz w:val="22"/>
          <w:szCs w:val="22"/>
        </w:rPr>
        <w:t>-</w:t>
      </w:r>
      <w:r w:rsidRPr="00480379">
        <w:rPr>
          <w:rFonts w:asciiTheme="minorHAnsi" w:hAnsiTheme="minorHAnsi" w:cs="Arial"/>
          <w:sz w:val="22"/>
          <w:szCs w:val="22"/>
          <w:lang w:val="en-US"/>
        </w:rPr>
        <w:t>rat</w:t>
      </w:r>
      <w:r w:rsidRPr="00480379">
        <w:rPr>
          <w:rFonts w:asciiTheme="minorHAnsi" w:hAnsiTheme="minorHAnsi" w:cs="Arial"/>
          <w:sz w:val="22"/>
          <w:szCs w:val="22"/>
        </w:rPr>
        <w:t xml:space="preserve">α επί των δεικτών </w:t>
      </w:r>
      <w:r>
        <w:rPr>
          <w:rFonts w:asciiTheme="minorHAnsi" w:hAnsiTheme="minorHAnsi" w:cs="Arial"/>
          <w:sz w:val="22"/>
          <w:szCs w:val="22"/>
        </w:rPr>
        <w:t xml:space="preserve">υλοποίησης </w:t>
      </w:r>
      <w:r w:rsidRPr="00480379">
        <w:rPr>
          <w:rFonts w:asciiTheme="minorHAnsi" w:hAnsiTheme="minorHAnsi" w:cs="Arial"/>
          <w:sz w:val="22"/>
          <w:szCs w:val="22"/>
        </w:rPr>
        <w:t>του</w:t>
      </w:r>
      <w:r>
        <w:rPr>
          <w:rFonts w:asciiTheme="minorHAnsi" w:hAnsiTheme="minorHAnsi" w:cs="Arial"/>
          <w:sz w:val="22"/>
          <w:szCs w:val="22"/>
        </w:rPr>
        <w:t xml:space="preserve"> </w:t>
      </w:r>
      <w:proofErr w:type="spellStart"/>
      <w:r>
        <w:rPr>
          <w:rFonts w:asciiTheme="minorHAnsi" w:hAnsiTheme="minorHAnsi" w:cs="Arial"/>
          <w:sz w:val="22"/>
          <w:szCs w:val="22"/>
        </w:rPr>
        <w:t>Α’Κύκλου</w:t>
      </w:r>
      <w:proofErr w:type="spellEnd"/>
      <w:r w:rsidRPr="00480379">
        <w:rPr>
          <w:rFonts w:asciiTheme="minorHAnsi" w:hAnsiTheme="minorHAnsi" w:cs="Arial"/>
          <w:sz w:val="22"/>
          <w:szCs w:val="22"/>
        </w:rPr>
        <w:t xml:space="preserve">. </w:t>
      </w:r>
      <w:r w:rsidR="00FB2EEA">
        <w:rPr>
          <w:rFonts w:asciiTheme="minorHAnsi" w:hAnsiTheme="minorHAnsi" w:cs="Arial"/>
          <w:sz w:val="22"/>
          <w:szCs w:val="22"/>
        </w:rPr>
        <w:t xml:space="preserve">Συνολικά δηλαδή μέσω του Χρηματοοικονομικού Εργαλείου για κεφάλαιο </w:t>
      </w:r>
      <w:r w:rsidR="00A508A5">
        <w:rPr>
          <w:rFonts w:asciiTheme="minorHAnsi" w:hAnsiTheme="minorHAnsi" w:cs="Arial"/>
          <w:sz w:val="22"/>
          <w:szCs w:val="22"/>
        </w:rPr>
        <w:t>Τ</w:t>
      </w:r>
      <w:r w:rsidR="00FB2EEA">
        <w:rPr>
          <w:rFonts w:asciiTheme="minorHAnsi" w:hAnsiTheme="minorHAnsi" w:cs="Arial"/>
          <w:sz w:val="22"/>
          <w:szCs w:val="22"/>
        </w:rPr>
        <w:t>αμείου 88εκ.€ αναβαθμίζονται</w:t>
      </w:r>
      <w:r w:rsidR="00D31745">
        <w:rPr>
          <w:rFonts w:asciiTheme="minorHAnsi" w:hAnsiTheme="minorHAnsi" w:cs="Arial"/>
          <w:sz w:val="22"/>
          <w:szCs w:val="22"/>
        </w:rPr>
        <w:t xml:space="preserve"> με δάνεια</w:t>
      </w:r>
      <w:r w:rsidR="00FB2EEA">
        <w:rPr>
          <w:rFonts w:asciiTheme="minorHAnsi" w:hAnsiTheme="minorHAnsi" w:cs="Arial"/>
          <w:sz w:val="22"/>
          <w:szCs w:val="22"/>
        </w:rPr>
        <w:t xml:space="preserve"> 27.044 κατοικίες και για κεφάλαιο 115εκ.€, αναβαθμίζονται </w:t>
      </w:r>
      <w:r w:rsidR="00D31745">
        <w:rPr>
          <w:rFonts w:asciiTheme="minorHAnsi" w:hAnsiTheme="minorHAnsi" w:cs="Arial"/>
          <w:sz w:val="22"/>
          <w:szCs w:val="22"/>
        </w:rPr>
        <w:t xml:space="preserve">(με δάνεια) </w:t>
      </w:r>
      <w:r w:rsidR="00FB2EEA">
        <w:rPr>
          <w:rFonts w:asciiTheme="minorHAnsi" w:hAnsiTheme="minorHAnsi" w:cs="Arial"/>
          <w:sz w:val="22"/>
          <w:szCs w:val="22"/>
        </w:rPr>
        <w:t>35.341 κατοικίες.</w:t>
      </w:r>
      <w:r>
        <w:rPr>
          <w:rFonts w:asciiTheme="minorHAnsi" w:hAnsiTheme="minorHAnsi" w:cs="Arial"/>
          <w:sz w:val="22"/>
          <w:szCs w:val="22"/>
        </w:rPr>
        <w:t xml:space="preserve"> Ειδικά για τις εκπομπές </w:t>
      </w:r>
      <w:r>
        <w:rPr>
          <w:rFonts w:asciiTheme="minorHAnsi" w:hAnsiTheme="minorHAnsi" w:cs="Arial"/>
          <w:sz w:val="22"/>
          <w:szCs w:val="22"/>
          <w:lang w:val="en-US"/>
        </w:rPr>
        <w:t>CO</w:t>
      </w:r>
      <w:r w:rsidRPr="00876DCC">
        <w:rPr>
          <w:rFonts w:asciiTheme="minorHAnsi" w:hAnsiTheme="minorHAnsi" w:cs="Arial"/>
          <w:sz w:val="22"/>
          <w:szCs w:val="22"/>
        </w:rPr>
        <w:t xml:space="preserve">2 </w:t>
      </w:r>
      <w:r>
        <w:rPr>
          <w:rFonts w:asciiTheme="minorHAnsi" w:hAnsiTheme="minorHAnsi" w:cs="Arial"/>
          <w:sz w:val="22"/>
          <w:szCs w:val="22"/>
        </w:rPr>
        <w:t xml:space="preserve">έχει χρησιμοποιηθεί ο δείκτης </w:t>
      </w:r>
      <w:r w:rsidR="003F7662">
        <w:rPr>
          <w:rFonts w:asciiTheme="minorHAnsi" w:hAnsiTheme="minorHAnsi" w:cs="Arial"/>
          <w:sz w:val="22"/>
          <w:szCs w:val="22"/>
        </w:rPr>
        <w:t xml:space="preserve">που προκύπτει από την εξοικονόμηση ενέργειας των κατοικιών του </w:t>
      </w:r>
      <w:proofErr w:type="spellStart"/>
      <w:r w:rsidR="003F7662">
        <w:rPr>
          <w:rFonts w:asciiTheme="minorHAnsi" w:hAnsiTheme="minorHAnsi" w:cs="Arial"/>
          <w:sz w:val="22"/>
          <w:szCs w:val="22"/>
        </w:rPr>
        <w:t>Α’Κύκλου</w:t>
      </w:r>
      <w:proofErr w:type="spellEnd"/>
      <w:r w:rsidR="003F7662">
        <w:rPr>
          <w:rFonts w:asciiTheme="minorHAnsi" w:hAnsiTheme="minorHAnsi" w:cs="Arial"/>
          <w:sz w:val="22"/>
          <w:szCs w:val="22"/>
        </w:rPr>
        <w:t xml:space="preserve"> έως κατηγορία Δ</w:t>
      </w:r>
      <w:r w:rsidR="00876DCC">
        <w:rPr>
          <w:rFonts w:asciiTheme="minorHAnsi" w:hAnsiTheme="minorHAnsi" w:cs="Arial"/>
          <w:sz w:val="22"/>
          <w:szCs w:val="22"/>
        </w:rPr>
        <w:t>.</w:t>
      </w:r>
      <w:r w:rsidR="00A508A5" w:rsidRPr="00A508A5">
        <w:rPr>
          <w:rFonts w:asciiTheme="minorHAnsi" w:hAnsiTheme="minorHAnsi" w:cs="Arial"/>
          <w:sz w:val="22"/>
          <w:szCs w:val="22"/>
        </w:rPr>
        <w:t xml:space="preserve"> </w:t>
      </w:r>
      <w:r w:rsidR="00A508A5">
        <w:rPr>
          <w:rFonts w:asciiTheme="minorHAnsi" w:hAnsiTheme="minorHAnsi" w:cs="Arial"/>
          <w:sz w:val="22"/>
          <w:szCs w:val="22"/>
        </w:rPr>
        <w:t xml:space="preserve">Με βάση τα στοιχεία του </w:t>
      </w:r>
      <w:proofErr w:type="spellStart"/>
      <w:r w:rsidR="00A508A5">
        <w:rPr>
          <w:rFonts w:asciiTheme="minorHAnsi" w:hAnsiTheme="minorHAnsi" w:cs="Arial"/>
          <w:sz w:val="22"/>
          <w:szCs w:val="22"/>
        </w:rPr>
        <w:t>Α’Κύκλου</w:t>
      </w:r>
      <w:proofErr w:type="spellEnd"/>
      <w:r w:rsidR="00A508A5">
        <w:rPr>
          <w:rFonts w:asciiTheme="minorHAnsi" w:hAnsiTheme="minorHAnsi" w:cs="Arial"/>
          <w:sz w:val="22"/>
          <w:szCs w:val="22"/>
        </w:rPr>
        <w:t xml:space="preserve"> για κεφάλαιο Ταμείου 88εκ.€ επιτυγχάνεται μείωση εκπομπών </w:t>
      </w:r>
      <w:r w:rsidR="00A508A5">
        <w:rPr>
          <w:rFonts w:asciiTheme="minorHAnsi" w:hAnsiTheme="minorHAnsi" w:cs="Arial"/>
          <w:sz w:val="22"/>
          <w:szCs w:val="22"/>
          <w:lang w:val="en-US"/>
        </w:rPr>
        <w:t>CO</w:t>
      </w:r>
      <w:r w:rsidR="00A508A5" w:rsidRPr="00A508A5">
        <w:rPr>
          <w:rFonts w:asciiTheme="minorHAnsi" w:hAnsiTheme="minorHAnsi" w:cs="Arial"/>
          <w:sz w:val="22"/>
          <w:szCs w:val="22"/>
        </w:rPr>
        <w:t xml:space="preserve">2 </w:t>
      </w:r>
      <w:r w:rsidR="003F7662">
        <w:rPr>
          <w:rFonts w:asciiTheme="minorHAnsi" w:hAnsiTheme="minorHAnsi" w:cs="Arial"/>
          <w:sz w:val="22"/>
          <w:szCs w:val="22"/>
        </w:rPr>
        <w:t>52,86</w:t>
      </w:r>
      <w:r w:rsidR="00A508A5" w:rsidRPr="00A508A5">
        <w:rPr>
          <w:rFonts w:asciiTheme="minorHAnsi" w:hAnsiTheme="minorHAnsi" w:cs="Arial"/>
          <w:sz w:val="22"/>
          <w:szCs w:val="22"/>
        </w:rPr>
        <w:t xml:space="preserve"> </w:t>
      </w:r>
      <w:proofErr w:type="spellStart"/>
      <w:r w:rsidR="00A508A5">
        <w:rPr>
          <w:rFonts w:asciiTheme="minorHAnsi" w:hAnsiTheme="minorHAnsi" w:cs="Arial"/>
          <w:sz w:val="22"/>
          <w:szCs w:val="22"/>
          <w:lang w:val="en-US"/>
        </w:rPr>
        <w:t>kt</w:t>
      </w:r>
      <w:proofErr w:type="spellEnd"/>
      <w:r w:rsidR="00A508A5" w:rsidRPr="00A508A5">
        <w:rPr>
          <w:rFonts w:asciiTheme="minorHAnsi" w:hAnsiTheme="minorHAnsi" w:cs="Arial"/>
          <w:sz w:val="22"/>
          <w:szCs w:val="22"/>
        </w:rPr>
        <w:t>/</w:t>
      </w:r>
      <w:r w:rsidR="00A508A5">
        <w:rPr>
          <w:rFonts w:asciiTheme="minorHAnsi" w:hAnsiTheme="minorHAnsi" w:cs="Arial"/>
          <w:sz w:val="22"/>
          <w:szCs w:val="22"/>
        </w:rPr>
        <w:t xml:space="preserve">έτος και για κεφάλαιο Ταμείου 115εκ.€ επιτυγχάνεται μείωση εκπομπών </w:t>
      </w:r>
      <w:r w:rsidR="00A508A5">
        <w:rPr>
          <w:rFonts w:asciiTheme="minorHAnsi" w:hAnsiTheme="minorHAnsi" w:cs="Arial"/>
          <w:sz w:val="22"/>
          <w:szCs w:val="22"/>
          <w:lang w:val="en-US"/>
        </w:rPr>
        <w:t>CO</w:t>
      </w:r>
      <w:r w:rsidR="00A508A5" w:rsidRPr="00A508A5">
        <w:rPr>
          <w:rFonts w:asciiTheme="minorHAnsi" w:hAnsiTheme="minorHAnsi" w:cs="Arial"/>
          <w:sz w:val="22"/>
          <w:szCs w:val="22"/>
        </w:rPr>
        <w:t>2</w:t>
      </w:r>
      <w:r w:rsidR="00A508A5">
        <w:rPr>
          <w:rFonts w:asciiTheme="minorHAnsi" w:hAnsiTheme="minorHAnsi" w:cs="Arial"/>
          <w:sz w:val="22"/>
          <w:szCs w:val="22"/>
        </w:rPr>
        <w:t xml:space="preserve"> </w:t>
      </w:r>
      <w:r w:rsidR="003F7662">
        <w:rPr>
          <w:rFonts w:asciiTheme="minorHAnsi" w:hAnsiTheme="minorHAnsi" w:cs="Arial"/>
          <w:sz w:val="22"/>
          <w:szCs w:val="22"/>
        </w:rPr>
        <w:t>70,68</w:t>
      </w:r>
      <w:r w:rsidR="00A508A5">
        <w:rPr>
          <w:rFonts w:asciiTheme="minorHAnsi" w:hAnsiTheme="minorHAnsi" w:cs="Arial"/>
          <w:sz w:val="22"/>
          <w:szCs w:val="22"/>
        </w:rPr>
        <w:t xml:space="preserve"> </w:t>
      </w:r>
      <w:proofErr w:type="spellStart"/>
      <w:r w:rsidR="00A508A5">
        <w:rPr>
          <w:rFonts w:asciiTheme="minorHAnsi" w:hAnsiTheme="minorHAnsi" w:cs="Arial"/>
          <w:sz w:val="22"/>
          <w:szCs w:val="22"/>
          <w:lang w:val="en-US"/>
        </w:rPr>
        <w:t>kt</w:t>
      </w:r>
      <w:proofErr w:type="spellEnd"/>
      <w:r w:rsidR="00A508A5" w:rsidRPr="00A508A5">
        <w:rPr>
          <w:rFonts w:asciiTheme="minorHAnsi" w:hAnsiTheme="minorHAnsi" w:cs="Arial"/>
          <w:sz w:val="22"/>
          <w:szCs w:val="22"/>
        </w:rPr>
        <w:t>/</w:t>
      </w:r>
      <w:r w:rsidR="00A508A5">
        <w:rPr>
          <w:rFonts w:asciiTheme="minorHAnsi" w:hAnsiTheme="minorHAnsi" w:cs="Arial"/>
          <w:sz w:val="22"/>
          <w:szCs w:val="22"/>
        </w:rPr>
        <w:t>έτος.</w:t>
      </w:r>
    </w:p>
    <w:p w14:paraId="20689896" w14:textId="77777777" w:rsidR="00C07DB8" w:rsidRPr="00480379" w:rsidRDefault="00C07DB8" w:rsidP="00C07DB8">
      <w:pPr>
        <w:pStyle w:val="Default"/>
        <w:spacing w:before="40" w:after="120" w:line="360" w:lineRule="auto"/>
        <w:jc w:val="both"/>
        <w:rPr>
          <w:rFonts w:asciiTheme="minorHAnsi" w:hAnsiTheme="minorHAnsi" w:cs="Arial"/>
          <w:sz w:val="22"/>
          <w:szCs w:val="22"/>
        </w:rPr>
      </w:pPr>
      <w:r w:rsidRPr="00480379">
        <w:rPr>
          <w:rFonts w:asciiTheme="minorHAnsi" w:hAnsiTheme="minorHAnsi" w:cs="Arial"/>
          <w:sz w:val="22"/>
          <w:szCs w:val="22"/>
        </w:rPr>
        <w:t>Στους πίνακες των προηγούμενων σελίδων κάτω από τις τιμές των δεικτών που περιγράφονται στην 1</w:t>
      </w:r>
      <w:r w:rsidRPr="00480379">
        <w:rPr>
          <w:rFonts w:asciiTheme="minorHAnsi" w:hAnsiTheme="minorHAnsi" w:cs="Arial"/>
          <w:sz w:val="22"/>
          <w:szCs w:val="22"/>
          <w:vertAlign w:val="superscript"/>
        </w:rPr>
        <w:t>η</w:t>
      </w:r>
      <w:r w:rsidRPr="00480379">
        <w:rPr>
          <w:rFonts w:asciiTheme="minorHAnsi" w:hAnsiTheme="minorHAnsi" w:cs="Arial"/>
          <w:sz w:val="22"/>
          <w:szCs w:val="22"/>
        </w:rPr>
        <w:t xml:space="preserve"> Εξειδίκευση του ΕΠΑνΕΚ, αναγράφονται με έντονο χρώμα και οι αναμενόμενες τιμές από την υλοποίηση του </w:t>
      </w:r>
      <w:r w:rsidR="006766F3" w:rsidRPr="006766F3">
        <w:rPr>
          <w:rFonts w:asciiTheme="minorHAnsi" w:hAnsiTheme="minorHAnsi" w:cs="Arial"/>
          <w:sz w:val="22"/>
          <w:szCs w:val="22"/>
        </w:rPr>
        <w:t>FI</w:t>
      </w:r>
      <w:r w:rsidRPr="00480379">
        <w:rPr>
          <w:rFonts w:asciiTheme="minorHAnsi" w:hAnsiTheme="minorHAnsi" w:cs="Arial"/>
          <w:sz w:val="22"/>
          <w:szCs w:val="22"/>
        </w:rPr>
        <w:t>.</w:t>
      </w:r>
    </w:p>
    <w:p w14:paraId="67B26F8F" w14:textId="77777777" w:rsidR="008B287E" w:rsidRDefault="008B287E" w:rsidP="00C07DB8">
      <w:pPr>
        <w:pStyle w:val="Default"/>
        <w:spacing w:before="40" w:after="120" w:line="360" w:lineRule="auto"/>
        <w:jc w:val="both"/>
        <w:rPr>
          <w:rFonts w:asciiTheme="minorHAnsi" w:hAnsiTheme="minorHAnsi" w:cs="Arial"/>
          <w:sz w:val="22"/>
          <w:szCs w:val="22"/>
        </w:rPr>
      </w:pPr>
      <w:r>
        <w:rPr>
          <w:rFonts w:asciiTheme="minorHAnsi" w:hAnsiTheme="minorHAnsi" w:cs="Arial"/>
          <w:sz w:val="22"/>
          <w:szCs w:val="22"/>
        </w:rPr>
        <w:t xml:space="preserve">Έως τον Φεβρουάριο του 2020 υπήρχαν συγκεντρωτικά: </w:t>
      </w:r>
    </w:p>
    <w:tbl>
      <w:tblPr>
        <w:tblW w:w="8794" w:type="dxa"/>
        <w:tblInd w:w="-15" w:type="dxa"/>
        <w:tblCellMar>
          <w:left w:w="0" w:type="dxa"/>
          <w:right w:w="0" w:type="dxa"/>
        </w:tblCellMar>
        <w:tblLook w:val="04A0" w:firstRow="1" w:lastRow="0" w:firstColumn="1" w:lastColumn="0" w:noHBand="0" w:noVBand="1"/>
      </w:tblPr>
      <w:tblGrid>
        <w:gridCol w:w="2132"/>
        <w:gridCol w:w="6662"/>
      </w:tblGrid>
      <w:tr w:rsidR="002A282B" w:rsidRPr="006E1330" w14:paraId="0DE31367" w14:textId="77777777" w:rsidTr="003F7662">
        <w:trPr>
          <w:trHeight w:val="230"/>
        </w:trPr>
        <w:tc>
          <w:tcPr>
            <w:tcW w:w="213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6E9C36" w14:textId="77777777" w:rsidR="002A282B" w:rsidRPr="006E1330" w:rsidRDefault="002A282B" w:rsidP="003F7662">
            <w:pPr>
              <w:jc w:val="left"/>
              <w:rPr>
                <w:lang w:eastAsia="el-GR"/>
              </w:rPr>
            </w:pPr>
            <w:r w:rsidRPr="006E1330">
              <w:rPr>
                <w:lang w:eastAsia="el-GR"/>
              </w:rPr>
              <w:t>31.960</w:t>
            </w:r>
          </w:p>
        </w:tc>
        <w:tc>
          <w:tcPr>
            <w:tcW w:w="666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56BA69A" w14:textId="77777777" w:rsidR="002A282B" w:rsidRPr="006E1330" w:rsidRDefault="002A282B" w:rsidP="00627544">
            <w:pPr>
              <w:rPr>
                <w:lang w:eastAsia="el-GR"/>
              </w:rPr>
            </w:pPr>
            <w:r w:rsidRPr="006E1330">
              <w:rPr>
                <w:lang w:eastAsia="el-GR"/>
              </w:rPr>
              <w:t>Ολοκληρωμένες Κατοικίες (από Α’ Κύκλο, στοιχείο 2/2020)</w:t>
            </w:r>
          </w:p>
        </w:tc>
      </w:tr>
      <w:tr w:rsidR="002A282B" w:rsidRPr="006E1330" w14:paraId="6350913C" w14:textId="77777777" w:rsidTr="003F7662">
        <w:trPr>
          <w:trHeight w:val="230"/>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52F58AB" w14:textId="4B6C2F10" w:rsidR="002A282B" w:rsidRPr="006E1330" w:rsidRDefault="002A282B" w:rsidP="003F7662">
            <w:pPr>
              <w:spacing w:before="0" w:line="240" w:lineRule="auto"/>
              <w:jc w:val="left"/>
              <w:rPr>
                <w:lang w:eastAsia="el-GR"/>
              </w:rPr>
            </w:pPr>
            <w:r w:rsidRPr="006E1330">
              <w:rPr>
                <w:lang w:eastAsia="el-GR"/>
              </w:rPr>
              <w:t xml:space="preserve">798 </w:t>
            </w:r>
            <w:proofErr w:type="spellStart"/>
            <w:r w:rsidRPr="006E1330">
              <w:rPr>
                <w:lang w:eastAsia="el-GR"/>
              </w:rPr>
              <w:t>GWh</w:t>
            </w:r>
            <w:proofErr w:type="spellEnd"/>
            <w:r w:rsidR="007D7ADE" w:rsidRPr="006E1330">
              <w:rPr>
                <w:lang w:eastAsia="el-GR"/>
              </w:rPr>
              <w:t xml:space="preserve"> / 2,15 </w:t>
            </w:r>
            <w:r w:rsidR="007D7ADE" w:rsidRPr="006E1330">
              <w:rPr>
                <w:lang w:val="en-US" w:eastAsia="el-GR"/>
              </w:rPr>
              <w:t>toe</w:t>
            </w:r>
            <w:r w:rsidR="007D7ADE" w:rsidRPr="006E1330">
              <w:rPr>
                <w:lang w:eastAsia="el-GR"/>
              </w:rPr>
              <w:t>/κατοικία</w:t>
            </w:r>
          </w:p>
          <w:p w14:paraId="10564D69" w14:textId="77777777" w:rsidR="007D7ADE" w:rsidRPr="006E1330" w:rsidRDefault="007D7ADE" w:rsidP="003F7662">
            <w:pPr>
              <w:spacing w:before="0" w:line="240" w:lineRule="auto"/>
              <w:jc w:val="left"/>
              <w:rPr>
                <w:lang w:eastAsia="el-GR"/>
              </w:rPr>
            </w:pPr>
          </w:p>
          <w:p w14:paraId="5B6C0566" w14:textId="41591F80" w:rsidR="007D7ADE" w:rsidRPr="006E1330" w:rsidRDefault="007D7ADE" w:rsidP="003F7662">
            <w:pPr>
              <w:spacing w:before="0" w:line="240" w:lineRule="auto"/>
              <w:jc w:val="left"/>
              <w:rPr>
                <w:lang w:eastAsia="el-GR"/>
              </w:rPr>
            </w:pPr>
            <w:r w:rsidRPr="006E1330">
              <w:rPr>
                <w:lang w:eastAsia="el-GR"/>
              </w:rPr>
              <w:t xml:space="preserve">254 </w:t>
            </w:r>
            <w:proofErr w:type="spellStart"/>
            <w:r w:rsidRPr="006E1330">
              <w:rPr>
                <w:lang w:eastAsia="el-GR"/>
              </w:rPr>
              <w:t>GWh</w:t>
            </w:r>
            <w:proofErr w:type="spellEnd"/>
            <w:r w:rsidRPr="006E1330">
              <w:rPr>
                <w:lang w:eastAsia="el-GR"/>
              </w:rPr>
              <w:t xml:space="preserve">/2,01 </w:t>
            </w:r>
            <w:r w:rsidRPr="006E1330">
              <w:rPr>
                <w:lang w:val="en-US" w:eastAsia="el-GR"/>
              </w:rPr>
              <w:t>toe</w:t>
            </w:r>
            <w:r w:rsidRPr="006E1330">
              <w:rPr>
                <w:lang w:eastAsia="el-GR"/>
              </w:rPr>
              <w:t>/κατοικία</w:t>
            </w:r>
          </w:p>
        </w:tc>
        <w:tc>
          <w:tcPr>
            <w:tcW w:w="6662" w:type="dxa"/>
            <w:tcBorders>
              <w:top w:val="nil"/>
              <w:left w:val="nil"/>
              <w:bottom w:val="single" w:sz="8" w:space="0" w:color="auto"/>
              <w:right w:val="single" w:sz="8" w:space="0" w:color="auto"/>
            </w:tcBorders>
            <w:noWrap/>
            <w:tcMar>
              <w:top w:w="0" w:type="dxa"/>
              <w:left w:w="108" w:type="dxa"/>
              <w:bottom w:w="0" w:type="dxa"/>
              <w:right w:w="108" w:type="dxa"/>
            </w:tcMar>
            <w:hideMark/>
          </w:tcPr>
          <w:p w14:paraId="74796D2F" w14:textId="211B25E9" w:rsidR="002A282B" w:rsidRPr="006E1330" w:rsidRDefault="002A282B" w:rsidP="007D7ADE">
            <w:pPr>
              <w:spacing w:before="0" w:line="240" w:lineRule="auto"/>
              <w:jc w:val="left"/>
              <w:rPr>
                <w:lang w:eastAsia="el-GR"/>
              </w:rPr>
            </w:pPr>
            <w:r w:rsidRPr="006E1330">
              <w:rPr>
                <w:lang w:eastAsia="el-GR"/>
              </w:rPr>
              <w:t>εξοικονόμηση πρωτογενούς ενέργειας</w:t>
            </w:r>
            <w:r w:rsidR="007D7ADE" w:rsidRPr="006E1330">
              <w:rPr>
                <w:lang w:eastAsia="el-GR"/>
              </w:rPr>
              <w:t xml:space="preserve"> Συνολικά στις 31.960 κατοικίες </w:t>
            </w:r>
          </w:p>
          <w:p w14:paraId="367331BE" w14:textId="77777777" w:rsidR="007D7ADE" w:rsidRPr="006E1330" w:rsidRDefault="007D7ADE" w:rsidP="007D7ADE">
            <w:pPr>
              <w:spacing w:before="0" w:line="240" w:lineRule="auto"/>
              <w:jc w:val="left"/>
              <w:rPr>
                <w:lang w:eastAsia="el-GR"/>
              </w:rPr>
            </w:pPr>
          </w:p>
          <w:p w14:paraId="044C8998" w14:textId="77777777" w:rsidR="007D7ADE" w:rsidRPr="006E1330" w:rsidRDefault="007D7ADE" w:rsidP="007D7ADE">
            <w:pPr>
              <w:spacing w:before="0" w:line="240" w:lineRule="auto"/>
              <w:jc w:val="left"/>
              <w:rPr>
                <w:lang w:eastAsia="el-GR"/>
              </w:rPr>
            </w:pPr>
          </w:p>
          <w:p w14:paraId="5A17EF9F" w14:textId="08E7EB80" w:rsidR="007D7ADE" w:rsidRPr="006E1330" w:rsidRDefault="007D7ADE" w:rsidP="003F7662">
            <w:pPr>
              <w:spacing w:before="0" w:line="240" w:lineRule="auto"/>
              <w:jc w:val="left"/>
              <w:rPr>
                <w:lang w:eastAsia="el-GR"/>
              </w:rPr>
            </w:pPr>
            <w:r w:rsidRPr="006E1330">
              <w:rPr>
                <w:lang w:eastAsia="el-GR"/>
              </w:rPr>
              <w:t>σε 10.834 κατοικίες μέχρι κατηγορία Δ’</w:t>
            </w:r>
          </w:p>
        </w:tc>
      </w:tr>
      <w:tr w:rsidR="002A282B" w:rsidRPr="006E1330" w14:paraId="3E539B9F" w14:textId="77777777" w:rsidTr="003F7662">
        <w:trPr>
          <w:trHeight w:val="195"/>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E088E9" w14:textId="77777777" w:rsidR="002A282B" w:rsidRPr="006E1330" w:rsidRDefault="002A282B" w:rsidP="003F7662">
            <w:pPr>
              <w:jc w:val="left"/>
              <w:rPr>
                <w:lang w:eastAsia="el-GR"/>
              </w:rPr>
            </w:pPr>
            <w:r w:rsidRPr="006E1330">
              <w:rPr>
                <w:lang w:eastAsia="el-GR"/>
              </w:rPr>
              <w:t>64%</w:t>
            </w:r>
          </w:p>
        </w:tc>
        <w:tc>
          <w:tcPr>
            <w:tcW w:w="66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F10B84" w14:textId="77777777" w:rsidR="002A282B" w:rsidRPr="006E1330" w:rsidRDefault="002A282B" w:rsidP="00627544">
            <w:pPr>
              <w:rPr>
                <w:lang w:eastAsia="el-GR"/>
              </w:rPr>
            </w:pPr>
            <w:r w:rsidRPr="006E1330">
              <w:rPr>
                <w:lang w:eastAsia="el-GR"/>
              </w:rPr>
              <w:t>Μέση μείωση κατανάλωσης ενέργειας (Α'- Β' ΠΕΑ)</w:t>
            </w:r>
          </w:p>
        </w:tc>
      </w:tr>
      <w:tr w:rsidR="002A282B" w:rsidRPr="006E1330" w14:paraId="0B2D5994" w14:textId="77777777" w:rsidTr="003F7662">
        <w:trPr>
          <w:trHeight w:val="195"/>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860658" w14:textId="0FDAD760" w:rsidR="002A282B" w:rsidRPr="006E1330" w:rsidRDefault="002A282B" w:rsidP="003F7662">
            <w:pPr>
              <w:jc w:val="left"/>
              <w:rPr>
                <w:lang w:eastAsia="el-GR"/>
              </w:rPr>
            </w:pPr>
            <w:r w:rsidRPr="006E1330">
              <w:rPr>
                <w:lang w:eastAsia="el-GR"/>
              </w:rPr>
              <w:t>636,72 εκ. €  </w:t>
            </w:r>
          </w:p>
        </w:tc>
        <w:tc>
          <w:tcPr>
            <w:tcW w:w="66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AE20CE" w14:textId="77777777" w:rsidR="002A282B" w:rsidRPr="006E1330" w:rsidRDefault="002A282B" w:rsidP="00627544">
            <w:pPr>
              <w:rPr>
                <w:lang w:eastAsia="el-GR"/>
              </w:rPr>
            </w:pPr>
            <w:r w:rsidRPr="006E1330">
              <w:rPr>
                <w:lang w:eastAsia="el-GR"/>
              </w:rPr>
              <w:t>Επιλέξιμος Π/Υ Παρεμβάσεων</w:t>
            </w:r>
          </w:p>
        </w:tc>
      </w:tr>
      <w:tr w:rsidR="002A282B" w:rsidRPr="006E1330" w14:paraId="5581E169" w14:textId="77777777" w:rsidTr="003F7662">
        <w:trPr>
          <w:trHeight w:val="195"/>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D234F7" w14:textId="495F5D0B" w:rsidR="002A282B" w:rsidRPr="006E1330" w:rsidRDefault="002A282B" w:rsidP="003F7662">
            <w:pPr>
              <w:jc w:val="left"/>
              <w:rPr>
                <w:lang w:eastAsia="el-GR"/>
              </w:rPr>
            </w:pPr>
            <w:r w:rsidRPr="006E1330">
              <w:rPr>
                <w:lang w:eastAsia="el-GR"/>
              </w:rPr>
              <w:t>402,51 εκ. €  </w:t>
            </w:r>
          </w:p>
        </w:tc>
        <w:tc>
          <w:tcPr>
            <w:tcW w:w="66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46DC65" w14:textId="77777777" w:rsidR="002A282B" w:rsidRPr="006E1330" w:rsidRDefault="002A282B" w:rsidP="00627544">
            <w:pPr>
              <w:rPr>
                <w:lang w:eastAsia="el-GR"/>
              </w:rPr>
            </w:pPr>
            <w:r w:rsidRPr="006E1330">
              <w:rPr>
                <w:lang w:eastAsia="el-GR"/>
              </w:rPr>
              <w:t>Ανάλωση (</w:t>
            </w:r>
            <w:proofErr w:type="spellStart"/>
            <w:r w:rsidRPr="006E1330">
              <w:rPr>
                <w:lang w:eastAsia="el-GR"/>
              </w:rPr>
              <w:t>grants</w:t>
            </w:r>
            <w:proofErr w:type="spellEnd"/>
            <w:r w:rsidRPr="006E1330">
              <w:rPr>
                <w:lang w:eastAsia="el-GR"/>
              </w:rPr>
              <w:t xml:space="preserve">, ΕΕ, Μελ. </w:t>
            </w:r>
            <w:proofErr w:type="spellStart"/>
            <w:r w:rsidRPr="006E1330">
              <w:rPr>
                <w:lang w:eastAsia="el-GR"/>
              </w:rPr>
              <w:t>Συμβ</w:t>
            </w:r>
            <w:proofErr w:type="spellEnd"/>
            <w:r w:rsidRPr="006E1330">
              <w:rPr>
                <w:lang w:eastAsia="el-GR"/>
              </w:rPr>
              <w:t xml:space="preserve">) </w:t>
            </w:r>
          </w:p>
        </w:tc>
      </w:tr>
      <w:tr w:rsidR="002A282B" w:rsidRPr="006E1330" w14:paraId="4E274325" w14:textId="77777777" w:rsidTr="003F7662">
        <w:trPr>
          <w:trHeight w:val="195"/>
        </w:trPr>
        <w:tc>
          <w:tcPr>
            <w:tcW w:w="2132"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72B1675C" w14:textId="77777777" w:rsidR="002A282B" w:rsidRPr="006E1330" w:rsidRDefault="002A282B" w:rsidP="003F7662">
            <w:pPr>
              <w:jc w:val="left"/>
              <w:rPr>
                <w:lang w:eastAsia="el-GR"/>
              </w:rPr>
            </w:pPr>
            <w:r w:rsidRPr="006E1330">
              <w:rPr>
                <w:lang w:eastAsia="el-GR"/>
              </w:rPr>
              <w:t>0,84 €/</w:t>
            </w:r>
            <w:proofErr w:type="spellStart"/>
            <w:r w:rsidRPr="006E1330">
              <w:rPr>
                <w:lang w:eastAsia="el-GR"/>
              </w:rPr>
              <w:t>kwh</w:t>
            </w:r>
            <w:proofErr w:type="spellEnd"/>
          </w:p>
        </w:tc>
        <w:tc>
          <w:tcPr>
            <w:tcW w:w="6662"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1AD73C0B" w14:textId="77777777" w:rsidR="002A282B" w:rsidRPr="006E1330" w:rsidRDefault="002A282B" w:rsidP="00627544">
            <w:pPr>
              <w:rPr>
                <w:lang w:eastAsia="el-GR"/>
              </w:rPr>
            </w:pPr>
            <w:r w:rsidRPr="006E1330">
              <w:rPr>
                <w:lang w:eastAsia="el-GR"/>
              </w:rPr>
              <w:t xml:space="preserve">μέσο κόστος εξοικονόμησης ενέργειας </w:t>
            </w:r>
            <w:r w:rsidRPr="006E1330">
              <w:rPr>
                <w:b/>
                <w:bCs/>
                <w:lang w:eastAsia="el-GR"/>
              </w:rPr>
              <w:t>*</w:t>
            </w:r>
          </w:p>
        </w:tc>
      </w:tr>
    </w:tbl>
    <w:p w14:paraId="5347B16A" w14:textId="77777777" w:rsidR="008B287E" w:rsidRDefault="008B287E" w:rsidP="00C07DB8">
      <w:pPr>
        <w:pStyle w:val="Default"/>
        <w:spacing w:before="40" w:after="120" w:line="360" w:lineRule="auto"/>
        <w:jc w:val="both"/>
        <w:rPr>
          <w:rFonts w:asciiTheme="minorHAnsi" w:hAnsiTheme="minorHAnsi" w:cs="Arial"/>
          <w:sz w:val="22"/>
          <w:szCs w:val="22"/>
        </w:rPr>
      </w:pPr>
    </w:p>
    <w:p w14:paraId="006E1A96" w14:textId="77777777" w:rsidR="002A282B" w:rsidRDefault="002A282B" w:rsidP="00C07DB8">
      <w:pPr>
        <w:pStyle w:val="Default"/>
        <w:spacing w:before="40" w:after="120" w:line="360" w:lineRule="auto"/>
        <w:jc w:val="both"/>
        <w:rPr>
          <w:rFonts w:asciiTheme="minorHAnsi" w:hAnsiTheme="minorHAnsi" w:cs="Arial"/>
          <w:sz w:val="22"/>
          <w:szCs w:val="22"/>
        </w:rPr>
      </w:pPr>
    </w:p>
    <w:p w14:paraId="1AFE8F43" w14:textId="77777777" w:rsidR="002A282B" w:rsidRDefault="002A282B" w:rsidP="00C07DB8">
      <w:pPr>
        <w:pStyle w:val="Default"/>
        <w:spacing w:before="40" w:after="120" w:line="360" w:lineRule="auto"/>
        <w:jc w:val="both"/>
        <w:rPr>
          <w:rFonts w:asciiTheme="minorHAnsi" w:hAnsiTheme="minorHAnsi" w:cs="Arial"/>
          <w:sz w:val="22"/>
          <w:szCs w:val="22"/>
        </w:rPr>
      </w:pPr>
    </w:p>
    <w:p w14:paraId="32CABB9C" w14:textId="77777777" w:rsidR="002A282B" w:rsidRDefault="002A282B" w:rsidP="00C07DB8">
      <w:pPr>
        <w:pStyle w:val="Default"/>
        <w:spacing w:before="40" w:after="120" w:line="360" w:lineRule="auto"/>
        <w:jc w:val="both"/>
        <w:rPr>
          <w:rFonts w:asciiTheme="minorHAnsi" w:hAnsiTheme="minorHAnsi" w:cs="Arial"/>
          <w:sz w:val="22"/>
          <w:szCs w:val="22"/>
        </w:rPr>
      </w:pPr>
    </w:p>
    <w:p w14:paraId="268C0C7A" w14:textId="77777777" w:rsidR="002A282B" w:rsidRPr="00480379" w:rsidRDefault="002A282B" w:rsidP="00C07DB8">
      <w:pPr>
        <w:pStyle w:val="Default"/>
        <w:spacing w:before="40" w:after="120" w:line="360" w:lineRule="auto"/>
        <w:jc w:val="both"/>
        <w:rPr>
          <w:rFonts w:asciiTheme="minorHAnsi" w:hAnsiTheme="minorHAnsi" w:cs="Arial"/>
          <w:sz w:val="22"/>
          <w:szCs w:val="22"/>
        </w:rPr>
        <w:sectPr w:rsidR="002A282B" w:rsidRPr="00480379" w:rsidSect="000C719B">
          <w:pgSz w:w="11906" w:h="16838"/>
          <w:pgMar w:top="1558" w:right="1558" w:bottom="1560" w:left="1560" w:header="709" w:footer="709" w:gutter="0"/>
          <w:cols w:space="708"/>
          <w:docGrid w:linePitch="360"/>
        </w:sectPr>
      </w:pPr>
    </w:p>
    <w:p w14:paraId="65C77A60" w14:textId="77777777" w:rsidR="00C07DB8" w:rsidRPr="00480379" w:rsidRDefault="00C07DB8" w:rsidP="00FA5CD9">
      <w:pPr>
        <w:pStyle w:val="3"/>
      </w:pPr>
      <w:bookmarkStart w:id="84" w:name="_Toc464038708"/>
      <w:bookmarkStart w:id="85" w:name="_Toc36639240"/>
      <w:r w:rsidRPr="00480379">
        <w:lastRenderedPageBreak/>
        <w:t xml:space="preserve">Διαδικασία παρακολούθησης του </w:t>
      </w:r>
      <w:r w:rsidR="006766F3">
        <w:t>χρηματοοικονομικού</w:t>
      </w:r>
      <w:r w:rsidRPr="00480379">
        <w:t xml:space="preserve"> μέσου και έκδοση σχετικών αναφορών.</w:t>
      </w:r>
      <w:bookmarkEnd w:id="84"/>
      <w:bookmarkEnd w:id="85"/>
    </w:p>
    <w:p w14:paraId="30AE9319" w14:textId="77777777" w:rsidR="00C07DB8" w:rsidRPr="00480379" w:rsidRDefault="00C07DB8" w:rsidP="00C07DB8">
      <w:pPr>
        <w:spacing w:line="360" w:lineRule="auto"/>
      </w:pPr>
      <w:r w:rsidRPr="00480379">
        <w:t xml:space="preserve">Στην Ευρωπαϊκή Επιτροπή υπάρχουν αρκετές Διευθύνσεις που εμπλέκονται με το σχεδιασμό, παρακολούθηση και χρηματοδότηση μέσων χρηματοοικονομικής τεχνικής. </w:t>
      </w:r>
    </w:p>
    <w:p w14:paraId="344DFC8D" w14:textId="77777777" w:rsidR="00C07DB8" w:rsidRPr="00480379" w:rsidRDefault="00C07DB8" w:rsidP="00C07DB8">
      <w:pPr>
        <w:spacing w:line="360" w:lineRule="auto"/>
      </w:pPr>
      <w:r w:rsidRPr="00480379">
        <w:t>Αυτό είχε ως αποτέλεσμα στα μέσα της περιόδου 2007 – 2013 την τροποποίηση του κανονισμού 1083/2006 και την υποχρέωση όλων των κρατών μελών που υλοποιούν Χ</w:t>
      </w:r>
      <w:r w:rsidR="005E65CC">
        <w:t>ρηματοοικονομικά Εργαλεία</w:t>
      </w:r>
      <w:r w:rsidRPr="00480379">
        <w:t xml:space="preserve"> να αποστέλλουν κάθε χρόνο αναφορά για την πορεία τους συμπληρώνοντας στην </w:t>
      </w:r>
      <w:r w:rsidRPr="00480379">
        <w:rPr>
          <w:lang w:val="en-US"/>
        </w:rPr>
        <w:t>SFC</w:t>
      </w:r>
      <w:r w:rsidRPr="00480379">
        <w:rPr>
          <w:rStyle w:val="ac"/>
          <w:lang w:val="en-US"/>
        </w:rPr>
        <w:footnoteReference w:id="55"/>
      </w:r>
      <w:r w:rsidRPr="00480379">
        <w:t xml:space="preserve"> συγκεκριμένα πεδία.</w:t>
      </w:r>
    </w:p>
    <w:p w14:paraId="2EDE783A" w14:textId="77777777" w:rsidR="00C07DB8" w:rsidRPr="00480379" w:rsidRDefault="00C07DB8" w:rsidP="00C07DB8">
      <w:pPr>
        <w:spacing w:line="360" w:lineRule="auto"/>
        <w:rPr>
          <w:color w:val="19161A"/>
        </w:rPr>
      </w:pPr>
      <w:r w:rsidRPr="00480379">
        <w:t>Η πρακτική αυτή συνεχίζεται και την προγραμματική περίοδο 2014-2020 μέσα από το άρθρο 46 του κανονισμού 1303/2013 που υποχρεώνει τη διαχειριστική αρχή να υποβάλλει στην Ε.Ε. έκθεση για την πορεία υλοποίησης των χρηματοδοτικών μέσων δίνοντας συγκεκριμένες πληροφορίες. Υποχρεωτικά πεδία της έκθεσης είναι η πορεία των εξόδων διαχείρισης του μέσου όπως και η σ</w:t>
      </w:r>
      <w:r w:rsidRPr="00480379">
        <w:rPr>
          <w:color w:val="19161A"/>
        </w:rPr>
        <w:t>υμβολή του μέσου χρηματοοικονομικής τεχνικής στην επίτευξη των δεικτών της σχετικής προτεραιότητας.</w:t>
      </w:r>
    </w:p>
    <w:p w14:paraId="27B71C18" w14:textId="77777777" w:rsidR="00C07DB8" w:rsidRPr="00480379" w:rsidRDefault="00C07DB8" w:rsidP="00C07DB8">
      <w:pPr>
        <w:spacing w:line="360" w:lineRule="auto"/>
      </w:pPr>
      <w:r w:rsidRPr="00480379">
        <w:t xml:space="preserve">Η απαίτηση του άρθρου 46 θα πρέπει να καταγραφεί στην συμφωνία χρηματοδότησης (σχετικά αναφορά γίνεται στο παράρτημα </w:t>
      </w:r>
      <w:r w:rsidRPr="00480379">
        <w:rPr>
          <w:lang w:val="en-US"/>
        </w:rPr>
        <w:t>IV</w:t>
      </w:r>
      <w:r w:rsidRPr="00480379">
        <w:t xml:space="preserve"> του κανονισμού 1303/2013) έτσι ώστε ο διαχειριστής ταμείου να την μετακυλήσει στους φορείς υλοποίησης του μέσου.</w:t>
      </w:r>
    </w:p>
    <w:p w14:paraId="36BD8216" w14:textId="77777777" w:rsidR="00C07DB8" w:rsidRPr="00480379" w:rsidRDefault="00C07DB8" w:rsidP="00C07DB8">
      <w:pPr>
        <w:spacing w:line="360" w:lineRule="auto"/>
      </w:pPr>
      <w:r w:rsidRPr="00480379">
        <w:t>Το έντυπο της συμφωνίας χρηματοδότησης που επισυνάπτεται στο παράρτημα Ι</w:t>
      </w:r>
      <w:r w:rsidRPr="00480379">
        <w:rPr>
          <w:lang w:val="en-US"/>
        </w:rPr>
        <w:t>V</w:t>
      </w:r>
      <w:r w:rsidRPr="00480379">
        <w:t xml:space="preserve"> δεν περιορίζει την διαχειριστική αρχή στα στοιχεία παρακολούθησης του άρθρου 46, ούτε στην περιοδικότητα υποβολής αυτών των στοιχείων. </w:t>
      </w:r>
    </w:p>
    <w:p w14:paraId="1F3456C4" w14:textId="77777777" w:rsidR="00C07DB8" w:rsidRPr="00480379" w:rsidRDefault="00C07DB8" w:rsidP="00C07DB8">
      <w:pPr>
        <w:spacing w:line="360" w:lineRule="auto"/>
      </w:pPr>
      <w:r w:rsidRPr="00480379">
        <w:t>Τα πεδία παρακολούθησης του μέσου θα πρέπει σε κάθε περίπτωση να παρέχουν πληροφορίες και για τους δείκτες του προηγούμενου κεφαλαίου, και ειδικότερα για:</w:t>
      </w:r>
    </w:p>
    <w:p w14:paraId="35F16FB3" w14:textId="77777777" w:rsidR="00C07DB8" w:rsidRPr="00480379" w:rsidRDefault="00C07DB8" w:rsidP="00C07DB8">
      <w:pPr>
        <w:pStyle w:val="a3"/>
        <w:numPr>
          <w:ilvl w:val="0"/>
          <w:numId w:val="39"/>
        </w:numPr>
        <w:spacing w:line="360" w:lineRule="auto"/>
      </w:pPr>
      <w:r w:rsidRPr="00480379">
        <w:t>τον αριθμό νοικοκυριών που κατατάσσονται σε καλύτερη κατηγορία ενεργειακής κατανάλωσης, ανά κατηγορία περιφέρειας</w:t>
      </w:r>
    </w:p>
    <w:p w14:paraId="0A56FF58" w14:textId="77777777" w:rsidR="00C07DB8" w:rsidRPr="00480379" w:rsidRDefault="00C07DB8" w:rsidP="00C07DB8">
      <w:pPr>
        <w:pStyle w:val="a3"/>
        <w:numPr>
          <w:ilvl w:val="0"/>
          <w:numId w:val="39"/>
        </w:numPr>
        <w:spacing w:line="360" w:lineRule="auto"/>
      </w:pPr>
      <w:r w:rsidRPr="00480379">
        <w:rPr>
          <w:lang w:eastAsia="el-GR"/>
        </w:rPr>
        <w:t>το ποσοστό πιστωτικών αθετήσεων</w:t>
      </w:r>
    </w:p>
    <w:p w14:paraId="468E9A3A" w14:textId="77777777" w:rsidR="00C07DB8" w:rsidRPr="00480379" w:rsidRDefault="00C07DB8" w:rsidP="00C07DB8">
      <w:pPr>
        <w:pStyle w:val="a3"/>
        <w:numPr>
          <w:ilvl w:val="0"/>
          <w:numId w:val="39"/>
        </w:numPr>
        <w:spacing w:line="360" w:lineRule="auto"/>
      </w:pPr>
      <w:r w:rsidRPr="00480379">
        <w:t>την ετήσια μείωση των εκπομπών των αερίων θερμοκηπίου, ανά κατηγορία περιφέρειας</w:t>
      </w:r>
    </w:p>
    <w:p w14:paraId="67BF72F1" w14:textId="77777777" w:rsidR="00C07DB8" w:rsidRPr="00480379" w:rsidRDefault="00C07DB8" w:rsidP="00C07DB8">
      <w:pPr>
        <w:pStyle w:val="a3"/>
        <w:spacing w:line="360" w:lineRule="auto"/>
      </w:pPr>
      <w:r w:rsidRPr="00480379">
        <w:t xml:space="preserve">Λόγω του μηχανισμού υλοποίησης του προτεινόμενου μέσου, συστήνεται τα στοιχεία αυτά να αποστέλλονται κάθε έξι μήνες στη διαχειριστική αρχή από το διαχειριστή του ταμείου ως παράρτημα εξαμηνιαίας έκθεσης προόδου του μέσου. Βέβαια η έκθεση </w:t>
      </w:r>
      <w:r w:rsidRPr="00480379">
        <w:lastRenderedPageBreak/>
        <w:t xml:space="preserve">προόδου μπορεί να περιλαμβάνει και άλλες χρήσιμες πληροφορίες όπως συμβαίνει και στο υφιστάμενο ταμείο «εξοικονομώ </w:t>
      </w:r>
      <w:proofErr w:type="spellStart"/>
      <w:r w:rsidRPr="00480379">
        <w:t>κατ΄οίκον</w:t>
      </w:r>
      <w:proofErr w:type="spellEnd"/>
      <w:r w:rsidRPr="00480379">
        <w:t>», για παράδειγμα:</w:t>
      </w:r>
    </w:p>
    <w:p w14:paraId="36A97985" w14:textId="77777777" w:rsidR="00C07DB8" w:rsidRPr="00480379" w:rsidRDefault="00C07DB8" w:rsidP="00C07DB8">
      <w:pPr>
        <w:pStyle w:val="a3"/>
        <w:numPr>
          <w:ilvl w:val="0"/>
          <w:numId w:val="39"/>
        </w:numPr>
        <w:spacing w:line="360" w:lineRule="auto"/>
      </w:pPr>
      <w:r w:rsidRPr="00480379">
        <w:t>ποσοστό υπαγωγής ιδιοκτητών ακινήτων ανά κατηγορία εισοδήματος, ανά πιστωτικό ίδρυμα</w:t>
      </w:r>
    </w:p>
    <w:p w14:paraId="1EA7A15C" w14:textId="77777777" w:rsidR="00C07DB8" w:rsidRPr="00480379" w:rsidRDefault="00C07DB8" w:rsidP="00C07DB8">
      <w:pPr>
        <w:pStyle w:val="a3"/>
        <w:numPr>
          <w:ilvl w:val="0"/>
          <w:numId w:val="39"/>
        </w:numPr>
        <w:spacing w:line="360" w:lineRule="auto"/>
      </w:pPr>
      <w:r w:rsidRPr="00480379">
        <w:t xml:space="preserve">παρακολούθηση στοιχείων ενεργειακής αναβάθμισης κατοικιών </w:t>
      </w:r>
    </w:p>
    <w:p w14:paraId="1FE6092F" w14:textId="77777777" w:rsidR="00C07DB8" w:rsidRPr="00480379" w:rsidRDefault="00C07DB8" w:rsidP="00C07DB8">
      <w:pPr>
        <w:pStyle w:val="a3"/>
        <w:numPr>
          <w:ilvl w:val="0"/>
          <w:numId w:val="39"/>
        </w:numPr>
        <w:spacing w:line="360" w:lineRule="auto"/>
      </w:pPr>
      <w:r w:rsidRPr="00480379">
        <w:t>χρονική κατανομή υπαγωγών</w:t>
      </w:r>
    </w:p>
    <w:p w14:paraId="56FB23D8" w14:textId="77777777" w:rsidR="00C07DB8" w:rsidRPr="00480379" w:rsidRDefault="00C07DB8" w:rsidP="00C07DB8">
      <w:pPr>
        <w:pStyle w:val="a3"/>
        <w:numPr>
          <w:ilvl w:val="0"/>
          <w:numId w:val="39"/>
        </w:numPr>
        <w:spacing w:line="360" w:lineRule="auto"/>
      </w:pPr>
      <w:r w:rsidRPr="00480379">
        <w:t>στοιχεία για τον τύπο του κτίσματος που αναβαθμίζεται (μονοκατοικία, πολυκατοικία, διαμέρισμα)</w:t>
      </w:r>
    </w:p>
    <w:p w14:paraId="7B9AF227" w14:textId="77777777" w:rsidR="00C07DB8" w:rsidRPr="00480379" w:rsidRDefault="00C07DB8" w:rsidP="00C07DB8">
      <w:pPr>
        <w:pStyle w:val="a3"/>
        <w:numPr>
          <w:ilvl w:val="0"/>
          <w:numId w:val="39"/>
        </w:numPr>
        <w:spacing w:line="360" w:lineRule="auto"/>
      </w:pPr>
      <w:r w:rsidRPr="00480379">
        <w:t>γεωγραφική κατανομή υπαγωγών</w:t>
      </w:r>
    </w:p>
    <w:p w14:paraId="0248B676" w14:textId="77777777" w:rsidR="00F36035" w:rsidRDefault="00C07DB8" w:rsidP="00627544">
      <w:pPr>
        <w:pStyle w:val="a3"/>
        <w:numPr>
          <w:ilvl w:val="0"/>
          <w:numId w:val="39"/>
        </w:numPr>
        <w:spacing w:line="360" w:lineRule="auto"/>
      </w:pPr>
      <w:r w:rsidRPr="00480379">
        <w:t>επιδοτούμενοι τόκοι, επιστρεπτέες ενισχύσεις ανά πιστωτικό ίδρυμα</w:t>
      </w:r>
      <w:bookmarkStart w:id="86" w:name="_Toc454363959"/>
      <w:bookmarkStart w:id="87" w:name="_Toc464038709"/>
    </w:p>
    <w:p w14:paraId="3A8C7CBF" w14:textId="77777777" w:rsidR="00F36035" w:rsidRDefault="00F36035" w:rsidP="00F36035">
      <w:pPr>
        <w:spacing w:line="360" w:lineRule="auto"/>
      </w:pPr>
    </w:p>
    <w:p w14:paraId="3A9A87DA" w14:textId="77777777" w:rsidR="00C07DB8" w:rsidRPr="00480379" w:rsidRDefault="00C07DB8" w:rsidP="00F36035">
      <w:pPr>
        <w:pStyle w:val="3"/>
      </w:pPr>
      <w:bookmarkStart w:id="88" w:name="_Toc36639241"/>
      <w:r w:rsidRPr="00480379">
        <w:t xml:space="preserve">Διαδικασία αναθεώρησης και </w:t>
      </w:r>
      <w:proofErr w:type="spellStart"/>
      <w:r w:rsidRPr="00480379">
        <w:t>επικαιροποίησης</w:t>
      </w:r>
      <w:proofErr w:type="spellEnd"/>
      <w:r w:rsidRPr="00480379">
        <w:t xml:space="preserve"> της εκ των προτέρων αξιολόγησης του  Χ</w:t>
      </w:r>
      <w:r w:rsidR="005E65CC">
        <w:t>ρηματοοικονομικού Εργαλείου</w:t>
      </w:r>
      <w:r w:rsidRPr="00480379">
        <w:t>.</w:t>
      </w:r>
      <w:bookmarkEnd w:id="86"/>
      <w:bookmarkEnd w:id="87"/>
      <w:bookmarkEnd w:id="88"/>
    </w:p>
    <w:p w14:paraId="555A8638" w14:textId="77777777" w:rsidR="00C07DB8" w:rsidRPr="00480379" w:rsidRDefault="00C07DB8" w:rsidP="00C07DB8">
      <w:pPr>
        <w:spacing w:line="360" w:lineRule="auto"/>
      </w:pPr>
      <w:r w:rsidRPr="00480379">
        <w:t>Σύμφωνα με την παράγραφο 2ζ του άρθρου 37 του κανονισμού 1303/2013, η εκ των προτέρων αξιολόγηση περιλαμβάνει:</w:t>
      </w:r>
    </w:p>
    <w:p w14:paraId="0CDBEBE3" w14:textId="77777777" w:rsidR="00C07DB8" w:rsidRPr="00480379" w:rsidRDefault="00C07DB8" w:rsidP="00C07DB8">
      <w:pPr>
        <w:spacing w:line="360" w:lineRule="auto"/>
      </w:pPr>
      <w:r w:rsidRPr="00480379">
        <w:t xml:space="preserve">«ζ) διατάξεις για την αναθεώρηση και </w:t>
      </w:r>
      <w:proofErr w:type="spellStart"/>
      <w:r w:rsidRPr="00480379">
        <w:t>επικαιροποίηση</w:t>
      </w:r>
      <w:proofErr w:type="spellEnd"/>
      <w:r w:rsidRPr="00480379">
        <w:t xml:space="preserve"> της εκ των προτέρων αξιολόγησης όπως απαιτείται κατά τη διάρκεια εφαρμογής οποιουδήποτε μέσου χρηματοοικονομικής τεχνικής που έχει υλοποιηθεί βάσει της εν λόγω αξιολόγησης, εφόσον κατά την εφαρμογή του, η διαχειριστική αρχή κρίνει ότι η εκ των προτέρων αξιολόγηση δεν μπορεί πλέον να αποτυπώσει με ακρίβεια τις συνθήκες της αγοράς που επικρατούν κατά το χρόνο της εφαρμογής.»</w:t>
      </w:r>
    </w:p>
    <w:p w14:paraId="6BF51943" w14:textId="77777777" w:rsidR="00F36035" w:rsidRDefault="00C07DB8" w:rsidP="00F36035">
      <w:pPr>
        <w:spacing w:line="360" w:lineRule="auto"/>
      </w:pPr>
      <w:r w:rsidRPr="00480379">
        <w:t xml:space="preserve">Η παρακολούθηση της πορείας υλοποίησης του </w:t>
      </w:r>
      <w:r w:rsidR="001E5965" w:rsidRPr="004C42EA">
        <w:t>Χρηματοοικονομικ</w:t>
      </w:r>
      <w:r w:rsidR="001E5965">
        <w:t>ού</w:t>
      </w:r>
      <w:r w:rsidR="001E5965" w:rsidRPr="004C42EA">
        <w:t xml:space="preserve"> Εργαλεί</w:t>
      </w:r>
      <w:r w:rsidR="001E5965">
        <w:t>ου</w:t>
      </w:r>
      <w:r w:rsidR="001E5965" w:rsidRPr="004C42EA">
        <w:t xml:space="preserve"> (FI)</w:t>
      </w:r>
      <w:r w:rsidRPr="00480379">
        <w:t xml:space="preserve"> θα διασφαλίζεται από τις τακτικές εκθέσεις που θα υποβάλλει ο διαχειριστής του ταμείο, ανά εξάμηνο.</w:t>
      </w:r>
      <w:r w:rsidR="00F36035" w:rsidRPr="00F36035">
        <w:t xml:space="preserve"> </w:t>
      </w:r>
    </w:p>
    <w:p w14:paraId="34D70937" w14:textId="77777777" w:rsidR="00F36035" w:rsidRDefault="00F36035" w:rsidP="00F36035">
      <w:pPr>
        <w:pStyle w:val="4"/>
      </w:pPr>
      <w:r>
        <w:t>Παράγοντες που πρέπει να εξετάζονται</w:t>
      </w:r>
    </w:p>
    <w:p w14:paraId="38894FC8" w14:textId="77777777" w:rsidR="00F36035" w:rsidRPr="00480379" w:rsidRDefault="00F36035" w:rsidP="00F36035">
      <w:pPr>
        <w:spacing w:line="360" w:lineRule="auto"/>
      </w:pPr>
      <w:r w:rsidRPr="00480379">
        <w:t xml:space="preserve">Καθώς το </w:t>
      </w:r>
      <w:r>
        <w:t>Χρηματοοικονομικό Εργαλείο (</w:t>
      </w:r>
      <w:r>
        <w:rPr>
          <w:lang w:val="en-US"/>
        </w:rPr>
        <w:t>FI</w:t>
      </w:r>
      <w:r w:rsidRPr="006766F3">
        <w:t>)</w:t>
      </w:r>
      <w:r w:rsidRPr="00480379">
        <w:t xml:space="preserve"> μέσο υποστηρίζεται από τα ΕΔΕΤ θα πρέπει τα αποτελέσματά του να καλύπτουν τους δείκτες εκροών του επιχειρησιακού προγράμματος. </w:t>
      </w:r>
    </w:p>
    <w:p w14:paraId="06C68C78" w14:textId="77777777" w:rsidR="00F36035" w:rsidRPr="00480379" w:rsidRDefault="00F36035" w:rsidP="00F36035">
      <w:pPr>
        <w:spacing w:line="360" w:lineRule="auto"/>
      </w:pPr>
      <w:r w:rsidRPr="00480379">
        <w:t>Απόκλιση του ρυθμού υποβολής αιτήσεων</w:t>
      </w:r>
      <w:r>
        <w:t xml:space="preserve"> ή ολοκλήρωσης των υπαχθέντων σχεδίων</w:t>
      </w:r>
      <w:r w:rsidRPr="00480379">
        <w:t xml:space="preserve"> της τάξεως μεγαλύτερη του 40%, ενδέχεται να δημιουργήσει προβλήματα στην επίτευξη του στόχου των δεικτών εκροής του επιχειρησιακού προγράμματος καθώς επιμηκύνεται ο χρόνος εντός του οποίου αυτός επιτυγχάνεται.</w:t>
      </w:r>
    </w:p>
    <w:p w14:paraId="0A077EC9" w14:textId="77777777" w:rsidR="00C07DB8" w:rsidRPr="00480379" w:rsidRDefault="00C07DB8" w:rsidP="00C07DB8">
      <w:pPr>
        <w:spacing w:line="360" w:lineRule="auto"/>
      </w:pPr>
      <w:r w:rsidRPr="00480379">
        <w:t xml:space="preserve">Βέβαια υπάρχουν και πολλοί άλλοι παράγοντες που δεν εξαρτώνται από την διαχειριστική αρχή και μπορούν να παρέμβουν καθοριστικά στην πορεία υλοποίησης του </w:t>
      </w:r>
      <w:r w:rsidR="006766F3">
        <w:rPr>
          <w:lang w:val="en-US"/>
        </w:rPr>
        <w:t>FI</w:t>
      </w:r>
      <w:r w:rsidRPr="00480379">
        <w:t xml:space="preserve"> , όπως:</w:t>
      </w:r>
    </w:p>
    <w:p w14:paraId="5C97986B" w14:textId="77777777" w:rsidR="00C07DB8" w:rsidRPr="00480379" w:rsidRDefault="00F36035" w:rsidP="00C07DB8">
      <w:pPr>
        <w:pStyle w:val="a3"/>
        <w:numPr>
          <w:ilvl w:val="0"/>
          <w:numId w:val="39"/>
        </w:numPr>
        <w:spacing w:line="360" w:lineRule="auto"/>
      </w:pPr>
      <w:r>
        <w:lastRenderedPageBreak/>
        <w:t xml:space="preserve">ουσιαστικές </w:t>
      </w:r>
      <w:r w:rsidR="00C07DB8" w:rsidRPr="00480379">
        <w:t>μεταβολές στ</w:t>
      </w:r>
      <w:r>
        <w:t>α</w:t>
      </w:r>
      <w:r w:rsidR="00C07DB8" w:rsidRPr="00480379">
        <w:t xml:space="preserve"> ποσοστ</w:t>
      </w:r>
      <w:r>
        <w:t>ά</w:t>
      </w:r>
      <w:r w:rsidR="00C07DB8" w:rsidRPr="00480379">
        <w:t xml:space="preserve"> επιχορήγησης που δεν εξετάζονται </w:t>
      </w:r>
      <w:r>
        <w:t xml:space="preserve">ως ενδεχόμενο </w:t>
      </w:r>
      <w:r w:rsidR="00C07DB8" w:rsidRPr="00480379">
        <w:t>στην παρούσα εργασία</w:t>
      </w:r>
      <w:r>
        <w:t>, ενώ αποτέλεσαν αφορμή για την σύνταξή της</w:t>
      </w:r>
      <w:r w:rsidR="00C07DB8" w:rsidRPr="00480379">
        <w:t>.</w:t>
      </w:r>
    </w:p>
    <w:p w14:paraId="3EBF31F0" w14:textId="77777777" w:rsidR="00C07DB8" w:rsidRPr="00480379" w:rsidRDefault="00C07DB8" w:rsidP="00C07DB8">
      <w:pPr>
        <w:pStyle w:val="a3"/>
        <w:numPr>
          <w:ilvl w:val="0"/>
          <w:numId w:val="39"/>
        </w:numPr>
        <w:spacing w:line="360" w:lineRule="auto"/>
      </w:pPr>
      <w:r w:rsidRPr="00480379">
        <w:t>αλλαγές στο μακροοικονομικό περιβάλλον.</w:t>
      </w:r>
    </w:p>
    <w:p w14:paraId="47EBA1B3" w14:textId="77777777" w:rsidR="00C07DB8" w:rsidRPr="00480379" w:rsidRDefault="00C07DB8" w:rsidP="00C07DB8">
      <w:pPr>
        <w:pStyle w:val="a3"/>
        <w:numPr>
          <w:ilvl w:val="0"/>
          <w:numId w:val="39"/>
        </w:numPr>
        <w:spacing w:line="360" w:lineRule="auto"/>
      </w:pPr>
      <w:r w:rsidRPr="00480379">
        <w:t xml:space="preserve">τυχόν σημαντικές αλλαγές στο περιβάλλον σχεδιασμού. </w:t>
      </w:r>
    </w:p>
    <w:p w14:paraId="35A71DE1" w14:textId="77777777" w:rsidR="00C07DB8" w:rsidRPr="001A5251" w:rsidRDefault="00C07DB8" w:rsidP="00C07DB8">
      <w:pPr>
        <w:spacing w:line="360" w:lineRule="auto"/>
      </w:pPr>
      <w:r w:rsidRPr="00480379">
        <w:t>Η διαχειριστική αρχή και σε αυτές τις περιπτώσεις θα εξετάζει εάν απαιτείται αναθεώρηση ή</w:t>
      </w:r>
      <w:r w:rsidRPr="001A5251">
        <w:t xml:space="preserve"> </w:t>
      </w:r>
      <w:proofErr w:type="spellStart"/>
      <w:r w:rsidRPr="001A5251">
        <w:t>επικαιροποίηση</w:t>
      </w:r>
      <w:proofErr w:type="spellEnd"/>
      <w:r>
        <w:t xml:space="preserve"> </w:t>
      </w:r>
      <w:r w:rsidRPr="001A5251">
        <w:t>της εκ των προτέρων αξιολόγησης.</w:t>
      </w:r>
    </w:p>
    <w:p w14:paraId="67321003" w14:textId="77777777" w:rsidR="00B268C9" w:rsidRDefault="00B268C9" w:rsidP="00DE055B">
      <w:pPr>
        <w:spacing w:line="360" w:lineRule="auto"/>
      </w:pPr>
    </w:p>
    <w:sectPr w:rsidR="00B268C9" w:rsidSect="00166350">
      <w:footerReference w:type="default" r:id="rId46"/>
      <w:pgSz w:w="11906" w:h="16838"/>
      <w:pgMar w:top="1440" w:right="1558"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151D6" w14:textId="77777777" w:rsidR="00F267EF" w:rsidRDefault="00F267EF" w:rsidP="00713538">
      <w:r>
        <w:separator/>
      </w:r>
    </w:p>
  </w:endnote>
  <w:endnote w:type="continuationSeparator" w:id="0">
    <w:p w14:paraId="437855BA" w14:textId="77777777" w:rsidR="00F267EF" w:rsidRDefault="00F267EF" w:rsidP="00713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Segoe UI">
    <w:panose1 w:val="020B0502040204020203"/>
    <w:charset w:val="A1"/>
    <w:family w:val="swiss"/>
    <w:pitch w:val="variable"/>
    <w:sig w:usb0="E10022FF" w:usb1="C000E47F" w:usb2="00000029" w:usb3="00000000" w:csb0="000001DF" w:csb1="00000000"/>
  </w:font>
  <w:font w:name="Cambria">
    <w:altName w:val="Cambria"/>
    <w:panose1 w:val="02040503050406030204"/>
    <w:charset w:val="A1"/>
    <w:family w:val="roman"/>
    <w:pitch w:val="variable"/>
    <w:sig w:usb0="E00002FF" w:usb1="400004FF" w:usb2="00000000" w:usb3="00000000" w:csb0="0000019F" w:csb1="00000000"/>
  </w:font>
  <w:font w:name="MyriadPro-Regular">
    <w:panose1 w:val="00000000000000000000"/>
    <w:charset w:val="A1"/>
    <w:family w:val="auto"/>
    <w:notTrueType/>
    <w:pitch w:val="default"/>
    <w:sig w:usb0="00000081" w:usb1="00000000" w:usb2="00000000" w:usb3="00000000" w:csb0="00000008" w:csb1="00000000"/>
  </w:font>
  <w:font w:name="MgHelveticaUCPol">
    <w:panose1 w:val="00000000000000000000"/>
    <w:charset w:val="A1"/>
    <w:family w:val="auto"/>
    <w:notTrueType/>
    <w:pitch w:val="default"/>
    <w:sig w:usb0="00000081" w:usb1="00000000" w:usb2="00000000" w:usb3="00000000" w:csb0="00000008"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499031"/>
      <w:docPartObj>
        <w:docPartGallery w:val="Page Numbers (Bottom of Page)"/>
        <w:docPartUnique/>
      </w:docPartObj>
    </w:sdtPr>
    <w:sdtEndPr>
      <w:rPr>
        <w:noProof/>
      </w:rPr>
    </w:sdtEndPr>
    <w:sdtContent>
      <w:p w14:paraId="6887FEDD" w14:textId="23DA6539" w:rsidR="00A34E5B" w:rsidRDefault="00A34E5B">
        <w:pPr>
          <w:pStyle w:val="a5"/>
          <w:jc w:val="right"/>
        </w:pPr>
        <w:r>
          <w:fldChar w:fldCharType="begin"/>
        </w:r>
        <w:r>
          <w:instrText xml:space="preserve"> PAGE   \* MERGEFORMAT </w:instrText>
        </w:r>
        <w:r>
          <w:fldChar w:fldCharType="separate"/>
        </w:r>
        <w:r w:rsidR="00FE2CBA">
          <w:rPr>
            <w:noProof/>
          </w:rPr>
          <w:t>127</w:t>
        </w:r>
        <w:r>
          <w:rPr>
            <w:noProof/>
          </w:rPr>
          <w:fldChar w:fldCharType="end"/>
        </w:r>
      </w:p>
    </w:sdtContent>
  </w:sdt>
  <w:p w14:paraId="44496370" w14:textId="77777777" w:rsidR="00A34E5B" w:rsidRDefault="00A34E5B" w:rsidP="0071353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754466"/>
      <w:docPartObj>
        <w:docPartGallery w:val="Page Numbers (Bottom of Page)"/>
        <w:docPartUnique/>
      </w:docPartObj>
    </w:sdtPr>
    <w:sdtEndPr>
      <w:rPr>
        <w:noProof/>
      </w:rPr>
    </w:sdtEndPr>
    <w:sdtContent>
      <w:p w14:paraId="050DF18E" w14:textId="159E4AF3" w:rsidR="00A34E5B" w:rsidRDefault="00A34E5B">
        <w:pPr>
          <w:pStyle w:val="a5"/>
          <w:jc w:val="right"/>
        </w:pPr>
        <w:r>
          <w:fldChar w:fldCharType="begin"/>
        </w:r>
        <w:r>
          <w:instrText xml:space="preserve"> PAGE   \* MERGEFORMAT </w:instrText>
        </w:r>
        <w:r>
          <w:fldChar w:fldCharType="separate"/>
        </w:r>
        <w:r w:rsidR="00F505C4">
          <w:rPr>
            <w:noProof/>
          </w:rPr>
          <w:t>140</w:t>
        </w:r>
        <w:r>
          <w:rPr>
            <w:noProof/>
          </w:rPr>
          <w:fldChar w:fldCharType="end"/>
        </w:r>
      </w:p>
    </w:sdtContent>
  </w:sdt>
  <w:p w14:paraId="02F87735" w14:textId="77777777" w:rsidR="00A34E5B" w:rsidRDefault="00A34E5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4ACB3" w14:textId="77777777" w:rsidR="00F267EF" w:rsidRDefault="00F267EF" w:rsidP="00713538">
      <w:r>
        <w:separator/>
      </w:r>
    </w:p>
  </w:footnote>
  <w:footnote w:type="continuationSeparator" w:id="0">
    <w:p w14:paraId="0D6D4C6C" w14:textId="77777777" w:rsidR="00F267EF" w:rsidRDefault="00F267EF" w:rsidP="00713538">
      <w:r>
        <w:continuationSeparator/>
      </w:r>
    </w:p>
  </w:footnote>
  <w:footnote w:id="1">
    <w:p w14:paraId="0E71FD4C" w14:textId="77777777" w:rsidR="00A34E5B" w:rsidRPr="001A6889" w:rsidRDefault="00A34E5B" w:rsidP="000553C4">
      <w:pPr>
        <w:pStyle w:val="ab"/>
        <w:rPr>
          <w:sz w:val="18"/>
          <w:szCs w:val="18"/>
        </w:rPr>
      </w:pPr>
      <w:r w:rsidRPr="001D4857">
        <w:rPr>
          <w:rStyle w:val="ac"/>
        </w:rPr>
        <w:footnoteRef/>
      </w:r>
      <w:r w:rsidRPr="001D4857">
        <w:t xml:space="preserve"> </w:t>
      </w:r>
      <w:r w:rsidRPr="001A6889">
        <w:rPr>
          <w:sz w:val="18"/>
          <w:szCs w:val="18"/>
          <w:lang w:val="en-US"/>
        </w:rPr>
        <w:t xml:space="preserve">H E.E. </w:t>
      </w:r>
      <w:r w:rsidRPr="001A6889">
        <w:rPr>
          <w:sz w:val="18"/>
          <w:szCs w:val="18"/>
        </w:rPr>
        <w:t>έχει</w:t>
      </w:r>
      <w:r w:rsidRPr="001A6889">
        <w:rPr>
          <w:sz w:val="18"/>
          <w:szCs w:val="18"/>
          <w:lang w:val="en-US"/>
        </w:rPr>
        <w:t xml:space="preserve"> </w:t>
      </w:r>
      <w:r w:rsidRPr="001A6889">
        <w:rPr>
          <w:sz w:val="18"/>
          <w:szCs w:val="18"/>
        </w:rPr>
        <w:t>αναρτήσει</w:t>
      </w:r>
      <w:r w:rsidRPr="001A6889">
        <w:rPr>
          <w:sz w:val="18"/>
          <w:szCs w:val="18"/>
          <w:lang w:val="en-US"/>
        </w:rPr>
        <w:t xml:space="preserve"> </w:t>
      </w:r>
      <w:r w:rsidRPr="001A6889">
        <w:rPr>
          <w:sz w:val="18"/>
          <w:szCs w:val="18"/>
        </w:rPr>
        <w:t>στην</w:t>
      </w:r>
      <w:r w:rsidRPr="001A6889">
        <w:rPr>
          <w:sz w:val="18"/>
          <w:szCs w:val="18"/>
          <w:lang w:val="en-US"/>
        </w:rPr>
        <w:t xml:space="preserve"> </w:t>
      </w:r>
      <w:proofErr w:type="spellStart"/>
      <w:r w:rsidRPr="001A6889">
        <w:rPr>
          <w:sz w:val="18"/>
          <w:szCs w:val="18"/>
        </w:rPr>
        <w:t>ιστοθέση</w:t>
      </w:r>
      <w:proofErr w:type="spellEnd"/>
      <w:r w:rsidRPr="001A6889">
        <w:rPr>
          <w:sz w:val="18"/>
          <w:szCs w:val="18"/>
          <w:lang w:val="en-US"/>
        </w:rPr>
        <w:t xml:space="preserve"> : </w:t>
      </w:r>
      <w:hyperlink r:id="rId1" w:history="1">
        <w:r w:rsidRPr="001A6889">
          <w:rPr>
            <w:rStyle w:val="-"/>
            <w:sz w:val="18"/>
            <w:szCs w:val="18"/>
            <w:lang w:val="en-US"/>
          </w:rPr>
          <w:t>http://ec.europa.eu/regional_policy/el/information/legislation/guidance</w:t>
        </w:r>
      </w:hyperlink>
      <w:r w:rsidRPr="001A6889">
        <w:rPr>
          <w:sz w:val="18"/>
          <w:szCs w:val="18"/>
          <w:lang w:val="en-US"/>
        </w:rPr>
        <w:t xml:space="preserve"> </w:t>
      </w:r>
      <w:r w:rsidRPr="001A6889">
        <w:rPr>
          <w:sz w:val="18"/>
          <w:szCs w:val="18"/>
        </w:rPr>
        <w:t>όλα</w:t>
      </w:r>
      <w:r w:rsidRPr="001A6889">
        <w:rPr>
          <w:sz w:val="18"/>
          <w:szCs w:val="18"/>
          <w:lang w:val="en-US"/>
        </w:rPr>
        <w:t xml:space="preserve"> </w:t>
      </w:r>
      <w:r w:rsidRPr="001A6889">
        <w:rPr>
          <w:sz w:val="18"/>
          <w:szCs w:val="18"/>
        </w:rPr>
        <w:t>τα</w:t>
      </w:r>
      <w:r w:rsidRPr="001A6889">
        <w:rPr>
          <w:sz w:val="18"/>
          <w:szCs w:val="18"/>
          <w:lang w:val="en-US"/>
        </w:rPr>
        <w:t xml:space="preserve"> </w:t>
      </w:r>
      <w:r w:rsidRPr="001A6889">
        <w:rPr>
          <w:sz w:val="18"/>
          <w:szCs w:val="18"/>
        </w:rPr>
        <w:t>κείμενα</w:t>
      </w:r>
      <w:r w:rsidRPr="001A6889">
        <w:rPr>
          <w:sz w:val="18"/>
          <w:szCs w:val="18"/>
          <w:lang w:val="en-US"/>
        </w:rPr>
        <w:t xml:space="preserve"> </w:t>
      </w:r>
      <w:r w:rsidRPr="001A6889">
        <w:rPr>
          <w:sz w:val="18"/>
          <w:szCs w:val="18"/>
        </w:rPr>
        <w:t>της</w:t>
      </w:r>
      <w:r w:rsidRPr="001A6889">
        <w:rPr>
          <w:sz w:val="18"/>
          <w:szCs w:val="18"/>
          <w:lang w:val="en-US"/>
        </w:rPr>
        <w:t xml:space="preserve"> Committee Coordination of European Structural and Investment Funds (COESIF) </w:t>
      </w:r>
      <w:r w:rsidRPr="001A6889">
        <w:rPr>
          <w:sz w:val="18"/>
          <w:szCs w:val="18"/>
        </w:rPr>
        <w:t>που</w:t>
      </w:r>
      <w:r w:rsidRPr="001A6889">
        <w:rPr>
          <w:sz w:val="18"/>
          <w:szCs w:val="18"/>
          <w:lang w:val="en-US"/>
        </w:rPr>
        <w:t xml:space="preserve"> </w:t>
      </w:r>
      <w:r w:rsidRPr="001A6889">
        <w:rPr>
          <w:sz w:val="18"/>
          <w:szCs w:val="18"/>
        </w:rPr>
        <w:t>αφορούν</w:t>
      </w:r>
      <w:r w:rsidRPr="001A6889">
        <w:rPr>
          <w:sz w:val="18"/>
          <w:szCs w:val="18"/>
          <w:lang w:val="en-US"/>
        </w:rPr>
        <w:t xml:space="preserve"> </w:t>
      </w:r>
      <w:r w:rsidRPr="001A6889">
        <w:rPr>
          <w:sz w:val="18"/>
          <w:szCs w:val="18"/>
        </w:rPr>
        <w:t>τα</w:t>
      </w:r>
      <w:r w:rsidRPr="001A6889">
        <w:rPr>
          <w:sz w:val="18"/>
          <w:szCs w:val="18"/>
          <w:lang w:val="en-US"/>
        </w:rPr>
        <w:t xml:space="preserve"> </w:t>
      </w:r>
      <w:r w:rsidRPr="001A6889">
        <w:rPr>
          <w:sz w:val="18"/>
          <w:szCs w:val="18"/>
        </w:rPr>
        <w:t>μέσα χρηματοοικονομικής τεχνικής</w:t>
      </w:r>
    </w:p>
  </w:footnote>
  <w:footnote w:id="2">
    <w:p w14:paraId="460F0209" w14:textId="77777777" w:rsidR="00A34E5B" w:rsidRPr="00F956FA" w:rsidRDefault="00A34E5B" w:rsidP="00713538">
      <w:pPr>
        <w:pStyle w:val="ab"/>
      </w:pPr>
      <w:r w:rsidRPr="00F956FA">
        <w:rPr>
          <w:rStyle w:val="ac"/>
          <w:sz w:val="16"/>
          <w:szCs w:val="16"/>
        </w:rPr>
        <w:footnoteRef/>
      </w:r>
      <w:r w:rsidRPr="00F956FA">
        <w:t xml:space="preserve"> </w:t>
      </w:r>
      <w:r w:rsidRPr="001A6889">
        <w:rPr>
          <w:sz w:val="18"/>
          <w:szCs w:val="18"/>
        </w:rPr>
        <w:t>Ευρωπαϊκά Διαρθρωτικά Επενδυτικά Ταμεία</w:t>
      </w:r>
    </w:p>
  </w:footnote>
  <w:footnote w:id="3">
    <w:p w14:paraId="48CDDA4D" w14:textId="77777777" w:rsidR="00A34E5B" w:rsidRDefault="00A34E5B" w:rsidP="00181957">
      <w:pPr>
        <w:pStyle w:val="ab"/>
      </w:pPr>
      <w:r>
        <w:rPr>
          <w:rStyle w:val="ac"/>
        </w:rPr>
        <w:footnoteRef/>
      </w:r>
      <w:r>
        <w:t xml:space="preserve"> Τα έγγραφα καθοδήγησης βρίσκονται αναρτημένα στην ιστοσελίδα:</w:t>
      </w:r>
    </w:p>
    <w:p w14:paraId="1C3C9D4F" w14:textId="77777777" w:rsidR="00A34E5B" w:rsidRPr="00181957" w:rsidRDefault="00F267EF" w:rsidP="00181957">
      <w:pPr>
        <w:pStyle w:val="ab"/>
      </w:pPr>
      <w:hyperlink r:id="rId2" w:history="1">
        <w:r w:rsidR="00A34E5B" w:rsidRPr="00F115D8">
          <w:rPr>
            <w:rStyle w:val="-"/>
          </w:rPr>
          <w:t>http://ec.europa.eu/regional_policy/en/information/legislation/guidance/</w:t>
        </w:r>
      </w:hyperlink>
      <w:r w:rsidR="00A34E5B" w:rsidRPr="00181957">
        <w:t xml:space="preserve"> </w:t>
      </w:r>
    </w:p>
  </w:footnote>
  <w:footnote w:id="4">
    <w:p w14:paraId="5C6B914D" w14:textId="77777777" w:rsidR="00A34E5B" w:rsidRDefault="00A34E5B">
      <w:pPr>
        <w:pStyle w:val="ab"/>
      </w:pPr>
      <w:r>
        <w:rPr>
          <w:rStyle w:val="ac"/>
        </w:rPr>
        <w:footnoteRef/>
      </w:r>
      <w:r>
        <w:t xml:space="preserve"> </w:t>
      </w:r>
      <w:r>
        <w:rPr>
          <w:rFonts w:ascii="Tahoma" w:hAnsi="Tahoma" w:cs="Tahoma"/>
          <w:sz w:val="16"/>
          <w:szCs w:val="16"/>
        </w:rPr>
        <w:t xml:space="preserve">Εγχειρίδιο διαδικασιών διαχείρισης &amp; ελέγχου για </w:t>
      </w:r>
      <w:r w:rsidRPr="004C42EA">
        <w:t>Χρηματοοικονομικ</w:t>
      </w:r>
      <w:r>
        <w:t>ά</w:t>
      </w:r>
      <w:r w:rsidRPr="004C42EA">
        <w:t xml:space="preserve"> Εργαλεί</w:t>
      </w:r>
      <w:r>
        <w:t>α</w:t>
      </w:r>
      <w:r w:rsidRPr="004C42EA">
        <w:t xml:space="preserve"> (FI)</w:t>
      </w:r>
      <w:r>
        <w:rPr>
          <w:rFonts w:ascii="Tahoma" w:hAnsi="Tahoma" w:cs="Tahoma"/>
          <w:sz w:val="16"/>
          <w:szCs w:val="16"/>
        </w:rPr>
        <w:t xml:space="preserve"> 2014-2020 2</w:t>
      </w:r>
      <w:r w:rsidRPr="009C5DC3">
        <w:rPr>
          <w:rFonts w:ascii="Tahoma" w:hAnsi="Tahoma" w:cs="Tahoma"/>
          <w:sz w:val="16"/>
          <w:szCs w:val="16"/>
          <w:vertAlign w:val="superscript"/>
        </w:rPr>
        <w:t>η</w:t>
      </w:r>
      <w:r>
        <w:rPr>
          <w:rFonts w:ascii="Tahoma" w:hAnsi="Tahoma" w:cs="Tahoma"/>
          <w:sz w:val="16"/>
          <w:szCs w:val="16"/>
        </w:rPr>
        <w:t xml:space="preserve"> Έκδοση </w:t>
      </w:r>
      <w:r w:rsidRPr="009C5DC3">
        <w:rPr>
          <w:rFonts w:ascii="Tahoma" w:hAnsi="Tahoma" w:cs="Tahoma"/>
          <w:sz w:val="16"/>
          <w:szCs w:val="16"/>
        </w:rPr>
        <w:t>27</w:t>
      </w:r>
      <w:r w:rsidRPr="009C5DC3">
        <w:rPr>
          <w:rFonts w:ascii="Tahoma" w:hAnsi="Tahoma" w:cs="Tahoma"/>
          <w:sz w:val="16"/>
          <w:szCs w:val="16"/>
          <w:vertAlign w:val="superscript"/>
        </w:rPr>
        <w:t>ης</w:t>
      </w:r>
      <w:r>
        <w:rPr>
          <w:rFonts w:ascii="Tahoma" w:hAnsi="Tahoma" w:cs="Tahoma"/>
          <w:sz w:val="16"/>
          <w:szCs w:val="16"/>
        </w:rPr>
        <w:t xml:space="preserve"> Νοεμβρίου </w:t>
      </w:r>
      <w:r w:rsidRPr="009C5DC3">
        <w:rPr>
          <w:rFonts w:ascii="Tahoma" w:hAnsi="Tahoma" w:cs="Tahoma"/>
          <w:sz w:val="16"/>
          <w:szCs w:val="16"/>
        </w:rPr>
        <w:t>2019</w:t>
      </w:r>
    </w:p>
  </w:footnote>
  <w:footnote w:id="5">
    <w:p w14:paraId="25B21A41" w14:textId="77777777" w:rsidR="00A34E5B" w:rsidRPr="001A6889" w:rsidRDefault="00A34E5B" w:rsidP="00B67AE6">
      <w:pPr>
        <w:pStyle w:val="Default"/>
        <w:jc w:val="both"/>
        <w:rPr>
          <w:rFonts w:asciiTheme="minorHAnsi" w:hAnsiTheme="minorHAnsi" w:cs="Arial"/>
          <w:sz w:val="18"/>
          <w:szCs w:val="18"/>
        </w:rPr>
      </w:pPr>
      <w:r w:rsidRPr="00E90826">
        <w:rPr>
          <w:rStyle w:val="ac"/>
          <w:rFonts w:asciiTheme="minorHAnsi" w:hAnsiTheme="minorHAnsi" w:cs="Arial"/>
          <w:sz w:val="18"/>
          <w:szCs w:val="18"/>
        </w:rPr>
        <w:footnoteRef/>
      </w:r>
      <w:r w:rsidRPr="00E90826">
        <w:rPr>
          <w:rFonts w:asciiTheme="minorHAnsi" w:hAnsiTheme="minorHAnsi" w:cs="Arial"/>
          <w:sz w:val="18"/>
          <w:szCs w:val="18"/>
        </w:rPr>
        <w:t xml:space="preserve"> </w:t>
      </w:r>
      <w:r w:rsidRPr="001A6889">
        <w:rPr>
          <w:rFonts w:asciiTheme="minorHAnsi" w:hAnsiTheme="minorHAnsi" w:cs="Arial"/>
          <w:sz w:val="18"/>
          <w:szCs w:val="18"/>
        </w:rPr>
        <w:t xml:space="preserve">Στην </w:t>
      </w:r>
      <w:proofErr w:type="spellStart"/>
      <w:r w:rsidRPr="001A6889">
        <w:rPr>
          <w:rFonts w:asciiTheme="minorHAnsi" w:hAnsiTheme="minorHAnsi" w:cs="Arial"/>
          <w:sz w:val="18"/>
          <w:szCs w:val="18"/>
        </w:rPr>
        <w:t>ιστοθέση</w:t>
      </w:r>
      <w:proofErr w:type="spellEnd"/>
      <w:r w:rsidRPr="001A6889">
        <w:rPr>
          <w:rFonts w:asciiTheme="minorHAnsi" w:hAnsiTheme="minorHAnsi" w:cs="Arial"/>
          <w:sz w:val="18"/>
          <w:szCs w:val="18"/>
        </w:rPr>
        <w:t xml:space="preserve"> </w:t>
      </w:r>
      <w:hyperlink r:id="rId3" w:history="1">
        <w:r w:rsidRPr="00C10DF3">
          <w:rPr>
            <w:rStyle w:val="-"/>
            <w:sz w:val="18"/>
            <w:szCs w:val="18"/>
          </w:rPr>
          <w:t>http://iobe.gr/research_dtl.asp?RID=182</w:t>
        </w:r>
      </w:hyperlink>
      <w:r w:rsidRPr="00C10DF3">
        <w:rPr>
          <w:sz w:val="18"/>
          <w:szCs w:val="18"/>
        </w:rPr>
        <w:t xml:space="preserve"> </w:t>
      </w:r>
      <w:r w:rsidRPr="001A6889">
        <w:rPr>
          <w:rFonts w:asciiTheme="minorHAnsi" w:hAnsiTheme="minorHAnsi" w:cs="Arial"/>
          <w:sz w:val="18"/>
          <w:szCs w:val="18"/>
        </w:rPr>
        <w:t>βρίσκεται αναρτημένη μ</w:t>
      </w:r>
      <w:r w:rsidRPr="001A6889">
        <w:rPr>
          <w:rFonts w:asciiTheme="minorHAnsi" w:hAnsiTheme="minorHAnsi" w:cs="Arial"/>
          <w:bCs/>
          <w:sz w:val="18"/>
          <w:szCs w:val="18"/>
        </w:rPr>
        <w:t xml:space="preserve">ελέτη που ανατέθηκε στο ΙΟΒΕ από τον </w:t>
      </w:r>
      <w:r>
        <w:rPr>
          <w:rFonts w:asciiTheme="minorHAnsi" w:hAnsiTheme="minorHAnsi" w:cs="Arial"/>
          <w:bCs/>
          <w:sz w:val="18"/>
          <w:szCs w:val="18"/>
        </w:rPr>
        <w:t xml:space="preserve">ΣΕΒ </w:t>
      </w:r>
      <w:r w:rsidRPr="001A6889">
        <w:rPr>
          <w:rFonts w:asciiTheme="minorHAnsi" w:hAnsiTheme="minorHAnsi" w:cs="Arial"/>
          <w:bCs/>
          <w:sz w:val="18"/>
          <w:szCs w:val="18"/>
        </w:rPr>
        <w:t>με τίτλο «</w:t>
      </w:r>
      <w:r w:rsidRPr="001A6889">
        <w:rPr>
          <w:rFonts w:asciiTheme="minorHAnsi" w:hAnsiTheme="minorHAnsi" w:cs="Arial"/>
          <w:sz w:val="18"/>
          <w:szCs w:val="18"/>
        </w:rPr>
        <w:t xml:space="preserve"> </w:t>
      </w:r>
      <w:r w:rsidRPr="00526534">
        <w:rPr>
          <w:rFonts w:asciiTheme="minorHAnsi" w:hAnsiTheme="minorHAnsi" w:cs="Arial"/>
          <w:bCs/>
          <w:sz w:val="18"/>
          <w:szCs w:val="18"/>
        </w:rPr>
        <w:t>Οι αναπτυξιακές προοπτικές των Κατασκευών στην Ελλάδα</w:t>
      </w:r>
      <w:r w:rsidRPr="001A6889">
        <w:rPr>
          <w:rFonts w:asciiTheme="minorHAnsi" w:hAnsiTheme="minorHAnsi" w:cs="Arial"/>
          <w:bCs/>
          <w:sz w:val="18"/>
          <w:szCs w:val="18"/>
        </w:rPr>
        <w:t xml:space="preserve">» και εκπονήθηκε τον </w:t>
      </w:r>
      <w:r>
        <w:rPr>
          <w:rFonts w:asciiTheme="minorHAnsi" w:hAnsiTheme="minorHAnsi" w:cs="Arial"/>
          <w:bCs/>
          <w:sz w:val="18"/>
          <w:szCs w:val="18"/>
        </w:rPr>
        <w:t>Ιούνιο 2019.</w:t>
      </w:r>
    </w:p>
  </w:footnote>
  <w:footnote w:id="6">
    <w:p w14:paraId="3CA5FCF1" w14:textId="77777777" w:rsidR="00A34E5B" w:rsidRDefault="00A34E5B">
      <w:pPr>
        <w:pStyle w:val="ab"/>
      </w:pPr>
      <w:r>
        <w:rPr>
          <w:rStyle w:val="ac"/>
        </w:rPr>
        <w:footnoteRef/>
      </w:r>
      <w:r>
        <w:t xml:space="preserve"> </w:t>
      </w:r>
      <w:hyperlink r:id="rId4" w:history="1">
        <w:r w:rsidRPr="00E3257E">
          <w:rPr>
            <w:rStyle w:val="-"/>
          </w:rPr>
          <w:t>https://ec.europa.eu/energy/en/topics/energy-efficiency/energy-performance-of-buildings/factsheets-country-eu-buildings-2016-pdfs</w:t>
        </w:r>
      </w:hyperlink>
      <w:r>
        <w:t xml:space="preserve"> </w:t>
      </w:r>
    </w:p>
  </w:footnote>
  <w:footnote w:id="7">
    <w:p w14:paraId="46E56E69" w14:textId="77777777" w:rsidR="00A34E5B" w:rsidRPr="001A6889" w:rsidRDefault="00A34E5B">
      <w:pPr>
        <w:pStyle w:val="ab"/>
        <w:rPr>
          <w:sz w:val="18"/>
          <w:szCs w:val="18"/>
        </w:rPr>
      </w:pPr>
      <w:r w:rsidRPr="001A6889">
        <w:rPr>
          <w:rStyle w:val="ac"/>
          <w:sz w:val="18"/>
          <w:szCs w:val="18"/>
        </w:rPr>
        <w:footnoteRef/>
      </w:r>
      <w:r w:rsidRPr="001A6889">
        <w:rPr>
          <w:sz w:val="18"/>
          <w:szCs w:val="18"/>
        </w:rPr>
        <w:t xml:space="preserve"> Από έκθεση της </w:t>
      </w:r>
      <w:proofErr w:type="spellStart"/>
      <w:r w:rsidRPr="001A6889">
        <w:rPr>
          <w:sz w:val="18"/>
          <w:szCs w:val="18"/>
        </w:rPr>
        <w:t>ΤτΕ</w:t>
      </w:r>
      <w:proofErr w:type="spellEnd"/>
      <w:r w:rsidRPr="001A6889">
        <w:rPr>
          <w:sz w:val="18"/>
          <w:szCs w:val="18"/>
        </w:rPr>
        <w:t xml:space="preserve"> </w:t>
      </w:r>
      <w:hyperlink r:id="rId5" w:history="1">
        <w:r w:rsidRPr="001A6889">
          <w:rPr>
            <w:rStyle w:val="-"/>
            <w:b/>
            <w:bCs/>
            <w:sz w:val="18"/>
            <w:szCs w:val="18"/>
          </w:rPr>
          <w:t>http://tinyurl.com/jzlrjap</w:t>
        </w:r>
      </w:hyperlink>
      <w:r w:rsidRPr="001A6889">
        <w:rPr>
          <w:b/>
          <w:bCs/>
          <w:sz w:val="18"/>
          <w:szCs w:val="18"/>
        </w:rPr>
        <w:t xml:space="preserve"> </w:t>
      </w:r>
      <w:r w:rsidRPr="001A6889">
        <w:rPr>
          <w:sz w:val="18"/>
          <w:szCs w:val="18"/>
        </w:rPr>
        <w:t xml:space="preserve"> </w:t>
      </w:r>
    </w:p>
  </w:footnote>
  <w:footnote w:id="8">
    <w:p w14:paraId="6AC98935" w14:textId="77777777" w:rsidR="00A34E5B" w:rsidRPr="001A6889" w:rsidRDefault="00A34E5B" w:rsidP="00713538">
      <w:pPr>
        <w:rPr>
          <w:sz w:val="18"/>
          <w:szCs w:val="18"/>
          <w:lang w:eastAsia="el-GR"/>
        </w:rPr>
      </w:pPr>
      <w:r w:rsidRPr="001A6889">
        <w:rPr>
          <w:rStyle w:val="ac"/>
          <w:sz w:val="18"/>
          <w:szCs w:val="18"/>
        </w:rPr>
        <w:footnoteRef/>
      </w:r>
      <w:r>
        <w:t xml:space="preserve"> </w:t>
      </w:r>
      <w:r w:rsidRPr="001A6889">
        <w:rPr>
          <w:sz w:val="18"/>
          <w:szCs w:val="18"/>
          <w:lang w:val="en-US"/>
        </w:rPr>
        <w:t>T</w:t>
      </w:r>
      <w:r w:rsidRPr="001A6889">
        <w:rPr>
          <w:sz w:val="18"/>
          <w:szCs w:val="18"/>
        </w:rPr>
        <w:t>α στοιχεία του ενσωματωμένου στο κείμενο πίνακα, αξιοποιούνται και στην «</w:t>
      </w:r>
      <w:r w:rsidRPr="001A6889">
        <w:rPr>
          <w:sz w:val="18"/>
          <w:szCs w:val="18"/>
          <w:lang w:eastAsia="el-GR"/>
        </w:rPr>
        <w:t xml:space="preserve">Έκθεση μακροπρόθεσμης στρατηγικής για την κινητοποίηση επενδύσεων για την ανακαίνιση του αποτελούμενου από κατοικίες και εμπορικά κτίρια, δημόσια και ιδιωτικά, εθνικού κτιριακού αποθέματος» </w:t>
      </w:r>
      <w:proofErr w:type="spellStart"/>
      <w:r w:rsidRPr="001A6889">
        <w:rPr>
          <w:rFonts w:cs="MgHelveticaUCPol"/>
          <w:sz w:val="18"/>
          <w:szCs w:val="18"/>
        </w:rPr>
        <w:t>Αριθμ</w:t>
      </w:r>
      <w:proofErr w:type="spellEnd"/>
      <w:r w:rsidRPr="001A6889">
        <w:rPr>
          <w:rFonts w:cs="MgHelveticaUCPol"/>
          <w:sz w:val="18"/>
          <w:szCs w:val="18"/>
        </w:rPr>
        <w:t>. Απόφασης ΔΕΠΕΑ/Γ/οικ. 185497,</w:t>
      </w:r>
      <w:r w:rsidRPr="001A6889">
        <w:rPr>
          <w:sz w:val="18"/>
          <w:szCs w:val="18"/>
        </w:rPr>
        <w:t xml:space="preserve"> </w:t>
      </w:r>
      <w:r w:rsidRPr="001A6889">
        <w:rPr>
          <w:sz w:val="18"/>
          <w:szCs w:val="18"/>
          <w:lang w:eastAsia="el-GR"/>
        </w:rPr>
        <w:t xml:space="preserve">ΦΕΚ Β – 3004, 31.12.2015. </w:t>
      </w:r>
    </w:p>
    <w:p w14:paraId="50A1B901" w14:textId="77777777" w:rsidR="00A34E5B" w:rsidRPr="00285FAD" w:rsidRDefault="00A34E5B" w:rsidP="00713538">
      <w:pPr>
        <w:pStyle w:val="ab"/>
      </w:pPr>
    </w:p>
  </w:footnote>
  <w:footnote w:id="9">
    <w:p w14:paraId="674333DA" w14:textId="77777777" w:rsidR="00A34E5B" w:rsidRDefault="00A34E5B">
      <w:pPr>
        <w:pStyle w:val="ab"/>
      </w:pPr>
      <w:r>
        <w:rPr>
          <w:rStyle w:val="ac"/>
        </w:rPr>
        <w:footnoteRef/>
      </w:r>
      <w:r>
        <w:t xml:space="preserve"> </w:t>
      </w:r>
      <w:hyperlink r:id="rId6" w:history="1">
        <w:r w:rsidRPr="00E3257E">
          <w:rPr>
            <w:rStyle w:val="-"/>
          </w:rPr>
          <w:t>https://www.google.com/url?sa=t&amp;rct=j&amp;q=&amp;esrc=s&amp;source=web&amp;cd=1&amp;ved=2ahUKEwii8Pev5oLoAhWM_KQKHTVcBksQFjAAegQIAhAB&amp;url=https%3A%2F%2Fwww.statistics.gr%2Fdocuments%2F20181%2F7243815%2F%25CE%2588%25CF%2581%25CE%25B5%25CF%2585%25CE%25BD%25CE%25B1%2B%25CE%259F%25CE%25B9%25CE%25BA%25CE%25BF%25CE%25B3%25CE%25B5%25CE%25BD%25CE%25B5%25CE%25B9%25CE%25B1%25CE%25BA%25CF%258E%25CE%25BD%2B%25CE%25A0%25CF%2581%25CE%25BF%25CF%258B%25CF%2580%25CE%25BF%25CE%25BB%25CE%25BF%25CE%25B3%25CE%25B9%25CF%2583%25CE%25BC%25CF%258E%25CE%25BD%2B%2528%2B2018%2B%2529.pdf%2F8fbe7213-0a82-3aac-2380-44377cb0e01a%3Fversion%3D1.0%26t%3D1569833886264%26download%3Dtrue&amp;usg=AOvVaw0djlFLTNfeeo6suArq-y5u</w:t>
        </w:r>
      </w:hyperlink>
      <w:r>
        <w:t xml:space="preserve"> </w:t>
      </w:r>
    </w:p>
  </w:footnote>
  <w:footnote w:id="10">
    <w:p w14:paraId="18291FE5" w14:textId="77777777" w:rsidR="00A34E5B" w:rsidRDefault="00A34E5B">
      <w:pPr>
        <w:pStyle w:val="ab"/>
      </w:pPr>
      <w:r>
        <w:rPr>
          <w:rStyle w:val="ac"/>
        </w:rPr>
        <w:footnoteRef/>
      </w:r>
      <w:r>
        <w:t xml:space="preserve"> </w:t>
      </w:r>
      <w:hyperlink r:id="rId7" w:history="1">
        <w:r w:rsidRPr="00E3257E">
          <w:rPr>
            <w:rStyle w:val="-"/>
          </w:rPr>
          <w:t>https://www.bankofgreece.gr/RelatedDocuments/%CE%91%CE%BD%CE%AC%CE%BB%CF%85%CF%83%CE%B7_%CE%A7%CF%81%CE%B7%CE%BC%CE%B1%CF%84%CE%BF%CE%B4%CF%8C%CF%84%CE%B7%CF%83%CE%B7%CF%82_%CE%BA%CE%B1%CF%84%CE%BF%CE%AF%CE%BA%CF%89%CE%BD_%CE%B5%CF%83%CF%89%CF%84%CE%B5%CF%81%CE%B9%CE%BA%CE%BF%CF%8D_%CF%80%CE%BB%CE%B7%CE%BD_%CE%9D%CE%A7%CE%99_%CE%B1%CF%80%CF%8C_%CF%84%CE%B1_%CE%B5%CE%B3%CF%87%CF%8E%CF%81%CE%B9%CE%B1_%CE%9D%CE%A7%CE%99.xls</w:t>
        </w:r>
      </w:hyperlink>
      <w:r>
        <w:t xml:space="preserve"> </w:t>
      </w:r>
    </w:p>
  </w:footnote>
  <w:footnote w:id="11">
    <w:p w14:paraId="7CB944AB" w14:textId="77777777" w:rsidR="00A34E5B" w:rsidRPr="00B42E69" w:rsidRDefault="00A34E5B" w:rsidP="00B42E69">
      <w:pPr>
        <w:pStyle w:val="ab"/>
        <w:rPr>
          <w:sz w:val="18"/>
          <w:szCs w:val="18"/>
        </w:rPr>
      </w:pPr>
      <w:r w:rsidRPr="00B42E69">
        <w:rPr>
          <w:rStyle w:val="ac"/>
          <w:sz w:val="18"/>
          <w:szCs w:val="18"/>
        </w:rPr>
        <w:footnoteRef/>
      </w:r>
      <w:r w:rsidRPr="00B42E69">
        <w:rPr>
          <w:sz w:val="18"/>
          <w:szCs w:val="18"/>
        </w:rPr>
        <w:t xml:space="preserve"> </w:t>
      </w:r>
      <w:r w:rsidRPr="00B42E69">
        <w:rPr>
          <w:i/>
          <w:sz w:val="18"/>
          <w:szCs w:val="18"/>
        </w:rPr>
        <w:t xml:space="preserve">Σε 13.994 </w:t>
      </w:r>
      <w:proofErr w:type="spellStart"/>
      <w:r w:rsidRPr="00B42E69">
        <w:rPr>
          <w:i/>
          <w:sz w:val="18"/>
          <w:szCs w:val="18"/>
        </w:rPr>
        <w:t>kWh</w:t>
      </w:r>
      <w:proofErr w:type="spellEnd"/>
      <w:r w:rsidRPr="00B42E69">
        <w:rPr>
          <w:i/>
          <w:sz w:val="18"/>
          <w:szCs w:val="18"/>
        </w:rPr>
        <w:t xml:space="preserve"> ετησίως, κατά μέσο όρο, ανέρχεται η ενέργεια που καταναλώνει κάθε νοικοκυριό της χώρας για την κάλυψη των ενεργειακών αναγκών του, ενώ το 81% αυτής της ενέργειας χρησιμοποιείται για τη θέρμανση των χώρων και το μαγείρεμα. Παράλληλα, κάθε νοικοκυριό καταναλώνει, συνολικά για την κάλυψη των ετήσιων ενεργειακών αναγκών του, πετρέλαιο θέρμανσης και ηλεκτρισμό σε ποσοστό 44,1% και 26,8 % αντίστοιχα</w:t>
      </w:r>
      <w:r w:rsidRPr="00B42E69">
        <w:rPr>
          <w:sz w:val="18"/>
          <w:szCs w:val="18"/>
        </w:rPr>
        <w:t>. “Έρευνα Κατανάλωσης Ενέργειας στα Νοικοκυριά”, που διενήργησε η Ελληνική Στατιστική Αρχή (ΕΛΣΤΑΤ) κατά το χρονικό διάστημα Οκτωβρίου 2011- Σεπτεμβρίου 2012.</w:t>
      </w:r>
    </w:p>
  </w:footnote>
  <w:footnote w:id="12">
    <w:p w14:paraId="6A8C41F7" w14:textId="77777777" w:rsidR="00A34E5B" w:rsidRPr="00791808" w:rsidRDefault="00A34E5B" w:rsidP="00713538">
      <w:pPr>
        <w:pStyle w:val="af"/>
      </w:pPr>
      <w:r w:rsidRPr="00791808">
        <w:rPr>
          <w:rStyle w:val="ac"/>
          <w:sz w:val="18"/>
          <w:szCs w:val="18"/>
        </w:rPr>
        <w:footnoteRef/>
      </w:r>
      <w:r w:rsidRPr="00791808">
        <w:t xml:space="preserve"> </w:t>
      </w:r>
      <w:r w:rsidRPr="00AF433D">
        <w:rPr>
          <w:i/>
          <w:sz w:val="18"/>
          <w:szCs w:val="18"/>
        </w:rPr>
        <w:t>Ενεργειακά Χαρακτηριστικά κτιρίων από την "Έκθεση μακροπρόθεσμης στρατηγικής για την κινητοποίηση επενδύσεων για την ανακαίνιση του αποτελούμενου από κατοικίες και εμπορικά κτίρια, δημόσια και ιδιωτικά, εθνικού κτιριακού αποθέματος"</w:t>
      </w:r>
    </w:p>
    <w:p w14:paraId="21CB85A9" w14:textId="77777777" w:rsidR="00A34E5B" w:rsidRDefault="00A34E5B" w:rsidP="00713538">
      <w:pPr>
        <w:pStyle w:val="ab"/>
      </w:pPr>
    </w:p>
  </w:footnote>
  <w:footnote w:id="13">
    <w:p w14:paraId="17D37193" w14:textId="77777777" w:rsidR="00A34E5B" w:rsidRDefault="00A34E5B">
      <w:pPr>
        <w:pStyle w:val="ab"/>
      </w:pPr>
      <w:r>
        <w:rPr>
          <w:rStyle w:val="ac"/>
        </w:rPr>
        <w:footnoteRef/>
      </w:r>
      <w:r>
        <w:t xml:space="preserve"> </w:t>
      </w:r>
      <w:hyperlink r:id="rId8" w:history="1">
        <w:r w:rsidRPr="00E3257E">
          <w:rPr>
            <w:rStyle w:val="-"/>
          </w:rPr>
          <w:t>https://www.google.com/url?sa=t&amp;rct=j&amp;q=&amp;esrc=s&amp;source=web&amp;cd=1&amp;ved=2ahUKEwiJy-Kh_oLoAhXHw6YKHeVhCDUQFjAAegQIAhAB&amp;url=http%3A%2F%2Fwww.statistics.gr%2Fdocuments%2F20181%2Faa81f3c3-452e-170b-9753-1274858a6033&amp;usg=AOvVaw0OBK1Az_1eg8UbFyi81R3f</w:t>
        </w:r>
      </w:hyperlink>
      <w:r>
        <w:t xml:space="preserve"> </w:t>
      </w:r>
    </w:p>
  </w:footnote>
  <w:footnote w:id="14">
    <w:p w14:paraId="25B8CB54" w14:textId="77777777" w:rsidR="00A34E5B" w:rsidRPr="00D943C2" w:rsidRDefault="00A34E5B">
      <w:pPr>
        <w:pStyle w:val="ab"/>
        <w:rPr>
          <w:sz w:val="16"/>
          <w:szCs w:val="16"/>
        </w:rPr>
      </w:pPr>
      <w:r w:rsidRPr="00D943C2">
        <w:rPr>
          <w:rStyle w:val="ac"/>
          <w:sz w:val="16"/>
          <w:szCs w:val="16"/>
        </w:rPr>
        <w:footnoteRef/>
      </w:r>
      <w:r w:rsidRPr="00D943C2">
        <w:rPr>
          <w:sz w:val="16"/>
          <w:szCs w:val="16"/>
        </w:rPr>
        <w:t xml:space="preserve"> Μέρος αυτών ενισχύθηκε στα 2 «ενδιάμεσα </w:t>
      </w:r>
      <w:r>
        <w:rPr>
          <w:sz w:val="16"/>
          <w:szCs w:val="16"/>
        </w:rPr>
        <w:t>Προγράμματ</w:t>
      </w:r>
      <w:r w:rsidRPr="00D943C2">
        <w:rPr>
          <w:sz w:val="16"/>
          <w:szCs w:val="16"/>
        </w:rPr>
        <w:t>α» χρηματοδοτούμενα από εθνικούς πόρους και επιστροφές του ταμείου για το μέρος των επιχορηγήσεων και από το ταμείο ΕΞΟΙΚ Ι για τα δάνεια και τόκους.</w:t>
      </w:r>
    </w:p>
  </w:footnote>
  <w:footnote w:id="15">
    <w:p w14:paraId="3D5D0E76" w14:textId="77777777" w:rsidR="00A34E5B" w:rsidRPr="009B2DA9" w:rsidRDefault="00A34E5B" w:rsidP="002830A1">
      <w:pPr>
        <w:pStyle w:val="ab"/>
      </w:pPr>
      <w:r w:rsidRPr="00D943C2">
        <w:rPr>
          <w:rStyle w:val="ac"/>
          <w:sz w:val="16"/>
          <w:szCs w:val="16"/>
        </w:rPr>
        <w:footnoteRef/>
      </w:r>
      <w:r w:rsidRPr="00D943C2">
        <w:rPr>
          <w:sz w:val="16"/>
          <w:szCs w:val="16"/>
        </w:rPr>
        <w:t xml:space="preserve"> Το Μάρτιο του 2012 τροποποιήθηκε ο οδηγός εφαρμογής του </w:t>
      </w:r>
      <w:r>
        <w:rPr>
          <w:sz w:val="16"/>
          <w:szCs w:val="16"/>
        </w:rPr>
        <w:t>Προγράμματ</w:t>
      </w:r>
      <w:r w:rsidRPr="00D943C2">
        <w:rPr>
          <w:sz w:val="16"/>
          <w:szCs w:val="16"/>
        </w:rPr>
        <w:t>ος και προστέθηκε η κατηγορία Α1 που επιχορηγούσε με 70% τις κατοικίες ιδιοκτητών με ατομικό εισόδημα 12.000€ ή οικογενειακό εισόδημα 20.000€.</w:t>
      </w:r>
    </w:p>
  </w:footnote>
  <w:footnote w:id="16">
    <w:p w14:paraId="3600A081" w14:textId="6668854F" w:rsidR="00A34E5B" w:rsidRDefault="00A34E5B" w:rsidP="002830A1">
      <w:pPr>
        <w:pStyle w:val="ab"/>
      </w:pPr>
      <w:r>
        <w:rPr>
          <w:rStyle w:val="ac"/>
        </w:rPr>
        <w:footnoteRef/>
      </w:r>
      <w:r>
        <w:t xml:space="preserve"> Τελικά μέρος των 35.943 αιτήσεων και περίπου 1</w:t>
      </w:r>
      <w:r w:rsidR="00CB70F0" w:rsidRPr="00CB70F0">
        <w:t>1</w:t>
      </w:r>
      <w:r>
        <w:t>.</w:t>
      </w:r>
      <w:r w:rsidR="00CB70F0" w:rsidRPr="00CB70F0">
        <w:t>6</w:t>
      </w:r>
      <w:r>
        <w:t>00 από αυτές  κατά χρονολογική  σειρά της αίτησής τους υπάχθηκαν</w:t>
      </w:r>
      <w:r w:rsidR="00CB70F0" w:rsidRPr="00CB70F0">
        <w:t xml:space="preserve"> </w:t>
      </w:r>
      <w:r w:rsidR="00CB70F0">
        <w:t>και ολοκλήρωσαν</w:t>
      </w:r>
      <w:r>
        <w:t xml:space="preserve"> σε δύο φάσεις «ενδιάμεσων» προγραμμάτων με ανάλωση εθνικών πόρων και πόρων από τις επιστροφές των δανείων.</w:t>
      </w:r>
    </w:p>
  </w:footnote>
  <w:footnote w:id="17">
    <w:p w14:paraId="511A5452" w14:textId="77777777" w:rsidR="00A34E5B" w:rsidRPr="00834CAE" w:rsidRDefault="00A34E5B" w:rsidP="00A03160">
      <w:pPr>
        <w:pStyle w:val="ab"/>
      </w:pPr>
      <w:r w:rsidRPr="00C33061">
        <w:rPr>
          <w:rStyle w:val="ac"/>
          <w:sz w:val="18"/>
          <w:szCs w:val="18"/>
        </w:rPr>
        <w:footnoteRef/>
      </w:r>
      <w:r w:rsidRPr="00C33061">
        <w:t xml:space="preserve"> Έρευνα Πεδίου στη Δράση Επιδότησης Παρεμβάσεων Εξοικονόμησης Ενέργειας σε Νοικοκυριά, ΕΥΔ </w:t>
      </w:r>
      <w:r>
        <w:t xml:space="preserve">ΕΠΑνΕΚ </w:t>
      </w:r>
      <w:r>
        <w:rPr>
          <w:i/>
        </w:rPr>
        <w:t>(</w:t>
      </w:r>
      <w:r w:rsidRPr="005C2453">
        <w:rPr>
          <w:i/>
        </w:rPr>
        <w:t>Ιούλιος 2013</w:t>
      </w:r>
      <w:r>
        <w:rPr>
          <w:i/>
        </w:rPr>
        <w:t xml:space="preserve">) κατά την </w:t>
      </w:r>
      <w:r>
        <w:rPr>
          <w:i/>
          <w:lang w:val="en-US"/>
        </w:rPr>
        <w:t>on</w:t>
      </w:r>
      <w:r w:rsidRPr="00C10DF3">
        <w:rPr>
          <w:i/>
        </w:rPr>
        <w:t>-</w:t>
      </w:r>
      <w:r>
        <w:rPr>
          <w:i/>
          <w:lang w:val="en-US"/>
        </w:rPr>
        <w:t>going</w:t>
      </w:r>
      <w:r w:rsidRPr="00C10DF3">
        <w:rPr>
          <w:i/>
        </w:rPr>
        <w:t xml:space="preserve"> </w:t>
      </w:r>
      <w:r>
        <w:rPr>
          <w:i/>
        </w:rPr>
        <w:t>αξιολόγηση του ΕΠΑΝ ΙΙ 2007-2013 (τα σημαντικότερα συμπεράσματα έχουν δημοσιευτεί</w:t>
      </w:r>
      <w:r w:rsidRPr="00C10DF3">
        <w:rPr>
          <w:i/>
        </w:rPr>
        <w:t xml:space="preserve"> </w:t>
      </w:r>
      <w:r>
        <w:rPr>
          <w:i/>
        </w:rPr>
        <w:t>στην Μελέτη Περίπτωσης</w:t>
      </w:r>
      <w:r w:rsidRPr="00C10DF3">
        <w:rPr>
          <w:i/>
        </w:rPr>
        <w:t>:</w:t>
      </w:r>
      <w:r>
        <w:rPr>
          <w:i/>
        </w:rPr>
        <w:t xml:space="preserve"> «</w:t>
      </w:r>
      <w:proofErr w:type="spellStart"/>
      <w:r w:rsidRPr="001E2DD8">
        <w:rPr>
          <w:i/>
        </w:rPr>
        <w:t>Case</w:t>
      </w:r>
      <w:proofErr w:type="spellEnd"/>
      <w:r w:rsidRPr="001E2DD8">
        <w:rPr>
          <w:i/>
        </w:rPr>
        <w:t xml:space="preserve"> </w:t>
      </w:r>
      <w:proofErr w:type="spellStart"/>
      <w:r w:rsidRPr="001E2DD8">
        <w:rPr>
          <w:i/>
        </w:rPr>
        <w:t>study</w:t>
      </w:r>
      <w:proofErr w:type="spellEnd"/>
      <w:r w:rsidRPr="001E2DD8">
        <w:rPr>
          <w:i/>
        </w:rPr>
        <w:t xml:space="preserve"> (Energy </w:t>
      </w:r>
      <w:proofErr w:type="spellStart"/>
      <w:r w:rsidRPr="001E2DD8">
        <w:rPr>
          <w:i/>
        </w:rPr>
        <w:t>Savings</w:t>
      </w:r>
      <w:proofErr w:type="spellEnd"/>
      <w:r w:rsidRPr="001E2DD8">
        <w:rPr>
          <w:i/>
        </w:rPr>
        <w:t xml:space="preserve"> in </w:t>
      </w:r>
      <w:proofErr w:type="spellStart"/>
      <w:r w:rsidRPr="001E2DD8">
        <w:rPr>
          <w:i/>
        </w:rPr>
        <w:t>Existing</w:t>
      </w:r>
      <w:proofErr w:type="spellEnd"/>
      <w:r w:rsidRPr="001E2DD8">
        <w:rPr>
          <w:i/>
        </w:rPr>
        <w:t xml:space="preserve"> </w:t>
      </w:r>
      <w:proofErr w:type="spellStart"/>
      <w:r w:rsidRPr="001E2DD8">
        <w:rPr>
          <w:i/>
        </w:rPr>
        <w:t>Housing</w:t>
      </w:r>
      <w:proofErr w:type="spellEnd"/>
      <w:r w:rsidRPr="001E2DD8">
        <w:rPr>
          <w:i/>
        </w:rPr>
        <w:t xml:space="preserve"> Programme, </w:t>
      </w:r>
      <w:proofErr w:type="spellStart"/>
      <w:r w:rsidRPr="001E2DD8">
        <w:rPr>
          <w:i/>
        </w:rPr>
        <w:t>Greece</w:t>
      </w:r>
      <w:proofErr w:type="spellEnd"/>
      <w:r w:rsidRPr="001E2DD8">
        <w:rPr>
          <w:i/>
        </w:rPr>
        <w:t>)</w:t>
      </w:r>
      <w:r>
        <w:rPr>
          <w:i/>
        </w:rPr>
        <w:t>»</w:t>
      </w:r>
      <w:r w:rsidRPr="00C10DF3">
        <w:rPr>
          <w:i/>
        </w:rPr>
        <w:t xml:space="preserve">, </w:t>
      </w:r>
      <w:r>
        <w:rPr>
          <w:i/>
          <w:lang w:val="en-US"/>
        </w:rPr>
        <w:t>EC</w:t>
      </w:r>
      <w:r w:rsidRPr="00C10DF3">
        <w:rPr>
          <w:i/>
        </w:rPr>
        <w:t xml:space="preserve"> &amp; </w:t>
      </w:r>
      <w:r>
        <w:rPr>
          <w:i/>
          <w:lang w:val="en-US"/>
        </w:rPr>
        <w:t>EIB</w:t>
      </w:r>
      <w:r w:rsidRPr="00C10DF3">
        <w:rPr>
          <w:i/>
        </w:rPr>
        <w:t>, 14.05.</w:t>
      </w:r>
      <w:r>
        <w:rPr>
          <w:i/>
        </w:rPr>
        <w:t>2019</w:t>
      </w:r>
      <w:r w:rsidRPr="00C10DF3">
        <w:rPr>
          <w:i/>
        </w:rPr>
        <w:t xml:space="preserve">, </w:t>
      </w:r>
      <w:r w:rsidRPr="00834CAE">
        <w:rPr>
          <w:i/>
        </w:rPr>
        <w:t>https://www.fi-compass.eu/publication/case-studies/case-study-energy-savings-existing-housing-programme-greece</w:t>
      </w:r>
      <w:r w:rsidRPr="00C10DF3">
        <w:rPr>
          <w:i/>
        </w:rPr>
        <w:t>)</w:t>
      </w:r>
    </w:p>
    <w:p w14:paraId="7A21B75C" w14:textId="77777777" w:rsidR="00A34E5B" w:rsidRPr="00C33061" w:rsidRDefault="00A34E5B" w:rsidP="003F3D95">
      <w:pPr>
        <w:pStyle w:val="ab"/>
      </w:pPr>
    </w:p>
  </w:footnote>
  <w:footnote w:id="18">
    <w:p w14:paraId="7A844200" w14:textId="77777777" w:rsidR="00A34E5B" w:rsidRPr="002E78F0" w:rsidRDefault="00A34E5B" w:rsidP="00F71640">
      <w:pPr>
        <w:pStyle w:val="ab"/>
        <w:rPr>
          <w:sz w:val="16"/>
          <w:szCs w:val="16"/>
        </w:rPr>
      </w:pPr>
      <w:r>
        <w:rPr>
          <w:rStyle w:val="ac"/>
        </w:rPr>
        <w:footnoteRef/>
      </w:r>
      <w:hyperlink r:id="rId9" w:history="1">
        <w:r w:rsidRPr="00930979">
          <w:rPr>
            <w:rStyle w:val="-"/>
            <w:sz w:val="16"/>
            <w:szCs w:val="16"/>
          </w:rPr>
          <w: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138590&amp;_documents_WAR_publicationsportlet_INSTANCE_qDQ8fBKKo4lN_locale=el</w:t>
        </w:r>
      </w:hyperlink>
      <w:r w:rsidRPr="002E78F0">
        <w:rPr>
          <w:sz w:val="16"/>
          <w:szCs w:val="16"/>
        </w:rPr>
        <w:t xml:space="preserve"> </w:t>
      </w:r>
    </w:p>
  </w:footnote>
  <w:footnote w:id="19">
    <w:p w14:paraId="3EE4E453" w14:textId="77777777" w:rsidR="00A34E5B" w:rsidRPr="001B1190" w:rsidRDefault="00A34E5B" w:rsidP="00DB7FA0">
      <w:pPr>
        <w:pStyle w:val="ab"/>
        <w:rPr>
          <w:sz w:val="18"/>
          <w:szCs w:val="18"/>
        </w:rPr>
      </w:pPr>
      <w:r w:rsidRPr="00C33061">
        <w:rPr>
          <w:rStyle w:val="ac"/>
          <w:sz w:val="18"/>
          <w:szCs w:val="18"/>
        </w:rPr>
        <w:footnoteRef/>
      </w:r>
      <w:r w:rsidRPr="00C33061">
        <w:t xml:space="preserve"> </w:t>
      </w:r>
      <w:r w:rsidRPr="001B1190">
        <w:rPr>
          <w:sz w:val="18"/>
          <w:szCs w:val="18"/>
        </w:rPr>
        <w:t>Στα 248</w:t>
      </w:r>
      <w:r>
        <w:rPr>
          <w:sz w:val="18"/>
          <w:szCs w:val="18"/>
        </w:rPr>
        <w:t>εκ.€</w:t>
      </w:r>
      <w:r w:rsidRPr="001B1190">
        <w:rPr>
          <w:sz w:val="18"/>
          <w:szCs w:val="18"/>
        </w:rPr>
        <w:t xml:space="preserve"> που αποτελούν δημόσια δαπάνη του  </w:t>
      </w:r>
      <w:r>
        <w:rPr>
          <w:sz w:val="18"/>
          <w:szCs w:val="18"/>
        </w:rPr>
        <w:t>ΕΠΑΝΕΚ</w:t>
      </w:r>
      <w:r w:rsidRPr="001B1190">
        <w:rPr>
          <w:sz w:val="18"/>
          <w:szCs w:val="18"/>
        </w:rPr>
        <w:t xml:space="preserve"> </w:t>
      </w:r>
      <w:r>
        <w:rPr>
          <w:sz w:val="18"/>
          <w:szCs w:val="18"/>
        </w:rPr>
        <w:t>προστέθηκαν</w:t>
      </w:r>
      <w:r w:rsidRPr="001B1190">
        <w:rPr>
          <w:sz w:val="18"/>
          <w:szCs w:val="18"/>
        </w:rPr>
        <w:t xml:space="preserve"> και 31,5</w:t>
      </w:r>
      <w:r>
        <w:rPr>
          <w:sz w:val="18"/>
          <w:szCs w:val="18"/>
        </w:rPr>
        <w:t>εκ.€</w:t>
      </w:r>
      <w:r w:rsidRPr="001B1190">
        <w:rPr>
          <w:sz w:val="18"/>
          <w:szCs w:val="18"/>
        </w:rPr>
        <w:t xml:space="preserve"> από τα ΠΕΠ που έχουν δεσμευθεί για παρεμβάσεις εξοικονόμησης ενέργειας στον οικιακό τομέα. Δεδομένου ότι στο άρθρο 13 του Ν.4314/2014 δεν προβλέπεται η δυνατότητα εκχώρησης αυτών των πόρων στο </w:t>
      </w:r>
      <w:r>
        <w:rPr>
          <w:sz w:val="18"/>
          <w:szCs w:val="18"/>
        </w:rPr>
        <w:t>ΕΠΑΝΕΚ</w:t>
      </w:r>
      <w:r w:rsidRPr="001B1190">
        <w:rPr>
          <w:sz w:val="18"/>
          <w:szCs w:val="18"/>
        </w:rPr>
        <w:t xml:space="preserve">, εκτιμάται ότι διαχειριστικά είναι πιο λειτουργικό το κεφάλαιο του μέσου χρηματοοικονομικής τεχνικής να προέλθει αποκλειστικά από το </w:t>
      </w:r>
      <w:r>
        <w:rPr>
          <w:sz w:val="18"/>
          <w:szCs w:val="18"/>
        </w:rPr>
        <w:t>ΕΠΑΝΕΚ</w:t>
      </w:r>
      <w:r w:rsidRPr="001B1190">
        <w:rPr>
          <w:sz w:val="18"/>
          <w:szCs w:val="18"/>
        </w:rPr>
        <w:t xml:space="preserve"> και οι πόροι των ΠΕΠ να αξιοποιηθούν για την κάλυψη των επιχορηγήσεων των δαπανών.</w:t>
      </w:r>
    </w:p>
  </w:footnote>
  <w:footnote w:id="20">
    <w:p w14:paraId="6E181466" w14:textId="77777777" w:rsidR="00A34E5B" w:rsidRPr="001B1190" w:rsidRDefault="00A34E5B" w:rsidP="00DB7FA0">
      <w:pPr>
        <w:pStyle w:val="ab"/>
        <w:rPr>
          <w:sz w:val="18"/>
          <w:szCs w:val="18"/>
        </w:rPr>
      </w:pPr>
      <w:r w:rsidRPr="00C33061">
        <w:rPr>
          <w:rStyle w:val="ac"/>
          <w:sz w:val="18"/>
          <w:szCs w:val="18"/>
        </w:rPr>
        <w:footnoteRef/>
      </w:r>
      <w:r w:rsidRPr="00C33061">
        <w:t xml:space="preserve"> </w:t>
      </w:r>
      <w:r>
        <w:rPr>
          <w:sz w:val="18"/>
          <w:szCs w:val="18"/>
        </w:rPr>
        <w:t>Το σωρευμένο κεφάλαιο</w:t>
      </w:r>
      <w:r w:rsidRPr="001B1190">
        <w:rPr>
          <w:sz w:val="18"/>
          <w:szCs w:val="18"/>
        </w:rPr>
        <w:t xml:space="preserve"> </w:t>
      </w:r>
      <w:r>
        <w:rPr>
          <w:sz w:val="18"/>
          <w:szCs w:val="18"/>
        </w:rPr>
        <w:t xml:space="preserve">από </w:t>
      </w:r>
      <w:r w:rsidRPr="001B1190">
        <w:rPr>
          <w:sz w:val="18"/>
          <w:szCs w:val="18"/>
        </w:rPr>
        <w:t xml:space="preserve">τις επιστροφές δανείων που έχουν δοθεί μέσω του Ταμείου «Εξοικονομώ </w:t>
      </w:r>
      <w:proofErr w:type="spellStart"/>
      <w:r w:rsidRPr="001B1190">
        <w:rPr>
          <w:sz w:val="18"/>
          <w:szCs w:val="18"/>
        </w:rPr>
        <w:t>κατ΄</w:t>
      </w:r>
      <w:r>
        <w:rPr>
          <w:sz w:val="18"/>
          <w:szCs w:val="18"/>
        </w:rPr>
        <w:t>Ο</w:t>
      </w:r>
      <w:r w:rsidRPr="001B1190">
        <w:rPr>
          <w:sz w:val="18"/>
          <w:szCs w:val="18"/>
        </w:rPr>
        <w:t>ίκον</w:t>
      </w:r>
      <w:proofErr w:type="spellEnd"/>
      <w:r w:rsidRPr="001B1190">
        <w:rPr>
          <w:sz w:val="18"/>
          <w:szCs w:val="18"/>
        </w:rPr>
        <w:t xml:space="preserve">», </w:t>
      </w:r>
      <w:r>
        <w:rPr>
          <w:sz w:val="18"/>
          <w:szCs w:val="18"/>
        </w:rPr>
        <w:t xml:space="preserve">διατέθηκε για τα «ενδιάμεσα» Προγράμματα που εντάχθηκαν οι πολίτες που είχαν παραμείνει στην «ουρά» του ΕΞΟΙΚΟΝΟΜΩ Ι και μέρος του επιστράφηκε στα αδιάθετα της </w:t>
      </w:r>
      <w:proofErr w:type="spellStart"/>
      <w:r>
        <w:rPr>
          <w:sz w:val="18"/>
          <w:szCs w:val="18"/>
        </w:rPr>
        <w:t>ΤτΕ</w:t>
      </w:r>
      <w:proofErr w:type="spellEnd"/>
      <w:r>
        <w:rPr>
          <w:sz w:val="18"/>
          <w:szCs w:val="18"/>
        </w:rPr>
        <w:t>.</w:t>
      </w:r>
      <w:r w:rsidRPr="001B1190">
        <w:rPr>
          <w:sz w:val="18"/>
          <w:szCs w:val="18"/>
        </w:rPr>
        <w:t xml:space="preserve">  </w:t>
      </w:r>
    </w:p>
  </w:footnote>
  <w:footnote w:id="21">
    <w:p w14:paraId="2CD37B80" w14:textId="77777777" w:rsidR="00A34E5B" w:rsidRPr="001B1190" w:rsidRDefault="00A34E5B" w:rsidP="00DB7FA0">
      <w:pPr>
        <w:pStyle w:val="ab"/>
        <w:rPr>
          <w:sz w:val="18"/>
          <w:szCs w:val="18"/>
        </w:rPr>
      </w:pPr>
      <w:r w:rsidRPr="00C33061">
        <w:rPr>
          <w:rStyle w:val="ac"/>
          <w:sz w:val="18"/>
          <w:szCs w:val="18"/>
        </w:rPr>
        <w:footnoteRef/>
      </w:r>
      <w:r w:rsidRPr="00C33061">
        <w:t xml:space="preserve"> </w:t>
      </w:r>
      <w:r w:rsidRPr="001B1190">
        <w:rPr>
          <w:sz w:val="18"/>
          <w:szCs w:val="18"/>
        </w:rPr>
        <w:t xml:space="preserve">Ο μέσος προϋπολογισμός των παρεμβάσεων στο πρόγραμμα «Εξοικονόμηση </w:t>
      </w:r>
      <w:proofErr w:type="spellStart"/>
      <w:r w:rsidRPr="001B1190">
        <w:rPr>
          <w:sz w:val="18"/>
          <w:szCs w:val="18"/>
        </w:rPr>
        <w:t>κατ΄</w:t>
      </w:r>
      <w:r>
        <w:rPr>
          <w:sz w:val="18"/>
          <w:szCs w:val="18"/>
        </w:rPr>
        <w:t>Ο</w:t>
      </w:r>
      <w:r w:rsidRPr="001B1190">
        <w:rPr>
          <w:sz w:val="18"/>
          <w:szCs w:val="18"/>
        </w:rPr>
        <w:t>ίκον</w:t>
      </w:r>
      <w:proofErr w:type="spellEnd"/>
      <w:r w:rsidRPr="001B1190">
        <w:rPr>
          <w:sz w:val="18"/>
          <w:szCs w:val="18"/>
        </w:rPr>
        <w:t xml:space="preserve">» κυμάνθηκε στα 11.000€. </w:t>
      </w:r>
      <w:r>
        <w:rPr>
          <w:sz w:val="18"/>
          <w:szCs w:val="18"/>
        </w:rPr>
        <w:t>και το</w:t>
      </w:r>
      <w:r w:rsidRPr="001B1190">
        <w:rPr>
          <w:sz w:val="18"/>
          <w:szCs w:val="18"/>
        </w:rPr>
        <w:t xml:space="preserve"> πρόγραμμα χρηματοδοτούσε έργα έως 15.000€.</w:t>
      </w:r>
      <w:r>
        <w:rPr>
          <w:sz w:val="18"/>
          <w:szCs w:val="18"/>
        </w:rPr>
        <w:t xml:space="preserve"> Στο Εξοικονομώ ΙΙ ο μέγιστος προϋπολογισμός ανήλθε στις 25.000€.</w:t>
      </w:r>
    </w:p>
  </w:footnote>
  <w:footnote w:id="22">
    <w:p w14:paraId="4835AD73" w14:textId="77777777" w:rsidR="00A34E5B" w:rsidRPr="001B1190" w:rsidRDefault="00A34E5B" w:rsidP="00B268C9">
      <w:pPr>
        <w:pStyle w:val="ab"/>
        <w:rPr>
          <w:sz w:val="18"/>
          <w:szCs w:val="18"/>
        </w:rPr>
      </w:pPr>
      <w:r w:rsidRPr="00C33061">
        <w:rPr>
          <w:rStyle w:val="ac"/>
          <w:sz w:val="18"/>
          <w:szCs w:val="18"/>
        </w:rPr>
        <w:footnoteRef/>
      </w:r>
      <w:r w:rsidRPr="00C33061">
        <w:t xml:space="preserve"> </w:t>
      </w:r>
      <w:r>
        <w:rPr>
          <w:sz w:val="18"/>
          <w:szCs w:val="18"/>
        </w:rPr>
        <w:t>Ε</w:t>
      </w:r>
      <w:r w:rsidRPr="001B1190">
        <w:rPr>
          <w:sz w:val="18"/>
          <w:szCs w:val="18"/>
        </w:rPr>
        <w:t xml:space="preserve">κτιμάται ότι διαχειριστικά είναι πιο λειτουργικό το κεφάλαιο του μέσου χρηματοοικονομικής τεχνικής να προέλθει αποκλειστικά από το </w:t>
      </w:r>
      <w:r>
        <w:rPr>
          <w:sz w:val="18"/>
          <w:szCs w:val="18"/>
        </w:rPr>
        <w:t>ΕΠΑνΕΚ</w:t>
      </w:r>
      <w:r w:rsidRPr="001B1190">
        <w:rPr>
          <w:sz w:val="18"/>
          <w:szCs w:val="18"/>
        </w:rPr>
        <w:t xml:space="preserve"> και οι πόροι των ΠΕΠ να αξιοποιηθούν για την κάλυψη των επιχορηγήσεων των δαπανών.</w:t>
      </w:r>
    </w:p>
  </w:footnote>
  <w:footnote w:id="23">
    <w:p w14:paraId="4E4BE759" w14:textId="77777777" w:rsidR="00A34E5B" w:rsidRPr="001B1190" w:rsidRDefault="00A34E5B" w:rsidP="00F23ADB">
      <w:pPr>
        <w:pStyle w:val="ab"/>
        <w:rPr>
          <w:sz w:val="18"/>
          <w:szCs w:val="18"/>
          <w:lang w:val="en-US"/>
        </w:rPr>
      </w:pPr>
      <w:r>
        <w:rPr>
          <w:rStyle w:val="ac"/>
        </w:rPr>
        <w:footnoteRef/>
      </w:r>
      <w:r w:rsidRPr="00866E6D">
        <w:rPr>
          <w:lang w:val="en-US"/>
        </w:rPr>
        <w:t xml:space="preserve"> </w:t>
      </w:r>
      <w:r w:rsidRPr="001B1190">
        <w:rPr>
          <w:sz w:val="18"/>
          <w:szCs w:val="18"/>
          <w:lang w:val="en-US"/>
        </w:rPr>
        <w:t>Ex– ante assessment methodology for financial instruments in the 2014-2020 programming period, General methodology covering all thematic objectives, Volume I (</w:t>
      </w:r>
      <w:r w:rsidRPr="001B1190">
        <w:rPr>
          <w:sz w:val="18"/>
          <w:szCs w:val="18"/>
        </w:rPr>
        <w:t>σελίδα</w:t>
      </w:r>
      <w:r w:rsidRPr="001B1190">
        <w:rPr>
          <w:sz w:val="18"/>
          <w:szCs w:val="18"/>
          <w:lang w:val="en-US"/>
        </w:rPr>
        <w:t xml:space="preserve"> 48)</w:t>
      </w:r>
    </w:p>
  </w:footnote>
  <w:footnote w:id="24">
    <w:p w14:paraId="50F7219D" w14:textId="77777777" w:rsidR="00A34E5B" w:rsidRPr="00713538" w:rsidRDefault="00A34E5B" w:rsidP="00F23ADB">
      <w:pPr>
        <w:pStyle w:val="ab"/>
        <w:rPr>
          <w:sz w:val="18"/>
          <w:szCs w:val="18"/>
          <w:lang w:val="en-US"/>
        </w:rPr>
      </w:pPr>
      <w:r w:rsidRPr="00713538">
        <w:rPr>
          <w:rStyle w:val="ac"/>
          <w:sz w:val="18"/>
          <w:szCs w:val="18"/>
        </w:rPr>
        <w:footnoteRef/>
      </w:r>
      <w:r w:rsidRPr="00713538">
        <w:rPr>
          <w:sz w:val="18"/>
          <w:szCs w:val="18"/>
          <w:lang w:val="en-US"/>
        </w:rPr>
        <w:t xml:space="preserve"> Ex–ante assessment methodology for financial instruments in the 2014 – 2020 programming period, Supporting the shift towards low–carbon economy (Thematic objective 4), </w:t>
      </w:r>
      <w:r w:rsidRPr="00713538">
        <w:rPr>
          <w:i/>
          <w:iCs/>
          <w:sz w:val="18"/>
          <w:szCs w:val="18"/>
          <w:lang w:val="en-US"/>
        </w:rPr>
        <w:t xml:space="preserve">Version 1.0 May 2014. </w:t>
      </w:r>
      <w:r w:rsidRPr="00713538">
        <w:rPr>
          <w:sz w:val="18"/>
          <w:szCs w:val="18"/>
          <w:lang w:val="en-US"/>
        </w:rPr>
        <w:t xml:space="preserve"> </w:t>
      </w:r>
    </w:p>
  </w:footnote>
  <w:footnote w:id="25">
    <w:p w14:paraId="33D16D89" w14:textId="77777777" w:rsidR="00A34E5B" w:rsidRPr="00713538" w:rsidRDefault="00A34E5B" w:rsidP="00F23ADB">
      <w:pPr>
        <w:pStyle w:val="ab"/>
        <w:rPr>
          <w:sz w:val="18"/>
          <w:szCs w:val="18"/>
          <w:lang w:val="en-US"/>
        </w:rPr>
      </w:pPr>
      <w:r w:rsidRPr="00713538">
        <w:rPr>
          <w:rStyle w:val="ac"/>
          <w:sz w:val="18"/>
          <w:szCs w:val="18"/>
        </w:rPr>
        <w:footnoteRef/>
      </w:r>
      <w:r w:rsidRPr="00713538">
        <w:rPr>
          <w:sz w:val="18"/>
          <w:szCs w:val="18"/>
          <w:lang w:val="en-US"/>
        </w:rPr>
        <w:t xml:space="preserve"> </w:t>
      </w:r>
      <w:r w:rsidRPr="00713538">
        <w:rPr>
          <w:sz w:val="18"/>
          <w:szCs w:val="18"/>
        </w:rPr>
        <w:t>Βλέπε</w:t>
      </w:r>
      <w:r w:rsidRPr="00713538">
        <w:rPr>
          <w:sz w:val="18"/>
          <w:szCs w:val="18"/>
          <w:lang w:val="en-US"/>
        </w:rPr>
        <w:t xml:space="preserve"> Ex-ante assessment methodology for financial instruments in the 2014-2020 programming period, General methodology covering all thematic objectives, Volume I (</w:t>
      </w:r>
      <w:r w:rsidRPr="00713538">
        <w:rPr>
          <w:sz w:val="18"/>
          <w:szCs w:val="18"/>
        </w:rPr>
        <w:t>σελίδα</w:t>
      </w:r>
      <w:r w:rsidRPr="00713538">
        <w:rPr>
          <w:sz w:val="18"/>
          <w:szCs w:val="18"/>
          <w:lang w:val="en-US"/>
        </w:rPr>
        <w:t xml:space="preserve"> 49). </w:t>
      </w:r>
    </w:p>
  </w:footnote>
  <w:footnote w:id="26">
    <w:p w14:paraId="0463F106" w14:textId="77777777" w:rsidR="00A34E5B" w:rsidRPr="00713538" w:rsidRDefault="00A34E5B" w:rsidP="00F23ADB">
      <w:pPr>
        <w:pStyle w:val="ab"/>
        <w:rPr>
          <w:sz w:val="18"/>
          <w:szCs w:val="18"/>
        </w:rPr>
      </w:pPr>
      <w:r w:rsidRPr="00713538">
        <w:rPr>
          <w:rStyle w:val="ac"/>
          <w:sz w:val="18"/>
          <w:szCs w:val="18"/>
        </w:rPr>
        <w:footnoteRef/>
      </w:r>
      <w:r w:rsidRPr="00713538">
        <w:rPr>
          <w:sz w:val="18"/>
          <w:szCs w:val="18"/>
        </w:rPr>
        <w:t xml:space="preserve"> Το ποσό προκύπτει από ανάλυση των στοιχείων </w:t>
      </w:r>
      <w:r>
        <w:rPr>
          <w:sz w:val="18"/>
          <w:szCs w:val="18"/>
        </w:rPr>
        <w:t>του Α Κύκλου του Προγράμματος</w:t>
      </w:r>
      <w:r w:rsidRPr="00713538">
        <w:rPr>
          <w:sz w:val="18"/>
          <w:szCs w:val="18"/>
        </w:rPr>
        <w:t xml:space="preserve"> «Εξοικονόμηση </w:t>
      </w:r>
      <w:proofErr w:type="spellStart"/>
      <w:r w:rsidRPr="00713538">
        <w:rPr>
          <w:sz w:val="18"/>
          <w:szCs w:val="18"/>
        </w:rPr>
        <w:t>κατ΄οίκον</w:t>
      </w:r>
      <w:proofErr w:type="spellEnd"/>
      <w:r>
        <w:rPr>
          <w:sz w:val="18"/>
          <w:szCs w:val="18"/>
        </w:rPr>
        <w:t xml:space="preserve"> ΙΙ</w:t>
      </w:r>
      <w:r w:rsidRPr="00713538">
        <w:rPr>
          <w:sz w:val="18"/>
          <w:szCs w:val="18"/>
        </w:rPr>
        <w:t>» που υλοποιήθηκε την χρονική περίοδο 20</w:t>
      </w:r>
      <w:r>
        <w:rPr>
          <w:sz w:val="18"/>
          <w:szCs w:val="18"/>
        </w:rPr>
        <w:t>14</w:t>
      </w:r>
      <w:r w:rsidRPr="00713538">
        <w:rPr>
          <w:sz w:val="18"/>
          <w:szCs w:val="18"/>
        </w:rPr>
        <w:t>-20</w:t>
      </w:r>
      <w:r>
        <w:rPr>
          <w:sz w:val="18"/>
          <w:szCs w:val="18"/>
        </w:rPr>
        <w:t>20</w:t>
      </w:r>
      <w:r w:rsidRPr="00713538">
        <w:rPr>
          <w:sz w:val="18"/>
          <w:szCs w:val="18"/>
        </w:rPr>
        <w:t>, και αποτελεί το μέσο προϋπολογισμό των παρεμβάσεων.</w:t>
      </w:r>
    </w:p>
  </w:footnote>
  <w:footnote w:id="27">
    <w:p w14:paraId="092214E7" w14:textId="77777777" w:rsidR="00A34E5B" w:rsidRDefault="00A34E5B" w:rsidP="00F23ADB">
      <w:pPr>
        <w:pStyle w:val="ab"/>
      </w:pPr>
      <w:r>
        <w:rPr>
          <w:rStyle w:val="ac"/>
        </w:rPr>
        <w:footnoteRef/>
      </w:r>
      <w:r>
        <w:t xml:space="preserve"> Στοιχεία που λήφθηκαν τον Φεβρουάριο 2020 από Εθνική κ </w:t>
      </w:r>
      <w:proofErr w:type="spellStart"/>
      <w:r>
        <w:rPr>
          <w:lang w:val="en-US"/>
        </w:rPr>
        <w:t>Eurobank</w:t>
      </w:r>
      <w:proofErr w:type="spellEnd"/>
      <w:r>
        <w:t xml:space="preserve"> που αντιστοιχούν περίπου στο 40% του συνόλου των αιτήσεων δανείου..</w:t>
      </w:r>
    </w:p>
  </w:footnote>
  <w:footnote w:id="28">
    <w:p w14:paraId="7B888B5A" w14:textId="77777777" w:rsidR="00A34E5B" w:rsidRPr="00DC12D0" w:rsidRDefault="00A34E5B" w:rsidP="00F23ADB">
      <w:pPr>
        <w:pStyle w:val="af"/>
      </w:pPr>
      <w:r>
        <w:rPr>
          <w:rStyle w:val="ac"/>
        </w:rPr>
        <w:footnoteRef/>
      </w:r>
      <w:r>
        <w:t xml:space="preserve"> Ο υπολογισμός του κόστους διαχείρισης αναγράφεται στη συμφωνία συγχρηματοδότησης (άρθρο 10) που υπέγραψε η Διαχειριστική Αρχή του ΕΠΑνΕΚ με τον </w:t>
      </w:r>
      <w:r>
        <w:rPr>
          <w:lang w:val="en-US"/>
        </w:rPr>
        <w:t>Fund</w:t>
      </w:r>
      <w:r w:rsidRPr="00DC12D0">
        <w:t xml:space="preserve"> </w:t>
      </w:r>
      <w:r>
        <w:rPr>
          <w:lang w:val="en-US"/>
        </w:rPr>
        <w:t>Manager</w:t>
      </w:r>
      <w:r w:rsidRPr="00DC12D0">
        <w:t xml:space="preserve"> (</w:t>
      </w:r>
      <w:r>
        <w:rPr>
          <w:lang w:val="en-US"/>
        </w:rPr>
        <w:t>ATE</w:t>
      </w:r>
      <w:r w:rsidRPr="00DC12D0">
        <w:t xml:space="preserve"> </w:t>
      </w:r>
      <w:r>
        <w:rPr>
          <w:lang w:val="en-US"/>
        </w:rPr>
        <w:t>A</w:t>
      </w:r>
      <w:r w:rsidRPr="00DC12D0">
        <w:t>.</w:t>
      </w:r>
      <w:r>
        <w:rPr>
          <w:lang w:val="en-US"/>
        </w:rPr>
        <w:t>E</w:t>
      </w:r>
      <w:r w:rsidRPr="00DC12D0">
        <w:t>.)</w:t>
      </w:r>
    </w:p>
  </w:footnote>
  <w:footnote w:id="29">
    <w:p w14:paraId="4056E6B1" w14:textId="77777777" w:rsidR="00A34E5B" w:rsidRPr="00713538" w:rsidRDefault="00A34E5B" w:rsidP="00F23ADB">
      <w:pPr>
        <w:pStyle w:val="ab"/>
        <w:rPr>
          <w:sz w:val="18"/>
          <w:szCs w:val="18"/>
        </w:rPr>
      </w:pPr>
      <w:r w:rsidRPr="00713538">
        <w:rPr>
          <w:rStyle w:val="ac"/>
          <w:sz w:val="18"/>
          <w:szCs w:val="18"/>
        </w:rPr>
        <w:footnoteRef/>
      </w:r>
      <w:r w:rsidRPr="00713538">
        <w:rPr>
          <w:sz w:val="18"/>
          <w:szCs w:val="18"/>
        </w:rPr>
        <w:t xml:space="preserve"> Ετήσια Έκθεση Προόδου Υλοποίησης του Ταμείου «Εξοικονομώ </w:t>
      </w:r>
      <w:proofErr w:type="spellStart"/>
      <w:r w:rsidRPr="00713538">
        <w:rPr>
          <w:sz w:val="18"/>
          <w:szCs w:val="18"/>
        </w:rPr>
        <w:t>κατ΄οίκον</w:t>
      </w:r>
      <w:proofErr w:type="spellEnd"/>
      <w:r w:rsidRPr="00713538">
        <w:rPr>
          <w:sz w:val="18"/>
          <w:szCs w:val="18"/>
        </w:rPr>
        <w:t>», ΕΤΕΑΝ ΑΕ</w:t>
      </w:r>
    </w:p>
  </w:footnote>
  <w:footnote w:id="30">
    <w:p w14:paraId="60DCFCD3" w14:textId="77777777" w:rsidR="00A34E5B" w:rsidRPr="00A66891" w:rsidRDefault="00A34E5B">
      <w:pPr>
        <w:pStyle w:val="ab"/>
        <w:rPr>
          <w:lang w:val="en-US"/>
        </w:rPr>
      </w:pPr>
      <w:r>
        <w:rPr>
          <w:rStyle w:val="ac"/>
        </w:rPr>
        <w:footnoteRef/>
      </w:r>
      <w:r>
        <w:rPr>
          <w:lang w:val="en-US"/>
        </w:rPr>
        <w:t xml:space="preserve"> </w:t>
      </w:r>
      <w:r w:rsidRPr="00A66891">
        <w:rPr>
          <w:sz w:val="16"/>
          <w:szCs w:val="16"/>
          <w:lang w:val="en-US"/>
        </w:rPr>
        <w:t>Check solver</w:t>
      </w:r>
      <w:r>
        <w:rPr>
          <w:sz w:val="16"/>
          <w:szCs w:val="16"/>
          <w:lang w:val="en-US"/>
        </w:rPr>
        <w:t xml:space="preserve"> </w:t>
      </w:r>
    </w:p>
    <w:tbl>
      <w:tblPr>
        <w:tblW w:w="8778" w:type="dxa"/>
        <w:tblInd w:w="-10" w:type="dxa"/>
        <w:tblLook w:val="04A0" w:firstRow="1" w:lastRow="0" w:firstColumn="1" w:lastColumn="0" w:noHBand="0" w:noVBand="1"/>
      </w:tblPr>
      <w:tblGrid>
        <w:gridCol w:w="2546"/>
        <w:gridCol w:w="1140"/>
        <w:gridCol w:w="1282"/>
        <w:gridCol w:w="1308"/>
        <w:gridCol w:w="1234"/>
        <w:gridCol w:w="1268"/>
      </w:tblGrid>
      <w:tr w:rsidR="00A34E5B" w:rsidRPr="006F40D3" w14:paraId="478D3749" w14:textId="77777777" w:rsidTr="00A66891">
        <w:tc>
          <w:tcPr>
            <w:tcW w:w="2546"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14:paraId="18DC1368" w14:textId="77777777" w:rsidR="00A34E5B" w:rsidRPr="006F40D3" w:rsidRDefault="00A34E5B" w:rsidP="00A66891">
            <w:pPr>
              <w:autoSpaceDE/>
              <w:autoSpaceDN/>
              <w:adjustRightInd/>
              <w:spacing w:before="0" w:after="0" w:line="240" w:lineRule="auto"/>
              <w:rPr>
                <w:rFonts w:eastAsia="Times New Roman" w:cs="Times New Roman"/>
                <w:b/>
                <w:bCs/>
                <w:color w:val="000000"/>
                <w:sz w:val="18"/>
                <w:szCs w:val="18"/>
                <w:lang w:eastAsia="el-GR"/>
              </w:rPr>
            </w:pPr>
            <w:proofErr w:type="spellStart"/>
            <w:r w:rsidRPr="006F40D3">
              <w:rPr>
                <w:rFonts w:eastAsia="Times New Roman" w:cs="Times New Roman"/>
                <w:b/>
                <w:bCs/>
                <w:color w:val="000000"/>
                <w:sz w:val="18"/>
                <w:szCs w:val="18"/>
                <w:lang w:eastAsia="el-GR"/>
              </w:rPr>
              <w:t>solver</w:t>
            </w:r>
            <w:proofErr w:type="spellEnd"/>
            <w:r w:rsidRPr="006F40D3">
              <w:rPr>
                <w:rFonts w:eastAsia="Times New Roman" w:cs="Times New Roman"/>
                <w:b/>
                <w:bCs/>
                <w:color w:val="000000"/>
                <w:sz w:val="18"/>
                <w:szCs w:val="18"/>
                <w:lang w:eastAsia="el-GR"/>
              </w:rPr>
              <w:t xml:space="preserve"> (=0)</w:t>
            </w:r>
          </w:p>
        </w:tc>
        <w:tc>
          <w:tcPr>
            <w:tcW w:w="1140" w:type="dxa"/>
            <w:tcBorders>
              <w:top w:val="single" w:sz="8" w:space="0" w:color="auto"/>
              <w:left w:val="single" w:sz="4" w:space="0" w:color="auto"/>
              <w:bottom w:val="single" w:sz="8" w:space="0" w:color="auto"/>
              <w:right w:val="nil"/>
            </w:tcBorders>
            <w:shd w:val="clear" w:color="000000" w:fill="C5D9F1"/>
            <w:noWrap/>
            <w:vAlign w:val="center"/>
            <w:hideMark/>
          </w:tcPr>
          <w:p w14:paraId="4DE12DB5" w14:textId="77777777" w:rsidR="00A34E5B" w:rsidRPr="006F40D3" w:rsidRDefault="00A34E5B" w:rsidP="00A66891">
            <w:pPr>
              <w:autoSpaceDE/>
              <w:autoSpaceDN/>
              <w:adjustRightInd/>
              <w:spacing w:before="0" w:after="0" w:line="240" w:lineRule="auto"/>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 </w:t>
            </w:r>
          </w:p>
        </w:tc>
        <w:tc>
          <w:tcPr>
            <w:tcW w:w="1282"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14:paraId="52A36A0B" w14:textId="77777777" w:rsidR="00A34E5B" w:rsidRPr="006F40D3" w:rsidRDefault="00A34E5B" w:rsidP="00A66891">
            <w:pPr>
              <w:autoSpaceDE/>
              <w:autoSpaceDN/>
              <w:adjustRightInd/>
              <w:spacing w:before="0" w:after="0" w:line="240" w:lineRule="auto"/>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 </w:t>
            </w:r>
          </w:p>
        </w:tc>
        <w:tc>
          <w:tcPr>
            <w:tcW w:w="1308" w:type="dxa"/>
            <w:tcBorders>
              <w:top w:val="single" w:sz="8" w:space="0" w:color="auto"/>
              <w:left w:val="nil"/>
              <w:bottom w:val="single" w:sz="8" w:space="0" w:color="auto"/>
              <w:right w:val="single" w:sz="8" w:space="0" w:color="auto"/>
            </w:tcBorders>
            <w:shd w:val="clear" w:color="000000" w:fill="C5D9F1"/>
            <w:noWrap/>
            <w:vAlign w:val="center"/>
            <w:hideMark/>
          </w:tcPr>
          <w:p w14:paraId="62281A69" w14:textId="77777777" w:rsidR="00A34E5B" w:rsidRPr="006F40D3" w:rsidRDefault="00A34E5B" w:rsidP="00A66891">
            <w:pPr>
              <w:autoSpaceDE/>
              <w:autoSpaceDN/>
              <w:adjustRightInd/>
              <w:spacing w:before="0" w:after="0" w:line="240" w:lineRule="auto"/>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 </w:t>
            </w:r>
          </w:p>
        </w:tc>
        <w:tc>
          <w:tcPr>
            <w:tcW w:w="1234" w:type="dxa"/>
            <w:tcBorders>
              <w:top w:val="single" w:sz="8" w:space="0" w:color="auto"/>
              <w:left w:val="nil"/>
              <w:bottom w:val="single" w:sz="8" w:space="0" w:color="auto"/>
              <w:right w:val="single" w:sz="8" w:space="0" w:color="auto"/>
            </w:tcBorders>
            <w:shd w:val="clear" w:color="000000" w:fill="D9D9D9"/>
            <w:noWrap/>
            <w:vAlign w:val="center"/>
            <w:hideMark/>
          </w:tcPr>
          <w:p w14:paraId="378A15FF" w14:textId="77777777" w:rsidR="00A34E5B" w:rsidRPr="006F40D3" w:rsidRDefault="00A34E5B" w:rsidP="00A66891">
            <w:pPr>
              <w:autoSpaceDE/>
              <w:autoSpaceDN/>
              <w:adjustRightInd/>
              <w:spacing w:before="0" w:after="0" w:line="240" w:lineRule="auto"/>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0</w:t>
            </w:r>
          </w:p>
        </w:tc>
        <w:tc>
          <w:tcPr>
            <w:tcW w:w="1268" w:type="dxa"/>
            <w:tcBorders>
              <w:top w:val="single" w:sz="8" w:space="0" w:color="auto"/>
              <w:left w:val="nil"/>
              <w:bottom w:val="single" w:sz="8" w:space="0" w:color="auto"/>
              <w:right w:val="single" w:sz="8" w:space="0" w:color="auto"/>
            </w:tcBorders>
            <w:shd w:val="clear" w:color="000000" w:fill="C5D9F1"/>
            <w:noWrap/>
            <w:vAlign w:val="center"/>
            <w:hideMark/>
          </w:tcPr>
          <w:p w14:paraId="477AA809" w14:textId="77777777" w:rsidR="00A34E5B" w:rsidRPr="006F40D3" w:rsidRDefault="00A34E5B" w:rsidP="00A66891">
            <w:pPr>
              <w:autoSpaceDE/>
              <w:autoSpaceDN/>
              <w:adjustRightInd/>
              <w:spacing w:before="0" w:after="0" w:line="240" w:lineRule="auto"/>
              <w:rPr>
                <w:rFonts w:eastAsia="Times New Roman" w:cs="Times New Roman"/>
                <w:b/>
                <w:bCs/>
                <w:color w:val="000000"/>
                <w:sz w:val="18"/>
                <w:szCs w:val="18"/>
                <w:lang w:eastAsia="el-GR"/>
              </w:rPr>
            </w:pPr>
            <w:r w:rsidRPr="006F40D3">
              <w:rPr>
                <w:rFonts w:eastAsia="Times New Roman" w:cs="Times New Roman"/>
                <w:b/>
                <w:bCs/>
                <w:color w:val="000000"/>
                <w:sz w:val="18"/>
                <w:szCs w:val="18"/>
                <w:lang w:eastAsia="el-GR"/>
              </w:rPr>
              <w:t> </w:t>
            </w:r>
          </w:p>
        </w:tc>
      </w:tr>
    </w:tbl>
    <w:p w14:paraId="0F8ED971" w14:textId="77777777" w:rsidR="00A34E5B" w:rsidRPr="00A66891" w:rsidRDefault="00A34E5B">
      <w:pPr>
        <w:pStyle w:val="ab"/>
      </w:pPr>
    </w:p>
  </w:footnote>
  <w:footnote w:id="31">
    <w:p w14:paraId="7638896E" w14:textId="77777777" w:rsidR="00A34E5B" w:rsidRPr="003D131D" w:rsidRDefault="00A34E5B" w:rsidP="00F23ADB">
      <w:pPr>
        <w:pStyle w:val="ab"/>
        <w:rPr>
          <w:sz w:val="18"/>
          <w:szCs w:val="18"/>
        </w:rPr>
      </w:pPr>
      <w:r w:rsidRPr="0031602E">
        <w:rPr>
          <w:rStyle w:val="ac"/>
          <w:rFonts w:ascii="Arial" w:hAnsi="Arial"/>
          <w:sz w:val="16"/>
          <w:szCs w:val="16"/>
        </w:rPr>
        <w:footnoteRef/>
      </w:r>
      <w:r w:rsidRPr="0031602E">
        <w:t xml:space="preserve"> </w:t>
      </w:r>
      <w:r w:rsidRPr="003D131D">
        <w:rPr>
          <w:sz w:val="18"/>
          <w:szCs w:val="18"/>
        </w:rPr>
        <w:t xml:space="preserve">Η </w:t>
      </w:r>
      <w:r>
        <w:rPr>
          <w:sz w:val="18"/>
          <w:szCs w:val="18"/>
        </w:rPr>
        <w:t xml:space="preserve">αναθεώρηση της </w:t>
      </w:r>
      <w:r w:rsidRPr="003D131D">
        <w:rPr>
          <w:sz w:val="18"/>
          <w:szCs w:val="18"/>
          <w:lang w:val="en-US"/>
        </w:rPr>
        <w:t>ex</w:t>
      </w:r>
      <w:r w:rsidRPr="003D131D">
        <w:rPr>
          <w:sz w:val="18"/>
          <w:szCs w:val="18"/>
        </w:rPr>
        <w:t xml:space="preserve"> </w:t>
      </w:r>
      <w:r w:rsidRPr="003D131D">
        <w:rPr>
          <w:sz w:val="18"/>
          <w:szCs w:val="18"/>
          <w:lang w:val="en-US"/>
        </w:rPr>
        <w:t>ante</w:t>
      </w:r>
      <w:r w:rsidRPr="003D131D">
        <w:rPr>
          <w:sz w:val="18"/>
          <w:szCs w:val="18"/>
        </w:rPr>
        <w:t xml:space="preserve"> αξιολόγηση</w:t>
      </w:r>
      <w:r>
        <w:rPr>
          <w:sz w:val="18"/>
          <w:szCs w:val="18"/>
        </w:rPr>
        <w:t>ς</w:t>
      </w:r>
      <w:r w:rsidRPr="003D131D">
        <w:rPr>
          <w:sz w:val="18"/>
          <w:szCs w:val="18"/>
        </w:rPr>
        <w:t xml:space="preserve"> συνοδεύεται από το αρχείο </w:t>
      </w:r>
      <w:r w:rsidRPr="003D131D">
        <w:rPr>
          <w:sz w:val="18"/>
          <w:szCs w:val="18"/>
          <w:lang w:val="en-US"/>
        </w:rPr>
        <w:t>excel</w:t>
      </w:r>
      <w:r w:rsidRPr="003D131D">
        <w:rPr>
          <w:sz w:val="18"/>
          <w:szCs w:val="18"/>
        </w:rPr>
        <w:t xml:space="preserve"> «Υποστηρικτικό υλικό» με τη βοήθεια του οποίου έχουν προκύψει τα αποτελέσματα</w:t>
      </w:r>
      <w:r>
        <w:rPr>
          <w:sz w:val="18"/>
          <w:szCs w:val="18"/>
        </w:rPr>
        <w:t xml:space="preserve"> με τη χρήση και του εργαλείου </w:t>
      </w:r>
      <w:r>
        <w:rPr>
          <w:sz w:val="18"/>
          <w:szCs w:val="18"/>
          <w:lang w:val="en-US"/>
        </w:rPr>
        <w:t>solver</w:t>
      </w:r>
      <w:r w:rsidRPr="003D131D">
        <w:rPr>
          <w:sz w:val="18"/>
          <w:szCs w:val="18"/>
        </w:rPr>
        <w:t>.</w:t>
      </w:r>
    </w:p>
  </w:footnote>
  <w:footnote w:id="32">
    <w:p w14:paraId="71FD48CE" w14:textId="77777777" w:rsidR="00A34E5B" w:rsidRPr="00B878D3" w:rsidRDefault="00A34E5B" w:rsidP="00F23ADB">
      <w:pPr>
        <w:pStyle w:val="ab"/>
        <w:rPr>
          <w:sz w:val="18"/>
          <w:szCs w:val="18"/>
        </w:rPr>
      </w:pPr>
      <w:r w:rsidRPr="00B878D3">
        <w:rPr>
          <w:rStyle w:val="ac"/>
          <w:sz w:val="18"/>
          <w:szCs w:val="18"/>
        </w:rPr>
        <w:footnoteRef/>
      </w:r>
      <w:r w:rsidRPr="00B878D3">
        <w:rPr>
          <w:sz w:val="18"/>
          <w:szCs w:val="18"/>
        </w:rPr>
        <w:t xml:space="preserve"> Οι τιμές για τα πεδία «Ποσοστό κατοικιών με αναβάθμιση μίας ενεργειακής κατηγορίας», «Ποσοστό μείωσης της ετήσιας κατανάλωσης πρωτογενούς ενέργειας» και «Αριθμός κατοικιών που αναβαθμίστηκαν» για το υφιστάμενο ταμείο «εξοικονομώ </w:t>
      </w:r>
      <w:proofErr w:type="spellStart"/>
      <w:r w:rsidRPr="00B878D3">
        <w:rPr>
          <w:sz w:val="18"/>
          <w:szCs w:val="18"/>
        </w:rPr>
        <w:t>κατ΄οίκον</w:t>
      </w:r>
      <w:proofErr w:type="spellEnd"/>
      <w:r w:rsidRPr="00B878D3">
        <w:rPr>
          <w:sz w:val="18"/>
          <w:szCs w:val="18"/>
        </w:rPr>
        <w:t>», προέρχονται από την ετήσια έκθεση προόδου της ΕΤΕΑΝ ΑΕ για το 2015.</w:t>
      </w:r>
    </w:p>
  </w:footnote>
  <w:footnote w:id="33">
    <w:p w14:paraId="1CDEECD1" w14:textId="77777777" w:rsidR="00A34E5B" w:rsidRPr="003D131D" w:rsidRDefault="00A34E5B" w:rsidP="00F23ADB">
      <w:pPr>
        <w:pStyle w:val="ab"/>
        <w:rPr>
          <w:sz w:val="18"/>
          <w:szCs w:val="18"/>
        </w:rPr>
      </w:pPr>
      <w:r w:rsidRPr="00565EE6">
        <w:rPr>
          <w:rStyle w:val="ac"/>
          <w:rFonts w:ascii="Arial" w:hAnsi="Arial"/>
          <w:sz w:val="16"/>
          <w:szCs w:val="16"/>
        </w:rPr>
        <w:footnoteRef/>
      </w:r>
      <w:r w:rsidRPr="00565EE6">
        <w:t xml:space="preserve"> </w:t>
      </w:r>
      <w:r w:rsidRPr="003D131D">
        <w:rPr>
          <w:sz w:val="18"/>
          <w:szCs w:val="18"/>
        </w:rPr>
        <w:t xml:space="preserve">Όπως διευκρινίζεται στο </w:t>
      </w:r>
      <w:r>
        <w:rPr>
          <w:sz w:val="18"/>
          <w:szCs w:val="18"/>
        </w:rPr>
        <w:t>ΕΠΑΝΕΚ</w:t>
      </w:r>
      <w:r w:rsidRPr="003D131D">
        <w:rPr>
          <w:sz w:val="18"/>
          <w:szCs w:val="18"/>
        </w:rPr>
        <w:t xml:space="preserve"> «Βασικά κριτήρια που θα ληφθούν υπόψη είναι το χαμηλό εισόδημα ιδιοκτήτη ή παρεμβάσεις που ξεπερνούν τα ελάχιστα απαιτούμενα επίπεδα ενεργειακής απόδοσης.</w:t>
      </w:r>
    </w:p>
  </w:footnote>
  <w:footnote w:id="34">
    <w:p w14:paraId="2F2FC9A5" w14:textId="77777777" w:rsidR="00A34E5B" w:rsidRPr="00216D90" w:rsidRDefault="00A34E5B" w:rsidP="00F23ADB">
      <w:r w:rsidRPr="00216D90">
        <w:rPr>
          <w:rStyle w:val="ac"/>
          <w:rFonts w:ascii="Arial" w:hAnsi="Arial"/>
          <w:sz w:val="16"/>
          <w:szCs w:val="16"/>
        </w:rPr>
        <w:footnoteRef/>
      </w:r>
      <w:r w:rsidRPr="00216D90">
        <w:t xml:space="preserve"> </w:t>
      </w:r>
      <w:r w:rsidRPr="003D131D">
        <w:rPr>
          <w:sz w:val="18"/>
          <w:szCs w:val="18"/>
        </w:rPr>
        <w:t>Κανονισμός (</w:t>
      </w:r>
      <w:r>
        <w:rPr>
          <w:sz w:val="18"/>
          <w:szCs w:val="18"/>
        </w:rPr>
        <w:t>Ε.Ε.</w:t>
      </w:r>
      <w:r w:rsidRPr="003D131D">
        <w:rPr>
          <w:sz w:val="18"/>
          <w:szCs w:val="18"/>
        </w:rPr>
        <w:t>) αριθ. 651/2014  «για την κήρυξη ορισμένων κατηγοριών ενισχύσεων ως συμβατών με την εσωτερική αγορά κατ' εφαρμογή των άρθρων 107 και 108 της Συνθήκης»</w:t>
      </w:r>
    </w:p>
  </w:footnote>
  <w:footnote w:id="35">
    <w:p w14:paraId="57578FDD" w14:textId="77777777" w:rsidR="00A34E5B" w:rsidRPr="00B878D3" w:rsidRDefault="00A34E5B" w:rsidP="00F23ADB">
      <w:pPr>
        <w:pStyle w:val="ab"/>
        <w:rPr>
          <w:sz w:val="18"/>
          <w:szCs w:val="18"/>
        </w:rPr>
      </w:pPr>
      <w:r w:rsidRPr="00B878D3">
        <w:rPr>
          <w:rStyle w:val="ac"/>
          <w:sz w:val="18"/>
          <w:szCs w:val="18"/>
        </w:rPr>
        <w:footnoteRef/>
      </w:r>
      <w:r w:rsidRPr="00B878D3">
        <w:rPr>
          <w:sz w:val="18"/>
          <w:szCs w:val="18"/>
        </w:rPr>
        <w:t xml:space="preserve"> Οδηγία 2014/24/</w:t>
      </w:r>
      <w:r>
        <w:rPr>
          <w:sz w:val="18"/>
          <w:szCs w:val="18"/>
        </w:rPr>
        <w:t>Ε.Ε.</w:t>
      </w:r>
      <w:r w:rsidRPr="00B878D3">
        <w:rPr>
          <w:sz w:val="18"/>
          <w:szCs w:val="18"/>
        </w:rPr>
        <w:t xml:space="preserve"> «σχετικά με τις δημόσιες προμήθειες και την κατάργηση της οδηγίας 2004/18/ΕΚ</w:t>
      </w:r>
    </w:p>
  </w:footnote>
  <w:footnote w:id="36">
    <w:p w14:paraId="5536F1B8" w14:textId="77777777" w:rsidR="00A34E5B" w:rsidRPr="00480379" w:rsidRDefault="00A34E5B" w:rsidP="00F23ADB">
      <w:pPr>
        <w:pStyle w:val="ab"/>
        <w:rPr>
          <w:lang w:val="en-US"/>
        </w:rPr>
      </w:pPr>
      <w:r>
        <w:rPr>
          <w:rStyle w:val="ac"/>
        </w:rPr>
        <w:footnoteRef/>
      </w:r>
      <w:r w:rsidRPr="00480379">
        <w:rPr>
          <w:lang w:val="en-US"/>
        </w:rPr>
        <w:t xml:space="preserve"> </w:t>
      </w:r>
      <w:r w:rsidRPr="00480379">
        <w:t>σχετικό</w:t>
      </w:r>
      <w:r w:rsidRPr="00480379">
        <w:rPr>
          <w:lang w:val="en-US"/>
        </w:rPr>
        <w:t xml:space="preserve"> </w:t>
      </w:r>
      <w:r w:rsidRPr="00480379">
        <w:t>έγγραφο</w:t>
      </w:r>
      <w:r w:rsidRPr="00480379">
        <w:rPr>
          <w:lang w:val="en-US"/>
        </w:rPr>
        <w:t xml:space="preserve"> «Commission Notice on the notion of State aid as referred to in Article 107(1) TFEU» </w:t>
      </w:r>
      <w:r w:rsidRPr="00480379">
        <w:t>που</w:t>
      </w:r>
      <w:r w:rsidRPr="00480379">
        <w:rPr>
          <w:lang w:val="en-US"/>
        </w:rPr>
        <w:t xml:space="preserve"> </w:t>
      </w:r>
      <w:r w:rsidRPr="00480379">
        <w:t>αναλύουν</w:t>
      </w:r>
      <w:r w:rsidRPr="00480379">
        <w:rPr>
          <w:lang w:val="en-US"/>
        </w:rPr>
        <w:t xml:space="preserve"> </w:t>
      </w:r>
      <w:r w:rsidRPr="00480379">
        <w:t>τον</w:t>
      </w:r>
      <w:r w:rsidRPr="00480379">
        <w:rPr>
          <w:lang w:val="en-US"/>
        </w:rPr>
        <w:t xml:space="preserve"> </w:t>
      </w:r>
      <w:r w:rsidRPr="00480379">
        <w:t>όρο</w:t>
      </w:r>
      <w:r w:rsidRPr="00480379">
        <w:rPr>
          <w:lang w:val="en-US"/>
        </w:rPr>
        <w:t xml:space="preserve"> «</w:t>
      </w:r>
      <w:r w:rsidRPr="00480379">
        <w:t>οικονομική</w:t>
      </w:r>
      <w:r w:rsidRPr="00480379">
        <w:rPr>
          <w:lang w:val="en-US"/>
        </w:rPr>
        <w:t xml:space="preserve"> </w:t>
      </w:r>
      <w:r w:rsidRPr="00480379">
        <w:t>δραστηριότητα</w:t>
      </w:r>
      <w:r w:rsidRPr="00480379">
        <w:rPr>
          <w:lang w:val="en-US"/>
        </w:rPr>
        <w:t>».</w:t>
      </w:r>
    </w:p>
  </w:footnote>
  <w:footnote w:id="37">
    <w:p w14:paraId="37E3F0EB" w14:textId="77777777" w:rsidR="00A34E5B" w:rsidRPr="002A20AA" w:rsidRDefault="00A34E5B" w:rsidP="00F23ADB">
      <w:pPr>
        <w:pStyle w:val="ab"/>
        <w:rPr>
          <w:sz w:val="18"/>
          <w:szCs w:val="18"/>
        </w:rPr>
      </w:pPr>
      <w:r w:rsidRPr="00B878D3">
        <w:rPr>
          <w:rStyle w:val="ac"/>
          <w:sz w:val="18"/>
          <w:szCs w:val="18"/>
        </w:rPr>
        <w:footnoteRef/>
      </w:r>
      <w:r w:rsidRPr="002A20AA">
        <w:rPr>
          <w:sz w:val="18"/>
          <w:szCs w:val="18"/>
        </w:rPr>
        <w:t xml:space="preserve"> </w:t>
      </w:r>
      <w:r w:rsidRPr="00B878D3">
        <w:rPr>
          <w:sz w:val="18"/>
          <w:szCs w:val="18"/>
        </w:rPr>
        <w:t>Ανακοίνωση</w:t>
      </w:r>
      <w:r w:rsidRPr="002A20AA">
        <w:rPr>
          <w:sz w:val="18"/>
          <w:szCs w:val="18"/>
        </w:rPr>
        <w:t xml:space="preserve"> </w:t>
      </w:r>
      <w:r w:rsidRPr="00B878D3">
        <w:rPr>
          <w:sz w:val="18"/>
          <w:szCs w:val="18"/>
        </w:rPr>
        <w:t>Ε</w:t>
      </w:r>
      <w:r w:rsidRPr="002A20AA">
        <w:rPr>
          <w:sz w:val="18"/>
          <w:szCs w:val="18"/>
        </w:rPr>
        <w:t>.</w:t>
      </w:r>
      <w:r w:rsidRPr="00B878D3">
        <w:rPr>
          <w:sz w:val="18"/>
          <w:szCs w:val="18"/>
        </w:rPr>
        <w:t>Ε</w:t>
      </w:r>
      <w:r w:rsidRPr="002A20AA">
        <w:rPr>
          <w:sz w:val="18"/>
          <w:szCs w:val="18"/>
        </w:rPr>
        <w:t>. (2008/</w:t>
      </w:r>
      <w:r w:rsidRPr="00B878D3">
        <w:rPr>
          <w:sz w:val="18"/>
          <w:szCs w:val="18"/>
          <w:lang w:val="en-US"/>
        </w:rPr>
        <w:t>C</w:t>
      </w:r>
      <w:r w:rsidRPr="002A20AA">
        <w:rPr>
          <w:sz w:val="18"/>
          <w:szCs w:val="18"/>
        </w:rPr>
        <w:t>14/02)</w:t>
      </w:r>
    </w:p>
  </w:footnote>
  <w:footnote w:id="38">
    <w:p w14:paraId="3E9E2F61" w14:textId="77777777" w:rsidR="00A34E5B" w:rsidRPr="00561C32" w:rsidRDefault="00A34E5B" w:rsidP="00F23ADB">
      <w:pPr>
        <w:pStyle w:val="ab"/>
        <w:rPr>
          <w:sz w:val="18"/>
          <w:szCs w:val="18"/>
          <w:lang w:val="en-US"/>
        </w:rPr>
      </w:pPr>
      <w:r>
        <w:rPr>
          <w:rStyle w:val="ac"/>
        </w:rPr>
        <w:footnoteRef/>
      </w:r>
      <w:r w:rsidRPr="005E1480">
        <w:t xml:space="preserve"> </w:t>
      </w:r>
      <w:r w:rsidRPr="00561C32">
        <w:rPr>
          <w:sz w:val="18"/>
          <w:szCs w:val="18"/>
        </w:rPr>
        <w:t xml:space="preserve">Σημειώνεται πως στην ετήσια έκθεση της </w:t>
      </w:r>
      <w:r>
        <w:rPr>
          <w:sz w:val="18"/>
          <w:szCs w:val="18"/>
        </w:rPr>
        <w:t>Ε.Ε.</w:t>
      </w:r>
      <w:r w:rsidRPr="00561C32">
        <w:rPr>
          <w:sz w:val="18"/>
          <w:szCs w:val="18"/>
        </w:rPr>
        <w:t xml:space="preserve"> για τα </w:t>
      </w:r>
      <w:r w:rsidRPr="001E5965">
        <w:rPr>
          <w:sz w:val="18"/>
          <w:szCs w:val="18"/>
        </w:rPr>
        <w:t>Χρηματοοικονομικού Εργαλείου (FI)</w:t>
      </w:r>
      <w:r w:rsidRPr="00561C32">
        <w:rPr>
          <w:sz w:val="18"/>
          <w:szCs w:val="18"/>
        </w:rPr>
        <w:t xml:space="preserve"> δεν παρέχεται πληροφόρηση για τη </w:t>
      </w:r>
      <w:proofErr w:type="spellStart"/>
      <w:r w:rsidRPr="00561C32">
        <w:rPr>
          <w:sz w:val="18"/>
          <w:szCs w:val="18"/>
        </w:rPr>
        <w:t>μόχλευση</w:t>
      </w:r>
      <w:proofErr w:type="spellEnd"/>
      <w:r w:rsidRPr="00561C32">
        <w:rPr>
          <w:sz w:val="18"/>
          <w:szCs w:val="18"/>
        </w:rPr>
        <w:t xml:space="preserve"> των μέσων στα κράτη μέλη . </w:t>
      </w:r>
      <w:r w:rsidRPr="00561C32">
        <w:rPr>
          <w:sz w:val="18"/>
          <w:szCs w:val="18"/>
          <w:lang w:val="en-US"/>
        </w:rPr>
        <w:t>Summary of data on the progress made in financing and implementing financial engineering instruments reported by the managing authorities in accordance with article 67 (2)(j) of council regulation (EC) No 1083/2006.</w:t>
      </w:r>
    </w:p>
  </w:footnote>
  <w:footnote w:id="39">
    <w:p w14:paraId="558C6511" w14:textId="77777777" w:rsidR="00A34E5B" w:rsidRDefault="00A34E5B">
      <w:pPr>
        <w:pStyle w:val="ab"/>
      </w:pPr>
      <w:r>
        <w:rPr>
          <w:rStyle w:val="ac"/>
        </w:rPr>
        <w:footnoteRef/>
      </w:r>
      <w:r>
        <w:t xml:space="preserve"> Εξειδίκευση </w:t>
      </w:r>
      <w:r w:rsidRPr="00CF199F">
        <w:t>Δράση</w:t>
      </w:r>
      <w:r>
        <w:t>ς</w:t>
      </w:r>
      <w:r w:rsidRPr="00CF199F">
        <w:t xml:space="preserve"> 03-4c-3.4-01: Ενεργειακή αναβάθμιση κατοικιών</w:t>
      </w:r>
      <w:r>
        <w:t xml:space="preserve">: </w:t>
      </w:r>
      <w:r w:rsidRPr="00CF199F">
        <w:t>Συνολική δημόσια δαπάνη (από ΕΠΑνΕΚ): 602.358.774,30€.</w:t>
      </w:r>
    </w:p>
  </w:footnote>
  <w:footnote w:id="40">
    <w:p w14:paraId="060E2C4C" w14:textId="77777777" w:rsidR="00A34E5B" w:rsidRDefault="00A34E5B">
      <w:pPr>
        <w:pStyle w:val="ab"/>
      </w:pPr>
      <w:r>
        <w:rPr>
          <w:rStyle w:val="ac"/>
        </w:rPr>
        <w:footnoteRef/>
      </w:r>
      <w:r>
        <w:t xml:space="preserve"> ΥΑ 53327/17.05.2018 για έγκριση εντάξεων στο ΕΠΑνΕΚ για τους άξονες 03 &amp; 03Σ έως 155,44% του προϋπολογισμού τους</w:t>
      </w:r>
    </w:p>
  </w:footnote>
  <w:footnote w:id="41">
    <w:p w14:paraId="68C62165" w14:textId="77777777" w:rsidR="00A34E5B" w:rsidRPr="006766F3" w:rsidRDefault="00A34E5B">
      <w:pPr>
        <w:pStyle w:val="ab"/>
        <w:rPr>
          <w:sz w:val="16"/>
          <w:szCs w:val="16"/>
        </w:rPr>
      </w:pPr>
      <w:r>
        <w:rPr>
          <w:rStyle w:val="ac"/>
        </w:rPr>
        <w:footnoteRef/>
      </w:r>
      <w:r>
        <w:t xml:space="preserve"> </w:t>
      </w:r>
      <w:r w:rsidRPr="006766F3">
        <w:rPr>
          <w:sz w:val="16"/>
          <w:szCs w:val="16"/>
        </w:rPr>
        <w:t xml:space="preserve">Οι Εταιρίες Ενεργειακών Υπηρεσιών (ΕΕΥ) ή Energy </w:t>
      </w:r>
      <w:proofErr w:type="spellStart"/>
      <w:r w:rsidRPr="006766F3">
        <w:rPr>
          <w:sz w:val="16"/>
          <w:szCs w:val="16"/>
        </w:rPr>
        <w:t>Service</w:t>
      </w:r>
      <w:proofErr w:type="spellEnd"/>
      <w:r w:rsidRPr="006766F3">
        <w:rPr>
          <w:sz w:val="16"/>
          <w:szCs w:val="16"/>
        </w:rPr>
        <w:t xml:space="preserve"> Companies (ESCO) σχεδιάζουν, υλοποιούν και συντηρούν έργα ενεργειακής αναβάθμισης και εγγυώνται </w:t>
      </w:r>
      <w:proofErr w:type="spellStart"/>
      <w:r w:rsidRPr="006766F3">
        <w:rPr>
          <w:sz w:val="16"/>
          <w:szCs w:val="16"/>
        </w:rPr>
        <w:t>τo</w:t>
      </w:r>
      <w:proofErr w:type="spellEnd"/>
      <w:r w:rsidRPr="006766F3">
        <w:rPr>
          <w:sz w:val="16"/>
          <w:szCs w:val="16"/>
        </w:rPr>
        <w:t xml:space="preserve"> αποτέλεσμα (οικονομικό όφελος).  Συντάσσουν και υπογράφουν την Σύμβαση Ενεργειακής Απόδοσης (ΣΕΑ), η οποία χρησιμοποιείται ως εργαλείο χρηματοδότησης ενεργειακών έργων και είναι συνήθως</w:t>
      </w:r>
      <w:r>
        <w:t xml:space="preserve"> </w:t>
      </w:r>
      <w:r w:rsidRPr="006766F3">
        <w:rPr>
          <w:sz w:val="16"/>
          <w:szCs w:val="16"/>
        </w:rPr>
        <w:t>τριγωνικής διάταξης</w:t>
      </w:r>
      <w:r>
        <w:t xml:space="preserve"> </w:t>
      </w:r>
      <w:r w:rsidRPr="006766F3">
        <w:rPr>
          <w:sz w:val="16"/>
          <w:szCs w:val="16"/>
        </w:rPr>
        <w:t>(εργοδότης-εταιρία ενεργειακών υπηρεσιών-τράπεζα). Το κόστος υλοποίησης του έργου αναλαμβάνει συνήθως το χρηματοπιστωτικό ίδρυμα έναντι μέρους ή του συνόλου του οφέλους που προκύπτει από την ενεργειακή αναβάθμιση για μια σειρά ετών.  Μετά το πέρας της σύμβασης (ΣΕΑ) το έργο παραδίδεται στον εργοδότη.  Η εταιρία ESCO σχεδιάζει, υλοποιεί και συντηρεί το έργο,  εγγυάται το οικονομικό του αποτέλεσμα- όφελος και την ορθή λειτουργία των συστημάτων προς εξασφάλιση του χρηματοδότη.</w:t>
      </w:r>
    </w:p>
  </w:footnote>
  <w:footnote w:id="42">
    <w:p w14:paraId="13FC0BF7" w14:textId="77777777" w:rsidR="00A34E5B" w:rsidRPr="003D131D" w:rsidRDefault="00A34E5B" w:rsidP="00277CF4">
      <w:pPr>
        <w:pStyle w:val="ab"/>
        <w:rPr>
          <w:sz w:val="18"/>
          <w:szCs w:val="18"/>
        </w:rPr>
      </w:pPr>
      <w:r w:rsidRPr="006766F3">
        <w:rPr>
          <w:rStyle w:val="ac"/>
          <w:sz w:val="16"/>
          <w:szCs w:val="16"/>
        </w:rPr>
        <w:footnoteRef/>
      </w:r>
      <w:r w:rsidRPr="006766F3">
        <w:rPr>
          <w:sz w:val="16"/>
          <w:szCs w:val="16"/>
        </w:rPr>
        <w:t xml:space="preserve"> Κανονισμός διαχειριστή πολυκατοικίας Ν3741/1929, δεν ορίζει διακριτή νομικό οντότητα</w:t>
      </w:r>
    </w:p>
  </w:footnote>
  <w:footnote w:id="43">
    <w:p w14:paraId="4763C844" w14:textId="77777777" w:rsidR="00A34E5B" w:rsidRPr="00BE63FA" w:rsidRDefault="00A34E5B">
      <w:pPr>
        <w:pStyle w:val="ab"/>
      </w:pPr>
      <w:r>
        <w:rPr>
          <w:rStyle w:val="ac"/>
        </w:rPr>
        <w:footnoteRef/>
      </w:r>
      <w:r w:rsidRPr="00BE63FA">
        <w:t xml:space="preserve"> </w:t>
      </w:r>
      <w:r w:rsidRPr="00BE63FA">
        <w:rPr>
          <w:sz w:val="16"/>
          <w:szCs w:val="16"/>
        </w:rPr>
        <w:t xml:space="preserve">Ο Α’ Κύκλος </w:t>
      </w:r>
      <w:r>
        <w:rPr>
          <w:sz w:val="16"/>
          <w:szCs w:val="16"/>
        </w:rPr>
        <w:t>είχε</w:t>
      </w:r>
      <w:r w:rsidRPr="00BE63FA">
        <w:rPr>
          <w:sz w:val="16"/>
          <w:szCs w:val="16"/>
        </w:rPr>
        <w:t xml:space="preserve"> 42.646 προτάσεις  </w:t>
      </w:r>
      <w:r>
        <w:rPr>
          <w:sz w:val="16"/>
          <w:szCs w:val="16"/>
        </w:rPr>
        <w:t xml:space="preserve">και ο Β’ είχε </w:t>
      </w:r>
      <w:r w:rsidRPr="00BE63FA">
        <w:rPr>
          <w:sz w:val="16"/>
          <w:szCs w:val="16"/>
        </w:rPr>
        <w:t>22.853 προτάσεις. Το ποσοστό κατοικιών με δάνειο και επιχορήγηση ανέρχεται σε 44,25% στον Α’ Κύκλο</w:t>
      </w:r>
      <w:r w:rsidRPr="00BE63FA">
        <w:t xml:space="preserve"> </w:t>
      </w:r>
      <w:r w:rsidRPr="00BE63FA">
        <w:rPr>
          <w:sz w:val="16"/>
          <w:szCs w:val="16"/>
        </w:rPr>
        <w:t xml:space="preserve">και </w:t>
      </w:r>
      <w:proofErr w:type="spellStart"/>
      <w:r w:rsidRPr="00BE63FA">
        <w:rPr>
          <w:sz w:val="16"/>
          <w:szCs w:val="16"/>
        </w:rPr>
        <w:t>κατ΄εκτίμηση</w:t>
      </w:r>
      <w:proofErr w:type="spellEnd"/>
      <w:r w:rsidRPr="00BE63FA">
        <w:rPr>
          <w:sz w:val="16"/>
          <w:szCs w:val="16"/>
        </w:rPr>
        <w:t xml:space="preserve"> 41,61% στον Β’ Κύκλο</w:t>
      </w:r>
    </w:p>
  </w:footnote>
  <w:footnote w:id="44">
    <w:p w14:paraId="5A06A1C2" w14:textId="77777777" w:rsidR="00A34E5B" w:rsidRPr="003D131D" w:rsidRDefault="00A34E5B" w:rsidP="000F0416">
      <w:pPr>
        <w:pStyle w:val="ab"/>
        <w:rPr>
          <w:sz w:val="18"/>
          <w:szCs w:val="18"/>
        </w:rPr>
      </w:pPr>
      <w:r w:rsidRPr="007B45D0">
        <w:rPr>
          <w:rStyle w:val="ac"/>
          <w:rFonts w:ascii="Arial" w:hAnsi="Arial"/>
          <w:i/>
          <w:sz w:val="16"/>
          <w:szCs w:val="16"/>
        </w:rPr>
        <w:footnoteRef/>
      </w:r>
      <w:r w:rsidRPr="007B45D0">
        <w:rPr>
          <w:lang w:val="en-US"/>
        </w:rPr>
        <w:t xml:space="preserve"> </w:t>
      </w:r>
      <w:r w:rsidRPr="003D131D">
        <w:rPr>
          <w:sz w:val="18"/>
          <w:szCs w:val="18"/>
          <w:lang w:val="en-US"/>
        </w:rPr>
        <w:t>Ex ante assessment methodology for financial instruments in the 2014-2020 programming period, General methodology covering all thematic objectives, Volume I, (</w:t>
      </w:r>
      <w:r w:rsidRPr="003D131D">
        <w:rPr>
          <w:sz w:val="18"/>
          <w:szCs w:val="18"/>
        </w:rPr>
        <w:t>σελίδα</w:t>
      </w:r>
      <w:r w:rsidRPr="003D131D">
        <w:rPr>
          <w:sz w:val="18"/>
          <w:szCs w:val="18"/>
          <w:lang w:val="en-US"/>
        </w:rPr>
        <w:t xml:space="preserve"> 91). </w:t>
      </w:r>
      <w:r w:rsidRPr="003D131D">
        <w:rPr>
          <w:sz w:val="18"/>
          <w:szCs w:val="18"/>
        </w:rPr>
        <w:t xml:space="preserve">Για την επενδυτική προτεραιότητα (4) που ενισχύει δράσεις εξοικονόμησης ενέργειας η Ε.Ε. πρόκειται να συστήσει </w:t>
      </w:r>
      <w:r w:rsidRPr="001E5965">
        <w:rPr>
          <w:sz w:val="18"/>
          <w:szCs w:val="18"/>
        </w:rPr>
        <w:t>Χρηματοοικονομικ</w:t>
      </w:r>
      <w:r>
        <w:rPr>
          <w:sz w:val="18"/>
          <w:szCs w:val="18"/>
        </w:rPr>
        <w:t>ό</w:t>
      </w:r>
      <w:r w:rsidRPr="001E5965">
        <w:rPr>
          <w:sz w:val="18"/>
          <w:szCs w:val="18"/>
        </w:rPr>
        <w:t xml:space="preserve"> Εργαλείο (FI)</w:t>
      </w:r>
      <w:r w:rsidRPr="003D131D">
        <w:rPr>
          <w:sz w:val="18"/>
          <w:szCs w:val="18"/>
        </w:rPr>
        <w:t xml:space="preserve"> μέσω του προγράμματος </w:t>
      </w:r>
      <w:r w:rsidRPr="003D131D">
        <w:rPr>
          <w:sz w:val="18"/>
          <w:szCs w:val="18"/>
          <w:lang w:val="en-US"/>
        </w:rPr>
        <w:t>LIFE</w:t>
      </w:r>
      <w:r w:rsidRPr="003D131D">
        <w:rPr>
          <w:sz w:val="18"/>
          <w:szCs w:val="18"/>
        </w:rPr>
        <w:t xml:space="preserve"> (κανονισμός 1293/2013). Όπως διαπιστώνεται από τον κανονισμό 1293/2013 δράσεις εξοικονόμησης ενέργειας στον οικιακό τομέα – όπως τουλάχιστον περιγράφονται στο επιχειρησιακό πρόγραμμά μας – δεν αποτελούν προτεραιότητα του προγράμματος </w:t>
      </w:r>
      <w:r w:rsidRPr="003D131D">
        <w:rPr>
          <w:sz w:val="18"/>
          <w:szCs w:val="18"/>
          <w:lang w:val="en-US"/>
        </w:rPr>
        <w:t>LIFE</w:t>
      </w:r>
      <w:r w:rsidRPr="003D131D">
        <w:rPr>
          <w:sz w:val="18"/>
          <w:szCs w:val="18"/>
        </w:rPr>
        <w:t>.</w:t>
      </w:r>
    </w:p>
  </w:footnote>
  <w:footnote w:id="45">
    <w:p w14:paraId="4B786D23" w14:textId="77777777" w:rsidR="00A34E5B" w:rsidRPr="00D47FF9" w:rsidRDefault="00A34E5B" w:rsidP="002C2756">
      <w:pPr>
        <w:pStyle w:val="ab"/>
        <w:rPr>
          <w:sz w:val="18"/>
          <w:szCs w:val="18"/>
          <w:lang w:val="en-US"/>
        </w:rPr>
      </w:pPr>
      <w:r w:rsidRPr="00D47FF9">
        <w:rPr>
          <w:rStyle w:val="ac"/>
          <w:sz w:val="18"/>
          <w:szCs w:val="18"/>
        </w:rPr>
        <w:footnoteRef/>
      </w:r>
      <w:r w:rsidRPr="00D47FF9">
        <w:rPr>
          <w:sz w:val="18"/>
          <w:szCs w:val="18"/>
          <w:lang w:val="en-US"/>
        </w:rPr>
        <w:t xml:space="preserve"> Guidance for member states on the selection of bodies implementing FIs, including funds of funds, EGESIF 15-0033-00, 13/10/2015.</w:t>
      </w:r>
    </w:p>
  </w:footnote>
  <w:footnote w:id="46">
    <w:p w14:paraId="65FFB380" w14:textId="77777777" w:rsidR="00A34E5B" w:rsidRPr="00D47FF9" w:rsidRDefault="00A34E5B" w:rsidP="002C2756">
      <w:pPr>
        <w:pStyle w:val="ab"/>
        <w:rPr>
          <w:sz w:val="18"/>
          <w:szCs w:val="18"/>
        </w:rPr>
      </w:pPr>
      <w:r w:rsidRPr="00D47FF9">
        <w:rPr>
          <w:rStyle w:val="ac"/>
          <w:sz w:val="18"/>
          <w:szCs w:val="18"/>
        </w:rPr>
        <w:footnoteRef/>
      </w:r>
      <w:r w:rsidRPr="00D47FF9">
        <w:rPr>
          <w:sz w:val="18"/>
          <w:szCs w:val="18"/>
        </w:rPr>
        <w:t xml:space="preserve"> Στις διατάξεις της παραγράφου 4 του άρθρου 12 της οδηγίας 24/2014 αναφέρεται:</w:t>
      </w:r>
    </w:p>
    <w:p w14:paraId="1D9622E6" w14:textId="77777777" w:rsidR="00A34E5B" w:rsidRPr="00D47FF9" w:rsidRDefault="00A34E5B" w:rsidP="002C2756">
      <w:pPr>
        <w:spacing w:after="0" w:line="240" w:lineRule="auto"/>
        <w:rPr>
          <w:sz w:val="18"/>
          <w:szCs w:val="18"/>
          <w:lang w:eastAsia="el-GR"/>
        </w:rPr>
      </w:pPr>
      <w:r w:rsidRPr="00D47FF9">
        <w:rPr>
          <w:sz w:val="18"/>
          <w:szCs w:val="18"/>
          <w:lang w:eastAsia="el-GR"/>
        </w:rPr>
        <w:t>«4. Μια σύμβαση η οποία συνάπτεται αποκλειστικά μεταξύ δύο ή περισσότερων αναθετουσών αρχών δεν εμπίπτει στο πεδίο εφαρμο</w:t>
      </w:r>
      <w:r w:rsidRPr="00D47FF9">
        <w:rPr>
          <w:sz w:val="18"/>
          <w:szCs w:val="18"/>
          <w:lang w:eastAsia="el-GR"/>
        </w:rPr>
        <w:softHyphen/>
        <w:t>γής της παρούσας οδηγίας, εφόσον πληρούνται όλες οι κατωτέρω προϋποθέσεις:</w:t>
      </w:r>
    </w:p>
    <w:p w14:paraId="23C58C86" w14:textId="77777777" w:rsidR="00A34E5B" w:rsidRPr="00D47FF9" w:rsidRDefault="00A34E5B" w:rsidP="002C2756">
      <w:pPr>
        <w:spacing w:after="0" w:line="240" w:lineRule="auto"/>
        <w:rPr>
          <w:sz w:val="18"/>
          <w:szCs w:val="18"/>
          <w:lang w:eastAsia="el-GR"/>
        </w:rPr>
      </w:pPr>
      <w:r w:rsidRPr="00D47FF9">
        <w:rPr>
          <w:sz w:val="18"/>
          <w:szCs w:val="18"/>
          <w:lang w:eastAsia="el-GR"/>
        </w:rPr>
        <w:t>α) η σύμβαση καθιερώνει ή υλοποιεί συνεργασία μεταξύ των συμ</w:t>
      </w:r>
      <w:r w:rsidRPr="00D47FF9">
        <w:rPr>
          <w:sz w:val="18"/>
          <w:szCs w:val="18"/>
          <w:lang w:eastAsia="el-GR"/>
        </w:rPr>
        <w:softHyphen/>
        <w:t>μετεχουσών αναθετουσών αρχών η οποία  αποσκοπεί να διασφα</w:t>
      </w:r>
      <w:r w:rsidRPr="00D47FF9">
        <w:rPr>
          <w:sz w:val="18"/>
          <w:szCs w:val="18"/>
          <w:lang w:eastAsia="el-GR"/>
        </w:rPr>
        <w:softHyphen/>
        <w:t xml:space="preserve">λίσει ότι οι δημόσιες υπηρεσίες που πρέπει να εκτελούν οι εν λόγω αρχές παρέχονται για την επιδίωξη των κοινών τους στόχων· </w:t>
      </w:r>
    </w:p>
    <w:p w14:paraId="6CACC8A5" w14:textId="77777777" w:rsidR="00A34E5B" w:rsidRPr="00D47FF9" w:rsidRDefault="00A34E5B" w:rsidP="002C2756">
      <w:pPr>
        <w:spacing w:after="0" w:line="240" w:lineRule="auto"/>
        <w:rPr>
          <w:sz w:val="18"/>
          <w:szCs w:val="18"/>
          <w:lang w:eastAsia="el-GR"/>
        </w:rPr>
      </w:pPr>
      <w:r w:rsidRPr="00D47FF9">
        <w:rPr>
          <w:sz w:val="18"/>
          <w:szCs w:val="18"/>
          <w:lang w:eastAsia="el-GR"/>
        </w:rPr>
        <w:t>β) η υλοποίηση της συνεργασίας αυτής εξυπηρετεί αποκλειστικά σκοπούς δημοσίου συμφέροντος· και</w:t>
      </w:r>
    </w:p>
    <w:p w14:paraId="3B9A4539" w14:textId="77777777" w:rsidR="00A34E5B" w:rsidRDefault="00A34E5B" w:rsidP="002C2756">
      <w:pPr>
        <w:spacing w:after="0" w:line="240" w:lineRule="auto"/>
      </w:pPr>
      <w:r w:rsidRPr="00D47FF9">
        <w:rPr>
          <w:sz w:val="18"/>
          <w:szCs w:val="18"/>
          <w:lang w:eastAsia="el-GR"/>
        </w:rPr>
        <w:t>γ) οι συμμετέχουσες αναθέτουσες αρχές εκτελούν στην ανοικτή αγορά λιγότερο από το 20% των δραστηριοτήτων που αφορά η συνεργασία»</w:t>
      </w:r>
    </w:p>
  </w:footnote>
  <w:footnote w:id="47">
    <w:p w14:paraId="285E691C" w14:textId="77777777" w:rsidR="00A34E5B" w:rsidRPr="002C2756" w:rsidRDefault="00A34E5B">
      <w:pPr>
        <w:pStyle w:val="ab"/>
      </w:pPr>
      <w:r>
        <w:rPr>
          <w:rStyle w:val="ac"/>
        </w:rPr>
        <w:footnoteRef/>
      </w:r>
      <w:r w:rsidRPr="002C2756">
        <w:t xml:space="preserve"> </w:t>
      </w:r>
      <w:r w:rsidRPr="005E65CC">
        <w:rPr>
          <w:sz w:val="18"/>
          <w:szCs w:val="18"/>
        </w:rPr>
        <w:t>«5. Οι αναφερόμενοι στην παράγραφο 4 πρώτο εδάφιο στοιχεία α) και β) φορείς, κατά την διαχείριση ταμείων χαρτοφυλακίου, μπορούν να αναθέσουν μέρος της υλοποίησης σε ενδιάμεσους χρηματοδοτικούς οργανισμούς, υπό την προϋπόθεση ότι τα εν λόγω νομικά πρόσωπα εγγυώνται υπό την ευθύνη τους ότι οι ενδιάμεσοι χρηματοδοτικοί οργανισμοί πληρούν τα κριτήρια που ορίζονται στο άρθρο 140 παράγραφοι 1, 2 και 4 του δημοσιονομικού κανονισμού. Οι ενδιάμεσοι χρηματοπιστωτικοί οργανισμοί επιλέγονται βάσει ανοικτών, διαφανών, αναλογικών και χωρίς διακρίσεις διαδικασιών, με την αποφυγή σύγκρουσης συμφερόντων.»</w:t>
      </w:r>
    </w:p>
  </w:footnote>
  <w:footnote w:id="48">
    <w:p w14:paraId="48F32300" w14:textId="77777777" w:rsidR="00A34E5B" w:rsidRPr="00D47FF9" w:rsidRDefault="00A34E5B" w:rsidP="008471C4">
      <w:pPr>
        <w:pStyle w:val="ab"/>
        <w:rPr>
          <w:sz w:val="18"/>
          <w:szCs w:val="18"/>
          <w:lang w:val="en-US"/>
        </w:rPr>
      </w:pPr>
      <w:r w:rsidRPr="00D47FF9">
        <w:rPr>
          <w:rStyle w:val="ac"/>
          <w:sz w:val="18"/>
          <w:szCs w:val="18"/>
        </w:rPr>
        <w:footnoteRef/>
      </w:r>
      <w:r w:rsidRPr="00D47FF9">
        <w:rPr>
          <w:sz w:val="18"/>
          <w:szCs w:val="18"/>
          <w:lang w:val="en-US"/>
        </w:rPr>
        <w:t xml:space="preserve"> Combination of support from a financial instrument with other support, EGESFI 15-0012-01, 8/6/2015</w:t>
      </w:r>
    </w:p>
  </w:footnote>
  <w:footnote w:id="49">
    <w:p w14:paraId="329289F2" w14:textId="77777777" w:rsidR="00A34E5B" w:rsidRPr="008471C4" w:rsidRDefault="00A34E5B" w:rsidP="005B76B8">
      <w:pPr>
        <w:pStyle w:val="ab"/>
      </w:pPr>
      <w:r>
        <w:rPr>
          <w:rStyle w:val="ac"/>
        </w:rPr>
        <w:footnoteRef/>
      </w:r>
      <w:r w:rsidRPr="008471C4">
        <w:t xml:space="preserve"> </w:t>
      </w:r>
      <w:r>
        <w:rPr>
          <w:sz w:val="16"/>
          <w:szCs w:val="16"/>
        </w:rPr>
        <w:t>Ά</w:t>
      </w:r>
      <w:r w:rsidRPr="008471C4">
        <w:rPr>
          <w:sz w:val="16"/>
          <w:szCs w:val="16"/>
        </w:rPr>
        <w:t>ρθρο 37 του κανονισμού 1303/2013 «7. Τα μέσα χρηματοοικονομικής τεχνικής μπορούν να συνδυάζονται με επιχορηγήσεις, επιδοτήσεις επιτοκίου και επιδοτήσεις προμηθειών εγγύησης. Σε περίπτωση που η υποστήριξη από τα ΕΔΕΤ παρέχεται από μέσα χρηματοοικονομικής τεχνικής και συνδυάζεται σε μία ενιαία πράξη με άλλες μορφές στήριξης οι οποίες συνδέονται άμεσα με τα μέσα χρηματοοικονομικής τεχνικής που έχουν στόχο τους ίδιους τελικούς αποδέκτες, συμπεριλαμβανομένης της τεχνικής υποστήριξης, των επιδοτήσεων επιτοκίου και των επιδοτήσεων με προμήθεια εγγύησης, οι διατάξεις που ισχύουν για τα μέσα χρηματοοικονομικής τεχνικής εφαρμόζονται σε όλες τις μορφές στήριξης στο πλαίσιο της εν λόγω πράξης. Στις περιπτώσεις αυτές, πρέπει να τηρούνται οι ισχύοντες κανόνες της Ένωσης περί κρατικών ενισχύσεων και να διενεργούνται χωριστές λογιστικές εγγραφές για την κάθε μορφή στήριξης.»</w:t>
      </w:r>
    </w:p>
  </w:footnote>
  <w:footnote w:id="50">
    <w:p w14:paraId="3AC2E5AD" w14:textId="77777777" w:rsidR="00A34E5B" w:rsidRPr="00410BEE" w:rsidRDefault="00A34E5B" w:rsidP="00C07DB8">
      <w:pPr>
        <w:pStyle w:val="ab"/>
        <w:rPr>
          <w:sz w:val="16"/>
          <w:szCs w:val="16"/>
        </w:rPr>
      </w:pPr>
      <w:r w:rsidRPr="00410BEE">
        <w:rPr>
          <w:rStyle w:val="ac"/>
          <w:sz w:val="16"/>
          <w:szCs w:val="16"/>
        </w:rPr>
        <w:footnoteRef/>
      </w:r>
      <w:r w:rsidRPr="00410BEE">
        <w:rPr>
          <w:sz w:val="16"/>
          <w:szCs w:val="16"/>
        </w:rPr>
        <w:t xml:space="preserve"> Βλέπε άρθρα 20-22 του κανονισμού 1303/2013 σχετικά με το αποθεματικό επίδοσης.</w:t>
      </w:r>
    </w:p>
  </w:footnote>
  <w:footnote w:id="51">
    <w:p w14:paraId="61F1F2BD" w14:textId="77777777" w:rsidR="00A34E5B" w:rsidRPr="00366AF2" w:rsidRDefault="00A34E5B" w:rsidP="007C10C5">
      <w:pPr>
        <w:pStyle w:val="ab"/>
        <w:rPr>
          <w:sz w:val="16"/>
          <w:szCs w:val="16"/>
        </w:rPr>
      </w:pPr>
      <w:r w:rsidRPr="00366AF2">
        <w:rPr>
          <w:rStyle w:val="ac"/>
          <w:sz w:val="16"/>
          <w:szCs w:val="16"/>
        </w:rPr>
        <w:footnoteRef/>
      </w:r>
      <w:r w:rsidRPr="00366AF2">
        <w:rPr>
          <w:sz w:val="16"/>
          <w:szCs w:val="16"/>
        </w:rPr>
        <w:t xml:space="preserve"> Συγκεκριμένα, στον απολογισμό του Προγράμματος «Εξοικονομώ </w:t>
      </w:r>
      <w:proofErr w:type="spellStart"/>
      <w:r w:rsidRPr="00366AF2">
        <w:rPr>
          <w:sz w:val="16"/>
          <w:szCs w:val="16"/>
        </w:rPr>
        <w:t>κατ’Οίκον</w:t>
      </w:r>
      <w:proofErr w:type="spellEnd"/>
      <w:r w:rsidRPr="00366AF2">
        <w:rPr>
          <w:sz w:val="16"/>
          <w:szCs w:val="16"/>
        </w:rPr>
        <w:t xml:space="preserve"> Ι» υπολογίστηκε από το ΚΑΠΕ πως για κάθε κατοικία που αναβαθμίστηκε, εξοικονομούνταν 0,0012 </w:t>
      </w:r>
      <w:proofErr w:type="spellStart"/>
      <w:r w:rsidRPr="00366AF2">
        <w:rPr>
          <w:sz w:val="16"/>
          <w:szCs w:val="16"/>
        </w:rPr>
        <w:t>ktoe</w:t>
      </w:r>
      <w:proofErr w:type="spellEnd"/>
      <w:r w:rsidRPr="00366AF2">
        <w:rPr>
          <w:sz w:val="16"/>
          <w:szCs w:val="16"/>
        </w:rPr>
        <w:t xml:space="preserve"> ανά κατοικία</w:t>
      </w:r>
      <w:r>
        <w:rPr>
          <w:sz w:val="16"/>
          <w:szCs w:val="16"/>
        </w:rPr>
        <w:t xml:space="preserve">. Όμως με τα απολογιστικά στοιχεία των Β’ΠΕΑ για τις κατοικίες που ολοκλήρωσαν στον </w:t>
      </w:r>
      <w:proofErr w:type="spellStart"/>
      <w:r>
        <w:rPr>
          <w:sz w:val="16"/>
          <w:szCs w:val="16"/>
        </w:rPr>
        <w:t>Α’Κύκλο</w:t>
      </w:r>
      <w:proofErr w:type="spellEnd"/>
      <w:r>
        <w:rPr>
          <w:sz w:val="16"/>
          <w:szCs w:val="16"/>
        </w:rPr>
        <w:t xml:space="preserve">, ο δείκτης ανήλθε σε 0,002 </w:t>
      </w:r>
      <w:proofErr w:type="spellStart"/>
      <w:r w:rsidRPr="00366AF2">
        <w:rPr>
          <w:sz w:val="16"/>
          <w:szCs w:val="16"/>
        </w:rPr>
        <w:t>ktoe</w:t>
      </w:r>
      <w:proofErr w:type="spellEnd"/>
      <w:r w:rsidRPr="00366AF2">
        <w:rPr>
          <w:sz w:val="16"/>
          <w:szCs w:val="16"/>
        </w:rPr>
        <w:t xml:space="preserve"> ανά κατοικία</w:t>
      </w:r>
      <w:r>
        <w:rPr>
          <w:sz w:val="16"/>
          <w:szCs w:val="16"/>
        </w:rPr>
        <w:t>.</w:t>
      </w:r>
    </w:p>
  </w:footnote>
  <w:footnote w:id="52">
    <w:p w14:paraId="19FA3526" w14:textId="77777777" w:rsidR="00A34E5B" w:rsidRDefault="00A34E5B" w:rsidP="00C07DB8">
      <w:pPr>
        <w:pStyle w:val="ab"/>
      </w:pPr>
      <w:r>
        <w:rPr>
          <w:rStyle w:val="ac"/>
        </w:rPr>
        <w:footnoteRef/>
      </w:r>
      <w:r>
        <w:t xml:space="preserve"> </w:t>
      </w:r>
      <w:r w:rsidRPr="008B287E">
        <w:rPr>
          <w:sz w:val="16"/>
          <w:szCs w:val="16"/>
        </w:rPr>
        <w:t xml:space="preserve">Οι δείκτες θα παρακολουθούνται από τακτικές εκθέσεις προόδου του διαχειριστή του Ταμείου σε εξαμηνιαία βάση. Ο δείκτης που αφορά τον αριθμό νοικοκυριών κατόπιν οδηγιών της Ε.Ε. θα πρέπει να έχει </w:t>
      </w:r>
      <w:proofErr w:type="spellStart"/>
      <w:r w:rsidRPr="008B287E">
        <w:rPr>
          <w:sz w:val="16"/>
          <w:szCs w:val="16"/>
        </w:rPr>
        <w:t>συμβασιοποιηθεί</w:t>
      </w:r>
      <w:proofErr w:type="spellEnd"/>
      <w:r w:rsidRPr="008B287E">
        <w:rPr>
          <w:sz w:val="16"/>
          <w:szCs w:val="16"/>
        </w:rPr>
        <w:t xml:space="preserve"> έως το τέλος του 2018, κατά 30%.</w:t>
      </w:r>
    </w:p>
  </w:footnote>
  <w:footnote w:id="53">
    <w:p w14:paraId="5826D4A3" w14:textId="326590BC" w:rsidR="00CB0DA9" w:rsidRPr="001C3403" w:rsidRDefault="00CB0DA9">
      <w:pPr>
        <w:pStyle w:val="ab"/>
      </w:pPr>
      <w:r>
        <w:rPr>
          <w:rStyle w:val="ac"/>
        </w:rPr>
        <w:footnoteRef/>
      </w:r>
      <w:r>
        <w:t xml:space="preserve"> </w:t>
      </w:r>
      <w:r w:rsidRPr="00CB0DA9">
        <w:rPr>
          <w:sz w:val="16"/>
          <w:szCs w:val="16"/>
        </w:rPr>
        <w:t xml:space="preserve">σε παρ. οι δείκτες </w:t>
      </w:r>
      <w:r>
        <w:rPr>
          <w:sz w:val="16"/>
          <w:szCs w:val="16"/>
          <w:lang w:val="en-US"/>
        </w:rPr>
        <w:t>CO</w:t>
      </w:r>
      <w:r w:rsidRPr="00CB0DA9">
        <w:rPr>
          <w:sz w:val="16"/>
          <w:szCs w:val="16"/>
        </w:rPr>
        <w:t>31 από την τελευταία εξειδίκευση</w:t>
      </w:r>
      <w:r w:rsidR="001C3403" w:rsidRPr="001C3403">
        <w:rPr>
          <w:sz w:val="16"/>
          <w:szCs w:val="16"/>
        </w:rPr>
        <w:t xml:space="preserve"> (30η Γραπτή - Α.Π. 4203/1332 A1/ 10.07.2018 για την αύξηση του προϋπολογισμού των άμεσων ενισχύσεων με αντίστοιχη τακτοποίηση των τιμών των δεικτών καθώς και τροποποίηση του χρονοδιαγράμματος της δράσης)</w:t>
      </w:r>
    </w:p>
  </w:footnote>
  <w:footnote w:id="54">
    <w:p w14:paraId="744B9D53" w14:textId="5766EB42" w:rsidR="00CB0DA9" w:rsidRPr="00CB0DA9" w:rsidRDefault="00CB0DA9">
      <w:pPr>
        <w:pStyle w:val="ab"/>
      </w:pPr>
      <w:r>
        <w:rPr>
          <w:rStyle w:val="ac"/>
        </w:rPr>
        <w:footnoteRef/>
      </w:r>
      <w:r>
        <w:t xml:space="preserve"> </w:t>
      </w:r>
      <w:r w:rsidRPr="00CB0DA9">
        <w:rPr>
          <w:sz w:val="16"/>
          <w:szCs w:val="16"/>
        </w:rPr>
        <w:t xml:space="preserve">Με εκτίμηση οι δείκτες </w:t>
      </w:r>
      <w:r w:rsidRPr="00CB0DA9">
        <w:rPr>
          <w:sz w:val="16"/>
          <w:szCs w:val="16"/>
          <w:lang w:val="en-US"/>
        </w:rPr>
        <w:t>CO</w:t>
      </w:r>
      <w:r w:rsidRPr="00CB0DA9">
        <w:rPr>
          <w:sz w:val="16"/>
          <w:szCs w:val="16"/>
        </w:rPr>
        <w:t xml:space="preserve">34 </w:t>
      </w:r>
      <w:proofErr w:type="spellStart"/>
      <w:r w:rsidRPr="00CB0DA9">
        <w:rPr>
          <w:sz w:val="16"/>
          <w:szCs w:val="16"/>
        </w:rPr>
        <w:t>κατ’αναλογία</w:t>
      </w:r>
      <w:proofErr w:type="spellEnd"/>
      <w:r w:rsidRPr="00CB0DA9">
        <w:rPr>
          <w:sz w:val="16"/>
          <w:szCs w:val="16"/>
        </w:rPr>
        <w:t xml:space="preserve"> με τις κατοικίες που έλαβαν δάνειο προς το συνολικό αριθμό που έλαβαν </w:t>
      </w:r>
      <w:r w:rsidRPr="00CB0DA9">
        <w:rPr>
          <w:sz w:val="16"/>
          <w:szCs w:val="16"/>
          <w:lang w:val="en-US"/>
        </w:rPr>
        <w:t>grant</w:t>
      </w:r>
    </w:p>
  </w:footnote>
  <w:footnote w:id="55">
    <w:p w14:paraId="55CBE4A7" w14:textId="77777777" w:rsidR="00A34E5B" w:rsidRPr="003D131D" w:rsidRDefault="00A34E5B" w:rsidP="00C07DB8">
      <w:pPr>
        <w:pStyle w:val="ab"/>
        <w:rPr>
          <w:sz w:val="18"/>
          <w:szCs w:val="18"/>
        </w:rPr>
      </w:pPr>
      <w:r w:rsidRPr="00681FED">
        <w:rPr>
          <w:rStyle w:val="ac"/>
          <w:rFonts w:ascii="Arial" w:hAnsi="Arial"/>
          <w:sz w:val="16"/>
          <w:szCs w:val="16"/>
        </w:rPr>
        <w:footnoteRef/>
      </w:r>
      <w:r w:rsidRPr="00681FED">
        <w:t xml:space="preserve"> </w:t>
      </w:r>
      <w:r w:rsidRPr="003D131D">
        <w:rPr>
          <w:sz w:val="18"/>
          <w:szCs w:val="18"/>
        </w:rPr>
        <w:t xml:space="preserve">Τα στοιχεία καταχωρούνται μέσω της διαδικτυακής εφαρμογής </w:t>
      </w:r>
      <w:r w:rsidRPr="003D131D">
        <w:rPr>
          <w:sz w:val="18"/>
          <w:szCs w:val="18"/>
          <w:lang w:val="en-US"/>
        </w:rPr>
        <w:t>SFC</w:t>
      </w:r>
      <w:r w:rsidRPr="003D131D">
        <w:rPr>
          <w:sz w:val="18"/>
          <w:szCs w:val="18"/>
        </w:rPr>
        <w:t>(</w:t>
      </w:r>
      <w:r w:rsidRPr="003D131D">
        <w:rPr>
          <w:sz w:val="18"/>
          <w:szCs w:val="18"/>
          <w:lang w:val="en-US"/>
        </w:rPr>
        <w:t>System</w:t>
      </w:r>
      <w:r w:rsidRPr="003D131D">
        <w:rPr>
          <w:sz w:val="18"/>
          <w:szCs w:val="18"/>
        </w:rPr>
        <w:t xml:space="preserve"> </w:t>
      </w:r>
      <w:r w:rsidRPr="003D131D">
        <w:rPr>
          <w:sz w:val="18"/>
          <w:szCs w:val="18"/>
          <w:lang w:val="en-US"/>
        </w:rPr>
        <w:t>for</w:t>
      </w:r>
      <w:r w:rsidRPr="003D131D">
        <w:rPr>
          <w:sz w:val="18"/>
          <w:szCs w:val="18"/>
        </w:rPr>
        <w:t xml:space="preserve"> </w:t>
      </w:r>
      <w:r w:rsidRPr="003D131D">
        <w:rPr>
          <w:sz w:val="18"/>
          <w:szCs w:val="18"/>
          <w:lang w:val="en-US"/>
        </w:rPr>
        <w:t>Fund</w:t>
      </w:r>
      <w:r w:rsidRPr="003D131D">
        <w:rPr>
          <w:sz w:val="18"/>
          <w:szCs w:val="18"/>
        </w:rPr>
        <w:t xml:space="preserve"> </w:t>
      </w:r>
      <w:r w:rsidRPr="003D131D">
        <w:rPr>
          <w:sz w:val="18"/>
          <w:szCs w:val="18"/>
          <w:lang w:val="en-US"/>
        </w:rPr>
        <w:t>Manager</w:t>
      </w:r>
      <w:r w:rsidRPr="003D131D">
        <w:rPr>
          <w:sz w:val="18"/>
          <w:szCs w:val="18"/>
        </w:rPr>
        <w:t xml:space="preserve">) </w:t>
      </w:r>
      <w:r w:rsidRPr="003D131D">
        <w:rPr>
          <w:sz w:val="18"/>
          <w:szCs w:val="18"/>
          <w:lang w:val="en-US"/>
        </w:rPr>
        <w:t>in</w:t>
      </w:r>
      <w:r w:rsidRPr="003D131D">
        <w:rPr>
          <w:sz w:val="18"/>
          <w:szCs w:val="18"/>
        </w:rPr>
        <w:t xml:space="preserve"> </w:t>
      </w:r>
      <w:r w:rsidRPr="003D131D">
        <w:rPr>
          <w:sz w:val="18"/>
          <w:szCs w:val="18"/>
          <w:lang w:val="en-US"/>
        </w:rPr>
        <w:t>the</w:t>
      </w:r>
      <w:r w:rsidRPr="003D131D">
        <w:rPr>
          <w:sz w:val="18"/>
          <w:szCs w:val="18"/>
        </w:rPr>
        <w:t xml:space="preserve"> </w:t>
      </w:r>
      <w:r w:rsidRPr="003D131D">
        <w:rPr>
          <w:sz w:val="18"/>
          <w:szCs w:val="18"/>
          <w:lang w:val="en-US"/>
        </w:rPr>
        <w:t>European</w:t>
      </w:r>
      <w:r w:rsidRPr="003D131D">
        <w:rPr>
          <w:sz w:val="18"/>
          <w:szCs w:val="18"/>
        </w:rPr>
        <w:t xml:space="preserve"> </w:t>
      </w:r>
      <w:r w:rsidRPr="003D131D">
        <w:rPr>
          <w:sz w:val="18"/>
          <w:szCs w:val="18"/>
          <w:lang w:val="en-US"/>
        </w:rPr>
        <w:t>Union</w:t>
      </w:r>
      <w:r w:rsidRPr="003D131D">
        <w:rPr>
          <w:sz w:val="18"/>
          <w:szCs w:val="18"/>
        </w:rPr>
        <w:t>. Οι υπηρεσίες της ευρωπαϊκής επιτροπής έχουν εκδώσει οδηγίες για την επεξήγηση αυτών των πεδίων προκειμένου να διασφαλισθεί ομοιόμορφη καταχώρησή τους από όλα τα κράτη μέλη.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AFD"/>
    <w:multiLevelType w:val="hybridMultilevel"/>
    <w:tmpl w:val="DC4626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9D7E7C"/>
    <w:multiLevelType w:val="hybridMultilevel"/>
    <w:tmpl w:val="845090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7393EAF"/>
    <w:multiLevelType w:val="hybridMultilevel"/>
    <w:tmpl w:val="62BA12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C4C6BF3"/>
    <w:multiLevelType w:val="hybridMultilevel"/>
    <w:tmpl w:val="854C3F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E0D3FD7"/>
    <w:multiLevelType w:val="hybridMultilevel"/>
    <w:tmpl w:val="225A45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1BD308B"/>
    <w:multiLevelType w:val="hybridMultilevel"/>
    <w:tmpl w:val="93B4DC5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E65F85"/>
    <w:multiLevelType w:val="hybridMultilevel"/>
    <w:tmpl w:val="C0FABA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57F4EC9"/>
    <w:multiLevelType w:val="hybridMultilevel"/>
    <w:tmpl w:val="7FC8B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B7F0BA1"/>
    <w:multiLevelType w:val="hybridMultilevel"/>
    <w:tmpl w:val="46B869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D94611D"/>
    <w:multiLevelType w:val="hybridMultilevel"/>
    <w:tmpl w:val="ABFA21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1DD945F3"/>
    <w:multiLevelType w:val="hybridMultilevel"/>
    <w:tmpl w:val="C6D69DD8"/>
    <w:lvl w:ilvl="0" w:tplc="0B2033B4">
      <w:start w:val="1"/>
      <w:numFmt w:val="bullet"/>
      <w:lvlText w:val="-"/>
      <w:lvlJc w:val="left"/>
      <w:pPr>
        <w:ind w:left="360" w:hanging="360"/>
      </w:pPr>
      <w:rPr>
        <w:rFonts w:ascii="Arial" w:eastAsiaTheme="minorHAnsi" w:hAnsi="Arial" w:cs="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265C5A94"/>
    <w:multiLevelType w:val="hybridMultilevel"/>
    <w:tmpl w:val="CE982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6BA625B"/>
    <w:multiLevelType w:val="hybridMultilevel"/>
    <w:tmpl w:val="5DF045A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32522B34"/>
    <w:multiLevelType w:val="hybridMultilevel"/>
    <w:tmpl w:val="416C5B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30B6144"/>
    <w:multiLevelType w:val="hybridMultilevel"/>
    <w:tmpl w:val="3AB0CC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5BF2745"/>
    <w:multiLevelType w:val="hybridMultilevel"/>
    <w:tmpl w:val="2ADE15F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39F94A8F"/>
    <w:multiLevelType w:val="hybridMultilevel"/>
    <w:tmpl w:val="0F404BC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B016301"/>
    <w:multiLevelType w:val="hybridMultilevel"/>
    <w:tmpl w:val="F7C87E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0DF744E"/>
    <w:multiLevelType w:val="hybridMultilevel"/>
    <w:tmpl w:val="3768F7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476251E"/>
    <w:multiLevelType w:val="hybridMultilevel"/>
    <w:tmpl w:val="77068C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6A20B2F"/>
    <w:multiLevelType w:val="hybridMultilevel"/>
    <w:tmpl w:val="59101D00"/>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6BA08AF"/>
    <w:multiLevelType w:val="hybridMultilevel"/>
    <w:tmpl w:val="C89ECB9A"/>
    <w:lvl w:ilvl="0" w:tplc="0B2033B4">
      <w:start w:val="1"/>
      <w:numFmt w:val="bullet"/>
      <w:lvlText w:val="-"/>
      <w:lvlJc w:val="left"/>
      <w:pPr>
        <w:ind w:left="720" w:hanging="360"/>
      </w:pPr>
      <w:rPr>
        <w:rFonts w:ascii="Arial" w:eastAsiaTheme="minorHAnsi"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7EE2E6C"/>
    <w:multiLevelType w:val="hybridMultilevel"/>
    <w:tmpl w:val="66F676E0"/>
    <w:lvl w:ilvl="0" w:tplc="0408000F">
      <w:start w:val="1"/>
      <w:numFmt w:val="decimal"/>
      <w:lvlText w:val="%1."/>
      <w:lvlJc w:val="left"/>
      <w:pPr>
        <w:ind w:left="-38" w:hanging="360"/>
      </w:pPr>
    </w:lvl>
    <w:lvl w:ilvl="1" w:tplc="04080019" w:tentative="1">
      <w:start w:val="1"/>
      <w:numFmt w:val="lowerLetter"/>
      <w:lvlText w:val="%2."/>
      <w:lvlJc w:val="left"/>
      <w:pPr>
        <w:ind w:left="682" w:hanging="360"/>
      </w:pPr>
    </w:lvl>
    <w:lvl w:ilvl="2" w:tplc="0408001B" w:tentative="1">
      <w:start w:val="1"/>
      <w:numFmt w:val="lowerRoman"/>
      <w:lvlText w:val="%3."/>
      <w:lvlJc w:val="right"/>
      <w:pPr>
        <w:ind w:left="1402" w:hanging="180"/>
      </w:pPr>
    </w:lvl>
    <w:lvl w:ilvl="3" w:tplc="0408000F" w:tentative="1">
      <w:start w:val="1"/>
      <w:numFmt w:val="decimal"/>
      <w:lvlText w:val="%4."/>
      <w:lvlJc w:val="left"/>
      <w:pPr>
        <w:ind w:left="2122" w:hanging="360"/>
      </w:pPr>
    </w:lvl>
    <w:lvl w:ilvl="4" w:tplc="04080019" w:tentative="1">
      <w:start w:val="1"/>
      <w:numFmt w:val="lowerLetter"/>
      <w:lvlText w:val="%5."/>
      <w:lvlJc w:val="left"/>
      <w:pPr>
        <w:ind w:left="2842" w:hanging="360"/>
      </w:pPr>
    </w:lvl>
    <w:lvl w:ilvl="5" w:tplc="0408001B" w:tentative="1">
      <w:start w:val="1"/>
      <w:numFmt w:val="lowerRoman"/>
      <w:lvlText w:val="%6."/>
      <w:lvlJc w:val="right"/>
      <w:pPr>
        <w:ind w:left="3562" w:hanging="180"/>
      </w:pPr>
    </w:lvl>
    <w:lvl w:ilvl="6" w:tplc="0408000F" w:tentative="1">
      <w:start w:val="1"/>
      <w:numFmt w:val="decimal"/>
      <w:lvlText w:val="%7."/>
      <w:lvlJc w:val="left"/>
      <w:pPr>
        <w:ind w:left="4282" w:hanging="360"/>
      </w:pPr>
    </w:lvl>
    <w:lvl w:ilvl="7" w:tplc="04080019" w:tentative="1">
      <w:start w:val="1"/>
      <w:numFmt w:val="lowerLetter"/>
      <w:lvlText w:val="%8."/>
      <w:lvlJc w:val="left"/>
      <w:pPr>
        <w:ind w:left="5002" w:hanging="360"/>
      </w:pPr>
    </w:lvl>
    <w:lvl w:ilvl="8" w:tplc="0408001B" w:tentative="1">
      <w:start w:val="1"/>
      <w:numFmt w:val="lowerRoman"/>
      <w:lvlText w:val="%9."/>
      <w:lvlJc w:val="right"/>
      <w:pPr>
        <w:ind w:left="5722" w:hanging="180"/>
      </w:pPr>
    </w:lvl>
  </w:abstractNum>
  <w:abstractNum w:abstractNumId="23" w15:restartNumberingAfterBreak="0">
    <w:nsid w:val="4CB57561"/>
    <w:multiLevelType w:val="hybridMultilevel"/>
    <w:tmpl w:val="C73E3A54"/>
    <w:lvl w:ilvl="0" w:tplc="0B2033B4">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F0F3B01"/>
    <w:multiLevelType w:val="hybridMultilevel"/>
    <w:tmpl w:val="5EAED4D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4FDF5A4A"/>
    <w:multiLevelType w:val="hybridMultilevel"/>
    <w:tmpl w:val="016CF2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537A2A45"/>
    <w:multiLevelType w:val="hybridMultilevel"/>
    <w:tmpl w:val="5E7E7E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5F564DE"/>
    <w:multiLevelType w:val="hybridMultilevel"/>
    <w:tmpl w:val="CBDA0F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89D49FB"/>
    <w:multiLevelType w:val="hybridMultilevel"/>
    <w:tmpl w:val="48A441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9F84C32"/>
    <w:multiLevelType w:val="hybridMultilevel"/>
    <w:tmpl w:val="C24EB3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5A924A79"/>
    <w:multiLevelType w:val="hybridMultilevel"/>
    <w:tmpl w:val="964AFD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5BB03740"/>
    <w:multiLevelType w:val="hybridMultilevel"/>
    <w:tmpl w:val="935A6E72"/>
    <w:lvl w:ilvl="0" w:tplc="0B2033B4">
      <w:start w:val="1"/>
      <w:numFmt w:val="bullet"/>
      <w:lvlText w:val="-"/>
      <w:lvlJc w:val="left"/>
      <w:pPr>
        <w:ind w:left="360" w:hanging="360"/>
      </w:pPr>
      <w:rPr>
        <w:rFonts w:ascii="Arial" w:eastAsiaTheme="minorHAnsi" w:hAnsi="Arial" w:cs="Aria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5C74078F"/>
    <w:multiLevelType w:val="hybridMultilevel"/>
    <w:tmpl w:val="62802782"/>
    <w:lvl w:ilvl="0" w:tplc="04080001">
      <w:start w:val="1"/>
      <w:numFmt w:val="bullet"/>
      <w:lvlText w:val=""/>
      <w:lvlJc w:val="left"/>
      <w:pPr>
        <w:ind w:left="363" w:hanging="360"/>
      </w:pPr>
      <w:rPr>
        <w:rFonts w:ascii="Symbol" w:hAnsi="Symbol"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33" w15:restartNumberingAfterBreak="0">
    <w:nsid w:val="5EA076FE"/>
    <w:multiLevelType w:val="hybridMultilevel"/>
    <w:tmpl w:val="A54E3E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2937A51"/>
    <w:multiLevelType w:val="hybridMultilevel"/>
    <w:tmpl w:val="3B767E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641416A0"/>
    <w:multiLevelType w:val="hybridMultilevel"/>
    <w:tmpl w:val="63C27DC6"/>
    <w:lvl w:ilvl="0" w:tplc="04080001">
      <w:start w:val="1"/>
      <w:numFmt w:val="bullet"/>
      <w:lvlText w:val=""/>
      <w:lvlJc w:val="left"/>
      <w:pPr>
        <w:ind w:left="720" w:hanging="360"/>
      </w:pPr>
      <w:rPr>
        <w:rFonts w:ascii="Symbol" w:hAnsi="Symbol" w:hint="default"/>
      </w:rPr>
    </w:lvl>
    <w:lvl w:ilvl="1" w:tplc="0B2033B4">
      <w:start w:val="1"/>
      <w:numFmt w:val="bullet"/>
      <w:lvlText w:val="-"/>
      <w:lvlJc w:val="left"/>
      <w:pPr>
        <w:ind w:left="1440" w:hanging="360"/>
      </w:pPr>
      <w:rPr>
        <w:rFonts w:ascii="Arial" w:eastAsiaTheme="minorHAnsi" w:hAnsi="Arial" w:cs="Arial"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A1A3135"/>
    <w:multiLevelType w:val="hybridMultilevel"/>
    <w:tmpl w:val="85D4AE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AF87AD2"/>
    <w:multiLevelType w:val="hybridMultilevel"/>
    <w:tmpl w:val="CC546CE8"/>
    <w:lvl w:ilvl="0" w:tplc="0B2033B4">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BB95E64"/>
    <w:multiLevelType w:val="hybridMultilevel"/>
    <w:tmpl w:val="12EC32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C5963A5"/>
    <w:multiLevelType w:val="hybridMultilevel"/>
    <w:tmpl w:val="2BD4C62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758F537C"/>
    <w:multiLevelType w:val="hybridMultilevel"/>
    <w:tmpl w:val="18C0CA4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76446CA6"/>
    <w:multiLevelType w:val="hybridMultilevel"/>
    <w:tmpl w:val="A44C7D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7F674F3"/>
    <w:multiLevelType w:val="hybridMultilevel"/>
    <w:tmpl w:val="9FAC294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78DF649C"/>
    <w:multiLevelType w:val="hybridMultilevel"/>
    <w:tmpl w:val="F432C9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27"/>
  </w:num>
  <w:num w:numId="4">
    <w:abstractNumId w:val="17"/>
  </w:num>
  <w:num w:numId="5">
    <w:abstractNumId w:val="4"/>
  </w:num>
  <w:num w:numId="6">
    <w:abstractNumId w:val="6"/>
  </w:num>
  <w:num w:numId="7">
    <w:abstractNumId w:val="8"/>
  </w:num>
  <w:num w:numId="8">
    <w:abstractNumId w:val="42"/>
  </w:num>
  <w:num w:numId="9">
    <w:abstractNumId w:val="1"/>
  </w:num>
  <w:num w:numId="10">
    <w:abstractNumId w:val="11"/>
  </w:num>
  <w:num w:numId="11">
    <w:abstractNumId w:val="28"/>
  </w:num>
  <w:num w:numId="12">
    <w:abstractNumId w:val="36"/>
  </w:num>
  <w:num w:numId="13">
    <w:abstractNumId w:val="33"/>
  </w:num>
  <w:num w:numId="14">
    <w:abstractNumId w:val="39"/>
  </w:num>
  <w:num w:numId="15">
    <w:abstractNumId w:val="26"/>
  </w:num>
  <w:num w:numId="16">
    <w:abstractNumId w:val="38"/>
  </w:num>
  <w:num w:numId="17">
    <w:abstractNumId w:val="14"/>
  </w:num>
  <w:num w:numId="18">
    <w:abstractNumId w:val="24"/>
  </w:num>
  <w:num w:numId="19">
    <w:abstractNumId w:val="16"/>
  </w:num>
  <w:num w:numId="20">
    <w:abstractNumId w:val="9"/>
  </w:num>
  <w:num w:numId="21">
    <w:abstractNumId w:val="30"/>
  </w:num>
  <w:num w:numId="22">
    <w:abstractNumId w:val="34"/>
  </w:num>
  <w:num w:numId="23">
    <w:abstractNumId w:val="41"/>
  </w:num>
  <w:num w:numId="24">
    <w:abstractNumId w:val="20"/>
  </w:num>
  <w:num w:numId="25">
    <w:abstractNumId w:val="3"/>
  </w:num>
  <w:num w:numId="26">
    <w:abstractNumId w:val="32"/>
  </w:num>
  <w:num w:numId="27">
    <w:abstractNumId w:val="43"/>
  </w:num>
  <w:num w:numId="28">
    <w:abstractNumId w:val="0"/>
  </w:num>
  <w:num w:numId="29">
    <w:abstractNumId w:val="19"/>
  </w:num>
  <w:num w:numId="30">
    <w:abstractNumId w:val="40"/>
  </w:num>
  <w:num w:numId="31">
    <w:abstractNumId w:val="29"/>
  </w:num>
  <w:num w:numId="32">
    <w:abstractNumId w:val="5"/>
  </w:num>
  <w:num w:numId="33">
    <w:abstractNumId w:val="35"/>
  </w:num>
  <w:num w:numId="34">
    <w:abstractNumId w:val="22"/>
  </w:num>
  <w:num w:numId="35">
    <w:abstractNumId w:val="23"/>
  </w:num>
  <w:num w:numId="36">
    <w:abstractNumId w:val="21"/>
  </w:num>
  <w:num w:numId="37">
    <w:abstractNumId w:val="37"/>
  </w:num>
  <w:num w:numId="38">
    <w:abstractNumId w:val="10"/>
  </w:num>
  <w:num w:numId="39">
    <w:abstractNumId w:val="31"/>
  </w:num>
  <w:num w:numId="40">
    <w:abstractNumId w:val="12"/>
  </w:num>
  <w:num w:numId="41">
    <w:abstractNumId w:val="25"/>
  </w:num>
  <w:num w:numId="42">
    <w:abstractNumId w:val="15"/>
  </w:num>
  <w:num w:numId="43">
    <w:abstractNumId w:val="13"/>
  </w:num>
  <w:num w:numId="44">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6AB"/>
    <w:rsid w:val="00007010"/>
    <w:rsid w:val="00011F7F"/>
    <w:rsid w:val="00012040"/>
    <w:rsid w:val="000122A3"/>
    <w:rsid w:val="00015DD4"/>
    <w:rsid w:val="000215E5"/>
    <w:rsid w:val="000221CB"/>
    <w:rsid w:val="00022493"/>
    <w:rsid w:val="0003003F"/>
    <w:rsid w:val="00031A93"/>
    <w:rsid w:val="00031C57"/>
    <w:rsid w:val="000371DA"/>
    <w:rsid w:val="00037670"/>
    <w:rsid w:val="000411AE"/>
    <w:rsid w:val="00041F96"/>
    <w:rsid w:val="0004514C"/>
    <w:rsid w:val="0004630F"/>
    <w:rsid w:val="000467C7"/>
    <w:rsid w:val="00047EA5"/>
    <w:rsid w:val="000500DD"/>
    <w:rsid w:val="000513DA"/>
    <w:rsid w:val="00051C21"/>
    <w:rsid w:val="00054688"/>
    <w:rsid w:val="000553C4"/>
    <w:rsid w:val="00056D76"/>
    <w:rsid w:val="00056E72"/>
    <w:rsid w:val="00061234"/>
    <w:rsid w:val="000645EF"/>
    <w:rsid w:val="00067066"/>
    <w:rsid w:val="00070F56"/>
    <w:rsid w:val="00073ADB"/>
    <w:rsid w:val="00074A75"/>
    <w:rsid w:val="00075A66"/>
    <w:rsid w:val="000806A5"/>
    <w:rsid w:val="000843C4"/>
    <w:rsid w:val="0008653C"/>
    <w:rsid w:val="00092B2C"/>
    <w:rsid w:val="00094A04"/>
    <w:rsid w:val="00095A8F"/>
    <w:rsid w:val="000975FE"/>
    <w:rsid w:val="000978AF"/>
    <w:rsid w:val="000A0D86"/>
    <w:rsid w:val="000A33DC"/>
    <w:rsid w:val="000A64BE"/>
    <w:rsid w:val="000B1197"/>
    <w:rsid w:val="000B26BB"/>
    <w:rsid w:val="000B2D87"/>
    <w:rsid w:val="000C0FD9"/>
    <w:rsid w:val="000C719B"/>
    <w:rsid w:val="000C7453"/>
    <w:rsid w:val="000D0CFB"/>
    <w:rsid w:val="000D4B42"/>
    <w:rsid w:val="000E2182"/>
    <w:rsid w:val="000E2DBF"/>
    <w:rsid w:val="000E3D14"/>
    <w:rsid w:val="000E6737"/>
    <w:rsid w:val="000F0416"/>
    <w:rsid w:val="000F1A4A"/>
    <w:rsid w:val="000F23A2"/>
    <w:rsid w:val="000F2AC3"/>
    <w:rsid w:val="000F378A"/>
    <w:rsid w:val="000F39C7"/>
    <w:rsid w:val="000F4E6D"/>
    <w:rsid w:val="000F5FD7"/>
    <w:rsid w:val="000F6277"/>
    <w:rsid w:val="000F7406"/>
    <w:rsid w:val="000F75B2"/>
    <w:rsid w:val="000F79B6"/>
    <w:rsid w:val="00100103"/>
    <w:rsid w:val="001005FD"/>
    <w:rsid w:val="00101F2F"/>
    <w:rsid w:val="00107553"/>
    <w:rsid w:val="001107B1"/>
    <w:rsid w:val="00113B50"/>
    <w:rsid w:val="0011436C"/>
    <w:rsid w:val="00117506"/>
    <w:rsid w:val="00122374"/>
    <w:rsid w:val="00124398"/>
    <w:rsid w:val="001303BB"/>
    <w:rsid w:val="00134458"/>
    <w:rsid w:val="00134D3A"/>
    <w:rsid w:val="00134F51"/>
    <w:rsid w:val="00134FBA"/>
    <w:rsid w:val="00142A62"/>
    <w:rsid w:val="00143E7A"/>
    <w:rsid w:val="00143E7B"/>
    <w:rsid w:val="00145ADD"/>
    <w:rsid w:val="00154EB5"/>
    <w:rsid w:val="0015597E"/>
    <w:rsid w:val="00156274"/>
    <w:rsid w:val="00156F82"/>
    <w:rsid w:val="0015722E"/>
    <w:rsid w:val="0016287E"/>
    <w:rsid w:val="00166350"/>
    <w:rsid w:val="00167EB6"/>
    <w:rsid w:val="00171949"/>
    <w:rsid w:val="00172CD7"/>
    <w:rsid w:val="00180C57"/>
    <w:rsid w:val="00181957"/>
    <w:rsid w:val="0018328F"/>
    <w:rsid w:val="00183C1E"/>
    <w:rsid w:val="00183F2B"/>
    <w:rsid w:val="001878E5"/>
    <w:rsid w:val="00192375"/>
    <w:rsid w:val="00193C63"/>
    <w:rsid w:val="0019524B"/>
    <w:rsid w:val="001967C8"/>
    <w:rsid w:val="001978A0"/>
    <w:rsid w:val="001A18DF"/>
    <w:rsid w:val="001A5251"/>
    <w:rsid w:val="001A5A9E"/>
    <w:rsid w:val="001A6889"/>
    <w:rsid w:val="001A7C3E"/>
    <w:rsid w:val="001B1190"/>
    <w:rsid w:val="001B1FA0"/>
    <w:rsid w:val="001B2827"/>
    <w:rsid w:val="001B5854"/>
    <w:rsid w:val="001C00C6"/>
    <w:rsid w:val="001C3403"/>
    <w:rsid w:val="001C6F4B"/>
    <w:rsid w:val="001C7BAB"/>
    <w:rsid w:val="001C7EB2"/>
    <w:rsid w:val="001D00D6"/>
    <w:rsid w:val="001D1E35"/>
    <w:rsid w:val="001D43EB"/>
    <w:rsid w:val="001D4857"/>
    <w:rsid w:val="001D763E"/>
    <w:rsid w:val="001E446D"/>
    <w:rsid w:val="001E5965"/>
    <w:rsid w:val="001E6ED5"/>
    <w:rsid w:val="001F02EC"/>
    <w:rsid w:val="001F0CF5"/>
    <w:rsid w:val="001F134A"/>
    <w:rsid w:val="001F15F2"/>
    <w:rsid w:val="001F241E"/>
    <w:rsid w:val="001F5867"/>
    <w:rsid w:val="001F6B3E"/>
    <w:rsid w:val="00201363"/>
    <w:rsid w:val="00201FBD"/>
    <w:rsid w:val="00202B58"/>
    <w:rsid w:val="00203F5C"/>
    <w:rsid w:val="00210E8D"/>
    <w:rsid w:val="0021449A"/>
    <w:rsid w:val="002145C9"/>
    <w:rsid w:val="0021511A"/>
    <w:rsid w:val="00215392"/>
    <w:rsid w:val="002161EC"/>
    <w:rsid w:val="00216C66"/>
    <w:rsid w:val="00225232"/>
    <w:rsid w:val="0022665F"/>
    <w:rsid w:val="00226930"/>
    <w:rsid w:val="00227484"/>
    <w:rsid w:val="00230809"/>
    <w:rsid w:val="00230B08"/>
    <w:rsid w:val="002334B4"/>
    <w:rsid w:val="00234C4B"/>
    <w:rsid w:val="0024620D"/>
    <w:rsid w:val="0025232C"/>
    <w:rsid w:val="002546B7"/>
    <w:rsid w:val="0026128F"/>
    <w:rsid w:val="002623DB"/>
    <w:rsid w:val="00264BC8"/>
    <w:rsid w:val="0026608D"/>
    <w:rsid w:val="00266653"/>
    <w:rsid w:val="002677AD"/>
    <w:rsid w:val="002735E5"/>
    <w:rsid w:val="0027412F"/>
    <w:rsid w:val="002743FE"/>
    <w:rsid w:val="0027581E"/>
    <w:rsid w:val="002763A5"/>
    <w:rsid w:val="00276888"/>
    <w:rsid w:val="00277AD6"/>
    <w:rsid w:val="00277CF4"/>
    <w:rsid w:val="00280887"/>
    <w:rsid w:val="00281F48"/>
    <w:rsid w:val="002821B5"/>
    <w:rsid w:val="002830A1"/>
    <w:rsid w:val="00285FAD"/>
    <w:rsid w:val="002869F9"/>
    <w:rsid w:val="00287847"/>
    <w:rsid w:val="00290015"/>
    <w:rsid w:val="00291D31"/>
    <w:rsid w:val="002A03FF"/>
    <w:rsid w:val="002A282B"/>
    <w:rsid w:val="002A28C0"/>
    <w:rsid w:val="002A4FFA"/>
    <w:rsid w:val="002A56E7"/>
    <w:rsid w:val="002A720E"/>
    <w:rsid w:val="002B02A7"/>
    <w:rsid w:val="002B14CD"/>
    <w:rsid w:val="002B457E"/>
    <w:rsid w:val="002B46C9"/>
    <w:rsid w:val="002C119E"/>
    <w:rsid w:val="002C22C8"/>
    <w:rsid w:val="002C2756"/>
    <w:rsid w:val="002C56DC"/>
    <w:rsid w:val="002C62A2"/>
    <w:rsid w:val="002D4597"/>
    <w:rsid w:val="002E082D"/>
    <w:rsid w:val="002E3387"/>
    <w:rsid w:val="002E3D81"/>
    <w:rsid w:val="002E4E81"/>
    <w:rsid w:val="002E6DAF"/>
    <w:rsid w:val="002E72E6"/>
    <w:rsid w:val="002E78F0"/>
    <w:rsid w:val="002F03F8"/>
    <w:rsid w:val="002F3473"/>
    <w:rsid w:val="002F3530"/>
    <w:rsid w:val="002F64E0"/>
    <w:rsid w:val="003029FE"/>
    <w:rsid w:val="00313161"/>
    <w:rsid w:val="00315B4B"/>
    <w:rsid w:val="0031683A"/>
    <w:rsid w:val="003171E8"/>
    <w:rsid w:val="0032027F"/>
    <w:rsid w:val="00320E0B"/>
    <w:rsid w:val="003225EC"/>
    <w:rsid w:val="003252DE"/>
    <w:rsid w:val="00331033"/>
    <w:rsid w:val="00332750"/>
    <w:rsid w:val="003335C8"/>
    <w:rsid w:val="0033549D"/>
    <w:rsid w:val="003354F4"/>
    <w:rsid w:val="0033584F"/>
    <w:rsid w:val="00335BB0"/>
    <w:rsid w:val="003560CF"/>
    <w:rsid w:val="00356E9E"/>
    <w:rsid w:val="00360522"/>
    <w:rsid w:val="0036362A"/>
    <w:rsid w:val="003663F4"/>
    <w:rsid w:val="00366AF2"/>
    <w:rsid w:val="003706AD"/>
    <w:rsid w:val="003730D8"/>
    <w:rsid w:val="003744FC"/>
    <w:rsid w:val="00377C9B"/>
    <w:rsid w:val="00377D8E"/>
    <w:rsid w:val="00380206"/>
    <w:rsid w:val="00382251"/>
    <w:rsid w:val="003846AB"/>
    <w:rsid w:val="00385995"/>
    <w:rsid w:val="00390552"/>
    <w:rsid w:val="0039357E"/>
    <w:rsid w:val="00393D7D"/>
    <w:rsid w:val="003942A8"/>
    <w:rsid w:val="003A0E73"/>
    <w:rsid w:val="003B0493"/>
    <w:rsid w:val="003B1545"/>
    <w:rsid w:val="003B5BAE"/>
    <w:rsid w:val="003B66FE"/>
    <w:rsid w:val="003B7030"/>
    <w:rsid w:val="003B73F3"/>
    <w:rsid w:val="003B7BD5"/>
    <w:rsid w:val="003C13AC"/>
    <w:rsid w:val="003C3C33"/>
    <w:rsid w:val="003C5A9F"/>
    <w:rsid w:val="003C6D6C"/>
    <w:rsid w:val="003C6F6C"/>
    <w:rsid w:val="003C6F79"/>
    <w:rsid w:val="003D131D"/>
    <w:rsid w:val="003D2D72"/>
    <w:rsid w:val="003D4B45"/>
    <w:rsid w:val="003D58EC"/>
    <w:rsid w:val="003E000D"/>
    <w:rsid w:val="003E0B72"/>
    <w:rsid w:val="003E0E0B"/>
    <w:rsid w:val="003E1183"/>
    <w:rsid w:val="003E2B0F"/>
    <w:rsid w:val="003E2F23"/>
    <w:rsid w:val="003E3131"/>
    <w:rsid w:val="003E55A5"/>
    <w:rsid w:val="003F0D45"/>
    <w:rsid w:val="003F15E8"/>
    <w:rsid w:val="003F3D95"/>
    <w:rsid w:val="003F7662"/>
    <w:rsid w:val="00402E7B"/>
    <w:rsid w:val="00404191"/>
    <w:rsid w:val="00406DDB"/>
    <w:rsid w:val="00410B8A"/>
    <w:rsid w:val="00410BEE"/>
    <w:rsid w:val="00412E07"/>
    <w:rsid w:val="00414B6E"/>
    <w:rsid w:val="00415DB3"/>
    <w:rsid w:val="00415E72"/>
    <w:rsid w:val="00417803"/>
    <w:rsid w:val="00421C1A"/>
    <w:rsid w:val="00421E7D"/>
    <w:rsid w:val="00426ED0"/>
    <w:rsid w:val="004368EB"/>
    <w:rsid w:val="004474B3"/>
    <w:rsid w:val="00455DFD"/>
    <w:rsid w:val="00455EA5"/>
    <w:rsid w:val="00456369"/>
    <w:rsid w:val="00456573"/>
    <w:rsid w:val="00461724"/>
    <w:rsid w:val="00463983"/>
    <w:rsid w:val="00465BB0"/>
    <w:rsid w:val="00473BB5"/>
    <w:rsid w:val="00476BD8"/>
    <w:rsid w:val="00476CCC"/>
    <w:rsid w:val="0048015F"/>
    <w:rsid w:val="00482F9E"/>
    <w:rsid w:val="00485D7F"/>
    <w:rsid w:val="0049207F"/>
    <w:rsid w:val="00496D81"/>
    <w:rsid w:val="004A0849"/>
    <w:rsid w:val="004A0BED"/>
    <w:rsid w:val="004A36AC"/>
    <w:rsid w:val="004A4B02"/>
    <w:rsid w:val="004A4C43"/>
    <w:rsid w:val="004A5519"/>
    <w:rsid w:val="004A7C68"/>
    <w:rsid w:val="004B2AEE"/>
    <w:rsid w:val="004B2C11"/>
    <w:rsid w:val="004B3C6C"/>
    <w:rsid w:val="004B4564"/>
    <w:rsid w:val="004B46C8"/>
    <w:rsid w:val="004B7744"/>
    <w:rsid w:val="004C07A9"/>
    <w:rsid w:val="004C4280"/>
    <w:rsid w:val="004C42EA"/>
    <w:rsid w:val="004C58DB"/>
    <w:rsid w:val="004D4EE1"/>
    <w:rsid w:val="004D6A91"/>
    <w:rsid w:val="004E4951"/>
    <w:rsid w:val="004E4D05"/>
    <w:rsid w:val="004E5441"/>
    <w:rsid w:val="004E64CB"/>
    <w:rsid w:val="004E7E9B"/>
    <w:rsid w:val="004F229B"/>
    <w:rsid w:val="004F2F64"/>
    <w:rsid w:val="004F576E"/>
    <w:rsid w:val="004F5EE0"/>
    <w:rsid w:val="0050182D"/>
    <w:rsid w:val="005031F2"/>
    <w:rsid w:val="00511911"/>
    <w:rsid w:val="005159CC"/>
    <w:rsid w:val="0052019E"/>
    <w:rsid w:val="005203B2"/>
    <w:rsid w:val="00524440"/>
    <w:rsid w:val="00526534"/>
    <w:rsid w:val="00531377"/>
    <w:rsid w:val="00531E40"/>
    <w:rsid w:val="00543BD7"/>
    <w:rsid w:val="00544C32"/>
    <w:rsid w:val="00544DA4"/>
    <w:rsid w:val="00550E76"/>
    <w:rsid w:val="00551763"/>
    <w:rsid w:val="00551BCD"/>
    <w:rsid w:val="00551D19"/>
    <w:rsid w:val="00555B80"/>
    <w:rsid w:val="00555CB4"/>
    <w:rsid w:val="005566AA"/>
    <w:rsid w:val="00561C32"/>
    <w:rsid w:val="00564878"/>
    <w:rsid w:val="005664DF"/>
    <w:rsid w:val="00574C7B"/>
    <w:rsid w:val="00575CA2"/>
    <w:rsid w:val="00583899"/>
    <w:rsid w:val="00584C96"/>
    <w:rsid w:val="00585978"/>
    <w:rsid w:val="0058682F"/>
    <w:rsid w:val="00593E4A"/>
    <w:rsid w:val="005940E6"/>
    <w:rsid w:val="00595577"/>
    <w:rsid w:val="00596D19"/>
    <w:rsid w:val="00597C3D"/>
    <w:rsid w:val="005B0BA4"/>
    <w:rsid w:val="005B1BCB"/>
    <w:rsid w:val="005B26A0"/>
    <w:rsid w:val="005B641E"/>
    <w:rsid w:val="005B76B8"/>
    <w:rsid w:val="005C12D9"/>
    <w:rsid w:val="005C27A2"/>
    <w:rsid w:val="005C4604"/>
    <w:rsid w:val="005C6D1D"/>
    <w:rsid w:val="005C70A2"/>
    <w:rsid w:val="005D2A24"/>
    <w:rsid w:val="005D35D4"/>
    <w:rsid w:val="005D5305"/>
    <w:rsid w:val="005D79AC"/>
    <w:rsid w:val="005E11F0"/>
    <w:rsid w:val="005E1691"/>
    <w:rsid w:val="005E4B3A"/>
    <w:rsid w:val="005E4B57"/>
    <w:rsid w:val="005E65CC"/>
    <w:rsid w:val="005F06E3"/>
    <w:rsid w:val="005F22D4"/>
    <w:rsid w:val="005F4251"/>
    <w:rsid w:val="005F6CF0"/>
    <w:rsid w:val="005F71D6"/>
    <w:rsid w:val="006018AF"/>
    <w:rsid w:val="00601B1C"/>
    <w:rsid w:val="00603CA1"/>
    <w:rsid w:val="00604B2D"/>
    <w:rsid w:val="00606DB4"/>
    <w:rsid w:val="006112FD"/>
    <w:rsid w:val="0061229B"/>
    <w:rsid w:val="00622A73"/>
    <w:rsid w:val="00622F2B"/>
    <w:rsid w:val="0062368F"/>
    <w:rsid w:val="00627544"/>
    <w:rsid w:val="00630EBD"/>
    <w:rsid w:val="00636E49"/>
    <w:rsid w:val="006433A9"/>
    <w:rsid w:val="00643854"/>
    <w:rsid w:val="00644F2F"/>
    <w:rsid w:val="00645039"/>
    <w:rsid w:val="006526B9"/>
    <w:rsid w:val="00654C02"/>
    <w:rsid w:val="00655F5A"/>
    <w:rsid w:val="00661A98"/>
    <w:rsid w:val="00663E61"/>
    <w:rsid w:val="006642A2"/>
    <w:rsid w:val="006674F8"/>
    <w:rsid w:val="0066779F"/>
    <w:rsid w:val="00670522"/>
    <w:rsid w:val="00672299"/>
    <w:rsid w:val="00675474"/>
    <w:rsid w:val="006754AF"/>
    <w:rsid w:val="00675A1C"/>
    <w:rsid w:val="006766F3"/>
    <w:rsid w:val="00677AC6"/>
    <w:rsid w:val="00680F61"/>
    <w:rsid w:val="00694310"/>
    <w:rsid w:val="006946DD"/>
    <w:rsid w:val="006953C6"/>
    <w:rsid w:val="00695A48"/>
    <w:rsid w:val="00696888"/>
    <w:rsid w:val="00696C04"/>
    <w:rsid w:val="006A16E9"/>
    <w:rsid w:val="006A1C21"/>
    <w:rsid w:val="006A417B"/>
    <w:rsid w:val="006A6A64"/>
    <w:rsid w:val="006B046A"/>
    <w:rsid w:val="006B1D4E"/>
    <w:rsid w:val="006B2F51"/>
    <w:rsid w:val="006C0159"/>
    <w:rsid w:val="006C16ED"/>
    <w:rsid w:val="006C192F"/>
    <w:rsid w:val="006C30B7"/>
    <w:rsid w:val="006C328A"/>
    <w:rsid w:val="006C70F0"/>
    <w:rsid w:val="006D12E9"/>
    <w:rsid w:val="006D1399"/>
    <w:rsid w:val="006D5C2C"/>
    <w:rsid w:val="006D7335"/>
    <w:rsid w:val="006E1330"/>
    <w:rsid w:val="006E2815"/>
    <w:rsid w:val="006F1EE1"/>
    <w:rsid w:val="006F36F1"/>
    <w:rsid w:val="006F49EB"/>
    <w:rsid w:val="006F5916"/>
    <w:rsid w:val="006F6A9A"/>
    <w:rsid w:val="00700031"/>
    <w:rsid w:val="00700E63"/>
    <w:rsid w:val="00701036"/>
    <w:rsid w:val="007012AD"/>
    <w:rsid w:val="00701BAE"/>
    <w:rsid w:val="00701FCC"/>
    <w:rsid w:val="007042B9"/>
    <w:rsid w:val="0071277A"/>
    <w:rsid w:val="00713538"/>
    <w:rsid w:val="007165A2"/>
    <w:rsid w:val="007175EE"/>
    <w:rsid w:val="007257F6"/>
    <w:rsid w:val="00725814"/>
    <w:rsid w:val="00730F60"/>
    <w:rsid w:val="007314BE"/>
    <w:rsid w:val="00733355"/>
    <w:rsid w:val="007349AB"/>
    <w:rsid w:val="00736267"/>
    <w:rsid w:val="0074259A"/>
    <w:rsid w:val="007473F7"/>
    <w:rsid w:val="00751E59"/>
    <w:rsid w:val="0075584B"/>
    <w:rsid w:val="00760875"/>
    <w:rsid w:val="00760E6E"/>
    <w:rsid w:val="0076122F"/>
    <w:rsid w:val="00766017"/>
    <w:rsid w:val="00766635"/>
    <w:rsid w:val="00766A81"/>
    <w:rsid w:val="00770850"/>
    <w:rsid w:val="007714F9"/>
    <w:rsid w:val="00772A5D"/>
    <w:rsid w:val="00772A77"/>
    <w:rsid w:val="00774E61"/>
    <w:rsid w:val="00783022"/>
    <w:rsid w:val="0078310B"/>
    <w:rsid w:val="0078423F"/>
    <w:rsid w:val="00785908"/>
    <w:rsid w:val="00787E12"/>
    <w:rsid w:val="00791808"/>
    <w:rsid w:val="0079595F"/>
    <w:rsid w:val="00797180"/>
    <w:rsid w:val="007972DC"/>
    <w:rsid w:val="007A337E"/>
    <w:rsid w:val="007A3B7A"/>
    <w:rsid w:val="007A5283"/>
    <w:rsid w:val="007B1E6D"/>
    <w:rsid w:val="007B307C"/>
    <w:rsid w:val="007B7D6A"/>
    <w:rsid w:val="007C10C5"/>
    <w:rsid w:val="007C6FF4"/>
    <w:rsid w:val="007D2CEE"/>
    <w:rsid w:val="007D51DC"/>
    <w:rsid w:val="007D5BBE"/>
    <w:rsid w:val="007D6972"/>
    <w:rsid w:val="007D71DF"/>
    <w:rsid w:val="007D7ADE"/>
    <w:rsid w:val="007E031A"/>
    <w:rsid w:val="007E7069"/>
    <w:rsid w:val="007E73AC"/>
    <w:rsid w:val="007F0573"/>
    <w:rsid w:val="007F1EB0"/>
    <w:rsid w:val="007F1F9B"/>
    <w:rsid w:val="007F22C0"/>
    <w:rsid w:val="007F3C7F"/>
    <w:rsid w:val="007F4312"/>
    <w:rsid w:val="007F63BC"/>
    <w:rsid w:val="007F7C0B"/>
    <w:rsid w:val="00802B4C"/>
    <w:rsid w:val="0080532E"/>
    <w:rsid w:val="008054C5"/>
    <w:rsid w:val="00805CEC"/>
    <w:rsid w:val="00806180"/>
    <w:rsid w:val="0081008F"/>
    <w:rsid w:val="00811E15"/>
    <w:rsid w:val="00812C6A"/>
    <w:rsid w:val="0081732D"/>
    <w:rsid w:val="00817AC0"/>
    <w:rsid w:val="00824085"/>
    <w:rsid w:val="00824718"/>
    <w:rsid w:val="008250A1"/>
    <w:rsid w:val="008336D7"/>
    <w:rsid w:val="00835AE1"/>
    <w:rsid w:val="00840397"/>
    <w:rsid w:val="00842B19"/>
    <w:rsid w:val="00842C43"/>
    <w:rsid w:val="008471C4"/>
    <w:rsid w:val="00853176"/>
    <w:rsid w:val="00854E8C"/>
    <w:rsid w:val="00865660"/>
    <w:rsid w:val="00866C79"/>
    <w:rsid w:val="0087145C"/>
    <w:rsid w:val="0087411C"/>
    <w:rsid w:val="0087584D"/>
    <w:rsid w:val="00876DCC"/>
    <w:rsid w:val="0087755D"/>
    <w:rsid w:val="0088272F"/>
    <w:rsid w:val="00883C99"/>
    <w:rsid w:val="0088707B"/>
    <w:rsid w:val="008902F3"/>
    <w:rsid w:val="00890DE0"/>
    <w:rsid w:val="0089240A"/>
    <w:rsid w:val="00894759"/>
    <w:rsid w:val="008A4B20"/>
    <w:rsid w:val="008A69DC"/>
    <w:rsid w:val="008B287E"/>
    <w:rsid w:val="008B4DEF"/>
    <w:rsid w:val="008B5C0C"/>
    <w:rsid w:val="008C51B6"/>
    <w:rsid w:val="008D1648"/>
    <w:rsid w:val="008D2E75"/>
    <w:rsid w:val="008D73D7"/>
    <w:rsid w:val="008D773E"/>
    <w:rsid w:val="008E5D0A"/>
    <w:rsid w:val="008F57DB"/>
    <w:rsid w:val="0090409E"/>
    <w:rsid w:val="00904E6F"/>
    <w:rsid w:val="00906E8E"/>
    <w:rsid w:val="00907C76"/>
    <w:rsid w:val="00913A7A"/>
    <w:rsid w:val="00914F26"/>
    <w:rsid w:val="009152BE"/>
    <w:rsid w:val="00917751"/>
    <w:rsid w:val="009217B7"/>
    <w:rsid w:val="00923914"/>
    <w:rsid w:val="00924149"/>
    <w:rsid w:val="00924542"/>
    <w:rsid w:val="00926667"/>
    <w:rsid w:val="00926ADE"/>
    <w:rsid w:val="00931C34"/>
    <w:rsid w:val="0093692C"/>
    <w:rsid w:val="00936CB5"/>
    <w:rsid w:val="00951CF7"/>
    <w:rsid w:val="00952A1A"/>
    <w:rsid w:val="00952E73"/>
    <w:rsid w:val="009537BC"/>
    <w:rsid w:val="00954635"/>
    <w:rsid w:val="00956E3B"/>
    <w:rsid w:val="00957F0F"/>
    <w:rsid w:val="009607E7"/>
    <w:rsid w:val="00963D00"/>
    <w:rsid w:val="00964077"/>
    <w:rsid w:val="009670B5"/>
    <w:rsid w:val="00971D9A"/>
    <w:rsid w:val="00972E6C"/>
    <w:rsid w:val="00975A1E"/>
    <w:rsid w:val="00980F81"/>
    <w:rsid w:val="00982A99"/>
    <w:rsid w:val="00990102"/>
    <w:rsid w:val="00991C7B"/>
    <w:rsid w:val="00993922"/>
    <w:rsid w:val="00995612"/>
    <w:rsid w:val="009970E3"/>
    <w:rsid w:val="009A3595"/>
    <w:rsid w:val="009A505B"/>
    <w:rsid w:val="009A525C"/>
    <w:rsid w:val="009B1240"/>
    <w:rsid w:val="009B1F20"/>
    <w:rsid w:val="009C0DF2"/>
    <w:rsid w:val="009C14FE"/>
    <w:rsid w:val="009C1B02"/>
    <w:rsid w:val="009C2602"/>
    <w:rsid w:val="009C5DC3"/>
    <w:rsid w:val="009D0C47"/>
    <w:rsid w:val="009D7054"/>
    <w:rsid w:val="009E06D1"/>
    <w:rsid w:val="009F19BB"/>
    <w:rsid w:val="009F449D"/>
    <w:rsid w:val="009F4FA9"/>
    <w:rsid w:val="009F5C3E"/>
    <w:rsid w:val="009F7904"/>
    <w:rsid w:val="00A0059A"/>
    <w:rsid w:val="00A026BF"/>
    <w:rsid w:val="00A03160"/>
    <w:rsid w:val="00A0608B"/>
    <w:rsid w:val="00A07731"/>
    <w:rsid w:val="00A07D84"/>
    <w:rsid w:val="00A13A44"/>
    <w:rsid w:val="00A16A4E"/>
    <w:rsid w:val="00A30CBF"/>
    <w:rsid w:val="00A322C3"/>
    <w:rsid w:val="00A34E5B"/>
    <w:rsid w:val="00A353FE"/>
    <w:rsid w:val="00A43A04"/>
    <w:rsid w:val="00A4530B"/>
    <w:rsid w:val="00A4544A"/>
    <w:rsid w:val="00A46572"/>
    <w:rsid w:val="00A469F5"/>
    <w:rsid w:val="00A508A5"/>
    <w:rsid w:val="00A513AC"/>
    <w:rsid w:val="00A517EA"/>
    <w:rsid w:val="00A51BB3"/>
    <w:rsid w:val="00A53A98"/>
    <w:rsid w:val="00A544E0"/>
    <w:rsid w:val="00A6382F"/>
    <w:rsid w:val="00A64DBA"/>
    <w:rsid w:val="00A66891"/>
    <w:rsid w:val="00A724B3"/>
    <w:rsid w:val="00A72DB1"/>
    <w:rsid w:val="00A73907"/>
    <w:rsid w:val="00A74F5C"/>
    <w:rsid w:val="00A754C9"/>
    <w:rsid w:val="00A87054"/>
    <w:rsid w:val="00A91832"/>
    <w:rsid w:val="00A94940"/>
    <w:rsid w:val="00A97343"/>
    <w:rsid w:val="00AA02BB"/>
    <w:rsid w:val="00AA0B20"/>
    <w:rsid w:val="00AA0F7E"/>
    <w:rsid w:val="00AA3D4D"/>
    <w:rsid w:val="00AA5D44"/>
    <w:rsid w:val="00AB1585"/>
    <w:rsid w:val="00AB3571"/>
    <w:rsid w:val="00AB60E6"/>
    <w:rsid w:val="00AB63BB"/>
    <w:rsid w:val="00AC29EA"/>
    <w:rsid w:val="00AC73D1"/>
    <w:rsid w:val="00AD10FF"/>
    <w:rsid w:val="00AD16C0"/>
    <w:rsid w:val="00AD1F33"/>
    <w:rsid w:val="00AD3D47"/>
    <w:rsid w:val="00AD4544"/>
    <w:rsid w:val="00AD6B4F"/>
    <w:rsid w:val="00AD6C89"/>
    <w:rsid w:val="00AD7CFA"/>
    <w:rsid w:val="00AE3ECF"/>
    <w:rsid w:val="00AE435D"/>
    <w:rsid w:val="00AE7969"/>
    <w:rsid w:val="00AE7A8C"/>
    <w:rsid w:val="00AF433D"/>
    <w:rsid w:val="00AF4FC3"/>
    <w:rsid w:val="00B012EE"/>
    <w:rsid w:val="00B020B6"/>
    <w:rsid w:val="00B02940"/>
    <w:rsid w:val="00B0438F"/>
    <w:rsid w:val="00B24A43"/>
    <w:rsid w:val="00B268C9"/>
    <w:rsid w:val="00B275AD"/>
    <w:rsid w:val="00B30F7B"/>
    <w:rsid w:val="00B35D76"/>
    <w:rsid w:val="00B36586"/>
    <w:rsid w:val="00B40920"/>
    <w:rsid w:val="00B42E69"/>
    <w:rsid w:val="00B45D1F"/>
    <w:rsid w:val="00B516A6"/>
    <w:rsid w:val="00B524FE"/>
    <w:rsid w:val="00B52D6F"/>
    <w:rsid w:val="00B5782F"/>
    <w:rsid w:val="00B6501E"/>
    <w:rsid w:val="00B664BC"/>
    <w:rsid w:val="00B66B12"/>
    <w:rsid w:val="00B67AE6"/>
    <w:rsid w:val="00B71208"/>
    <w:rsid w:val="00B71945"/>
    <w:rsid w:val="00B722D9"/>
    <w:rsid w:val="00B73259"/>
    <w:rsid w:val="00B77694"/>
    <w:rsid w:val="00B80504"/>
    <w:rsid w:val="00B8074A"/>
    <w:rsid w:val="00B81324"/>
    <w:rsid w:val="00B83694"/>
    <w:rsid w:val="00B842C0"/>
    <w:rsid w:val="00B86DEC"/>
    <w:rsid w:val="00B87363"/>
    <w:rsid w:val="00B87528"/>
    <w:rsid w:val="00B87741"/>
    <w:rsid w:val="00B878D3"/>
    <w:rsid w:val="00B90E72"/>
    <w:rsid w:val="00B91322"/>
    <w:rsid w:val="00B925F9"/>
    <w:rsid w:val="00B93FA0"/>
    <w:rsid w:val="00B947C5"/>
    <w:rsid w:val="00BA4613"/>
    <w:rsid w:val="00BB0C89"/>
    <w:rsid w:val="00BB232B"/>
    <w:rsid w:val="00BB46AD"/>
    <w:rsid w:val="00BB5CE5"/>
    <w:rsid w:val="00BC0735"/>
    <w:rsid w:val="00BC10F8"/>
    <w:rsid w:val="00BC511F"/>
    <w:rsid w:val="00BC5AF2"/>
    <w:rsid w:val="00BC79EB"/>
    <w:rsid w:val="00BD290D"/>
    <w:rsid w:val="00BD66C6"/>
    <w:rsid w:val="00BD79DF"/>
    <w:rsid w:val="00BE5A7E"/>
    <w:rsid w:val="00BE63FA"/>
    <w:rsid w:val="00BE66D2"/>
    <w:rsid w:val="00BF299B"/>
    <w:rsid w:val="00BF38E8"/>
    <w:rsid w:val="00BF4131"/>
    <w:rsid w:val="00BF4B3D"/>
    <w:rsid w:val="00BF6F49"/>
    <w:rsid w:val="00C020E3"/>
    <w:rsid w:val="00C07DB8"/>
    <w:rsid w:val="00C12FD9"/>
    <w:rsid w:val="00C137D6"/>
    <w:rsid w:val="00C16D96"/>
    <w:rsid w:val="00C17776"/>
    <w:rsid w:val="00C21527"/>
    <w:rsid w:val="00C22DBB"/>
    <w:rsid w:val="00C22F9C"/>
    <w:rsid w:val="00C2332B"/>
    <w:rsid w:val="00C25C1C"/>
    <w:rsid w:val="00C26B08"/>
    <w:rsid w:val="00C30CB4"/>
    <w:rsid w:val="00C31762"/>
    <w:rsid w:val="00C33061"/>
    <w:rsid w:val="00C37EAA"/>
    <w:rsid w:val="00C40330"/>
    <w:rsid w:val="00C43ADC"/>
    <w:rsid w:val="00C44D81"/>
    <w:rsid w:val="00C47525"/>
    <w:rsid w:val="00C52F74"/>
    <w:rsid w:val="00C53A6B"/>
    <w:rsid w:val="00C53E0A"/>
    <w:rsid w:val="00C61366"/>
    <w:rsid w:val="00C66639"/>
    <w:rsid w:val="00C66F4A"/>
    <w:rsid w:val="00C716D3"/>
    <w:rsid w:val="00C72E38"/>
    <w:rsid w:val="00C75F11"/>
    <w:rsid w:val="00C76EBE"/>
    <w:rsid w:val="00C808D0"/>
    <w:rsid w:val="00C81F6B"/>
    <w:rsid w:val="00C82E99"/>
    <w:rsid w:val="00C835D3"/>
    <w:rsid w:val="00C84AB1"/>
    <w:rsid w:val="00C850B1"/>
    <w:rsid w:val="00C859A4"/>
    <w:rsid w:val="00C87CFF"/>
    <w:rsid w:val="00C9057E"/>
    <w:rsid w:val="00C91FFC"/>
    <w:rsid w:val="00C9209C"/>
    <w:rsid w:val="00C94971"/>
    <w:rsid w:val="00C94FD3"/>
    <w:rsid w:val="00C96182"/>
    <w:rsid w:val="00CA3367"/>
    <w:rsid w:val="00CA7A1D"/>
    <w:rsid w:val="00CA7D9A"/>
    <w:rsid w:val="00CB05AE"/>
    <w:rsid w:val="00CB0DA9"/>
    <w:rsid w:val="00CB3E86"/>
    <w:rsid w:val="00CB604B"/>
    <w:rsid w:val="00CB6DBD"/>
    <w:rsid w:val="00CB70F0"/>
    <w:rsid w:val="00CC0A23"/>
    <w:rsid w:val="00CC102D"/>
    <w:rsid w:val="00CC1A45"/>
    <w:rsid w:val="00CC470D"/>
    <w:rsid w:val="00CC718C"/>
    <w:rsid w:val="00CC7F40"/>
    <w:rsid w:val="00CD15B5"/>
    <w:rsid w:val="00CD1EA2"/>
    <w:rsid w:val="00CD477A"/>
    <w:rsid w:val="00CE26D6"/>
    <w:rsid w:val="00CE399E"/>
    <w:rsid w:val="00CF199F"/>
    <w:rsid w:val="00CF2ABB"/>
    <w:rsid w:val="00CF4C76"/>
    <w:rsid w:val="00CF656B"/>
    <w:rsid w:val="00CF71B2"/>
    <w:rsid w:val="00CF758F"/>
    <w:rsid w:val="00CF7EC4"/>
    <w:rsid w:val="00D045E8"/>
    <w:rsid w:val="00D05CAA"/>
    <w:rsid w:val="00D06335"/>
    <w:rsid w:val="00D14863"/>
    <w:rsid w:val="00D202CF"/>
    <w:rsid w:val="00D22567"/>
    <w:rsid w:val="00D2521A"/>
    <w:rsid w:val="00D26E1F"/>
    <w:rsid w:val="00D30BC2"/>
    <w:rsid w:val="00D31745"/>
    <w:rsid w:val="00D34B94"/>
    <w:rsid w:val="00D35343"/>
    <w:rsid w:val="00D366F6"/>
    <w:rsid w:val="00D36E11"/>
    <w:rsid w:val="00D41E25"/>
    <w:rsid w:val="00D4674A"/>
    <w:rsid w:val="00D47909"/>
    <w:rsid w:val="00D47DE6"/>
    <w:rsid w:val="00D47FF9"/>
    <w:rsid w:val="00D50137"/>
    <w:rsid w:val="00D51AED"/>
    <w:rsid w:val="00D52285"/>
    <w:rsid w:val="00D52C47"/>
    <w:rsid w:val="00D55029"/>
    <w:rsid w:val="00D550FC"/>
    <w:rsid w:val="00D5635E"/>
    <w:rsid w:val="00D56B6A"/>
    <w:rsid w:val="00D60861"/>
    <w:rsid w:val="00D639A1"/>
    <w:rsid w:val="00D659A9"/>
    <w:rsid w:val="00D71E99"/>
    <w:rsid w:val="00D724B5"/>
    <w:rsid w:val="00D74BA5"/>
    <w:rsid w:val="00D7648C"/>
    <w:rsid w:val="00D7695D"/>
    <w:rsid w:val="00D81939"/>
    <w:rsid w:val="00D83352"/>
    <w:rsid w:val="00D83AE6"/>
    <w:rsid w:val="00D84FCF"/>
    <w:rsid w:val="00D8653F"/>
    <w:rsid w:val="00D934A5"/>
    <w:rsid w:val="00D943C2"/>
    <w:rsid w:val="00D96F88"/>
    <w:rsid w:val="00D97D46"/>
    <w:rsid w:val="00DA1FE5"/>
    <w:rsid w:val="00DA2318"/>
    <w:rsid w:val="00DA28BB"/>
    <w:rsid w:val="00DA3093"/>
    <w:rsid w:val="00DA61F6"/>
    <w:rsid w:val="00DA7129"/>
    <w:rsid w:val="00DA7E59"/>
    <w:rsid w:val="00DB305A"/>
    <w:rsid w:val="00DB3650"/>
    <w:rsid w:val="00DB6DF4"/>
    <w:rsid w:val="00DB7FA0"/>
    <w:rsid w:val="00DC12D0"/>
    <w:rsid w:val="00DC5819"/>
    <w:rsid w:val="00DC69EE"/>
    <w:rsid w:val="00DC7336"/>
    <w:rsid w:val="00DC73EF"/>
    <w:rsid w:val="00DD0714"/>
    <w:rsid w:val="00DD4DEC"/>
    <w:rsid w:val="00DD6184"/>
    <w:rsid w:val="00DD76AA"/>
    <w:rsid w:val="00DE055B"/>
    <w:rsid w:val="00DE0957"/>
    <w:rsid w:val="00DE12EE"/>
    <w:rsid w:val="00DE14D2"/>
    <w:rsid w:val="00DE51A8"/>
    <w:rsid w:val="00DE6972"/>
    <w:rsid w:val="00DF5FE4"/>
    <w:rsid w:val="00DF63A4"/>
    <w:rsid w:val="00DF6FBE"/>
    <w:rsid w:val="00DF7EA4"/>
    <w:rsid w:val="00E108C2"/>
    <w:rsid w:val="00E12F81"/>
    <w:rsid w:val="00E201F9"/>
    <w:rsid w:val="00E2042D"/>
    <w:rsid w:val="00E206F2"/>
    <w:rsid w:val="00E21901"/>
    <w:rsid w:val="00E22E53"/>
    <w:rsid w:val="00E25140"/>
    <w:rsid w:val="00E25EB6"/>
    <w:rsid w:val="00E26165"/>
    <w:rsid w:val="00E27223"/>
    <w:rsid w:val="00E27E0B"/>
    <w:rsid w:val="00E30C64"/>
    <w:rsid w:val="00E37724"/>
    <w:rsid w:val="00E37ECA"/>
    <w:rsid w:val="00E45B0E"/>
    <w:rsid w:val="00E45C2D"/>
    <w:rsid w:val="00E53242"/>
    <w:rsid w:val="00E53815"/>
    <w:rsid w:val="00E55430"/>
    <w:rsid w:val="00E5630E"/>
    <w:rsid w:val="00E57447"/>
    <w:rsid w:val="00E644F7"/>
    <w:rsid w:val="00E7059E"/>
    <w:rsid w:val="00E732F0"/>
    <w:rsid w:val="00E7494B"/>
    <w:rsid w:val="00E77579"/>
    <w:rsid w:val="00E81FDD"/>
    <w:rsid w:val="00E8446F"/>
    <w:rsid w:val="00E84DF9"/>
    <w:rsid w:val="00E90289"/>
    <w:rsid w:val="00E90826"/>
    <w:rsid w:val="00E91780"/>
    <w:rsid w:val="00EB2907"/>
    <w:rsid w:val="00EB38B3"/>
    <w:rsid w:val="00EB4077"/>
    <w:rsid w:val="00EB56A7"/>
    <w:rsid w:val="00EB73E0"/>
    <w:rsid w:val="00EC0C84"/>
    <w:rsid w:val="00ED46DD"/>
    <w:rsid w:val="00ED4A20"/>
    <w:rsid w:val="00EE0A6B"/>
    <w:rsid w:val="00EE5392"/>
    <w:rsid w:val="00EE6A66"/>
    <w:rsid w:val="00EE6F02"/>
    <w:rsid w:val="00EF2FB5"/>
    <w:rsid w:val="00EF55F9"/>
    <w:rsid w:val="00F00900"/>
    <w:rsid w:val="00F036DC"/>
    <w:rsid w:val="00F06021"/>
    <w:rsid w:val="00F11918"/>
    <w:rsid w:val="00F226A1"/>
    <w:rsid w:val="00F23ADB"/>
    <w:rsid w:val="00F248C0"/>
    <w:rsid w:val="00F25131"/>
    <w:rsid w:val="00F25E2A"/>
    <w:rsid w:val="00F267EF"/>
    <w:rsid w:val="00F3279A"/>
    <w:rsid w:val="00F32E14"/>
    <w:rsid w:val="00F36035"/>
    <w:rsid w:val="00F365F2"/>
    <w:rsid w:val="00F37AE1"/>
    <w:rsid w:val="00F4056D"/>
    <w:rsid w:val="00F4076D"/>
    <w:rsid w:val="00F4177C"/>
    <w:rsid w:val="00F42BBF"/>
    <w:rsid w:val="00F456DA"/>
    <w:rsid w:val="00F505C4"/>
    <w:rsid w:val="00F52E8A"/>
    <w:rsid w:val="00F537E6"/>
    <w:rsid w:val="00F567B7"/>
    <w:rsid w:val="00F621CD"/>
    <w:rsid w:val="00F642EF"/>
    <w:rsid w:val="00F71640"/>
    <w:rsid w:val="00F746F7"/>
    <w:rsid w:val="00F74BF4"/>
    <w:rsid w:val="00F76D18"/>
    <w:rsid w:val="00F81494"/>
    <w:rsid w:val="00F81A91"/>
    <w:rsid w:val="00F83D46"/>
    <w:rsid w:val="00F8636F"/>
    <w:rsid w:val="00F91554"/>
    <w:rsid w:val="00F9181D"/>
    <w:rsid w:val="00F91C3E"/>
    <w:rsid w:val="00F929ED"/>
    <w:rsid w:val="00F960E9"/>
    <w:rsid w:val="00FA2ABA"/>
    <w:rsid w:val="00FA3095"/>
    <w:rsid w:val="00FA5CD9"/>
    <w:rsid w:val="00FB1E96"/>
    <w:rsid w:val="00FB1ED9"/>
    <w:rsid w:val="00FB2CAE"/>
    <w:rsid w:val="00FB2EEA"/>
    <w:rsid w:val="00FB411A"/>
    <w:rsid w:val="00FC1E46"/>
    <w:rsid w:val="00FC5388"/>
    <w:rsid w:val="00FD05B9"/>
    <w:rsid w:val="00FD1224"/>
    <w:rsid w:val="00FD16DF"/>
    <w:rsid w:val="00FD2382"/>
    <w:rsid w:val="00FD2A54"/>
    <w:rsid w:val="00FD3B58"/>
    <w:rsid w:val="00FD6B64"/>
    <w:rsid w:val="00FE019C"/>
    <w:rsid w:val="00FE0F57"/>
    <w:rsid w:val="00FE170A"/>
    <w:rsid w:val="00FE275A"/>
    <w:rsid w:val="00FE2CBA"/>
    <w:rsid w:val="00FE329A"/>
    <w:rsid w:val="00FE51A3"/>
    <w:rsid w:val="00FE55C7"/>
    <w:rsid w:val="00FE6759"/>
    <w:rsid w:val="00FF1C92"/>
    <w:rsid w:val="00FF27C9"/>
    <w:rsid w:val="00FF4EEB"/>
    <w:rsid w:val="00FF5446"/>
    <w:rsid w:val="00FF75B5"/>
    <w:rsid w:val="00FF7D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FB63A"/>
  <w15:docId w15:val="{5FEB764D-E601-467C-9814-3A48F577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538"/>
    <w:pPr>
      <w:autoSpaceDE w:val="0"/>
      <w:autoSpaceDN w:val="0"/>
      <w:adjustRightInd w:val="0"/>
      <w:spacing w:before="40" w:after="120" w:line="300" w:lineRule="atLeast"/>
      <w:jc w:val="both"/>
    </w:pPr>
    <w:rPr>
      <w:rFonts w:cs="Arial"/>
    </w:rPr>
  </w:style>
  <w:style w:type="paragraph" w:styleId="1">
    <w:name w:val="heading 1"/>
    <w:basedOn w:val="a"/>
    <w:next w:val="a"/>
    <w:link w:val="1Char"/>
    <w:qFormat/>
    <w:rsid w:val="00555B80"/>
    <w:pPr>
      <w:keepNext/>
      <w:spacing w:after="0" w:line="360" w:lineRule="auto"/>
      <w:outlineLvl w:val="0"/>
    </w:pPr>
    <w:rPr>
      <w:rFonts w:eastAsia="Times New Roman"/>
      <w:b/>
      <w:bCs/>
      <w:color w:val="39302A" w:themeColor="text2"/>
      <w:sz w:val="28"/>
      <w:szCs w:val="24"/>
      <w:u w:val="single"/>
    </w:rPr>
  </w:style>
  <w:style w:type="paragraph" w:styleId="2">
    <w:name w:val="heading 2"/>
    <w:basedOn w:val="a"/>
    <w:next w:val="a"/>
    <w:link w:val="2Char"/>
    <w:uiPriority w:val="9"/>
    <w:unhideWhenUsed/>
    <w:qFormat/>
    <w:rsid w:val="00D26E1F"/>
    <w:pPr>
      <w:keepNext/>
      <w:keepLines/>
      <w:spacing w:before="200" w:after="240"/>
      <w:outlineLvl w:val="1"/>
    </w:pPr>
    <w:rPr>
      <w:rFonts w:eastAsiaTheme="majorEastAsia" w:cstheme="majorBidi"/>
      <w:b/>
      <w:bCs/>
      <w:color w:val="39302A" w:themeColor="text2"/>
      <w:sz w:val="24"/>
      <w:szCs w:val="26"/>
    </w:rPr>
  </w:style>
  <w:style w:type="paragraph" w:styleId="3">
    <w:name w:val="heading 3"/>
    <w:basedOn w:val="a"/>
    <w:next w:val="a"/>
    <w:link w:val="3Char"/>
    <w:autoRedefine/>
    <w:uiPriority w:val="9"/>
    <w:unhideWhenUsed/>
    <w:qFormat/>
    <w:rsid w:val="00FA5CD9"/>
    <w:pPr>
      <w:spacing w:before="160" w:line="360" w:lineRule="auto"/>
      <w:outlineLvl w:val="2"/>
    </w:pPr>
    <w:rPr>
      <w:rFonts w:eastAsiaTheme="majorEastAsia" w:cstheme="majorBidi"/>
      <w:b/>
      <w:bCs/>
      <w:i/>
      <w:color w:val="39302A" w:themeColor="text2"/>
    </w:rPr>
  </w:style>
  <w:style w:type="paragraph" w:styleId="4">
    <w:name w:val="heading 4"/>
    <w:basedOn w:val="a"/>
    <w:next w:val="a"/>
    <w:link w:val="4Char"/>
    <w:uiPriority w:val="9"/>
    <w:unhideWhenUsed/>
    <w:qFormat/>
    <w:rsid w:val="00DC12D0"/>
    <w:pPr>
      <w:keepNext/>
      <w:keepLines/>
      <w:spacing w:before="200"/>
      <w:outlineLvl w:val="3"/>
    </w:pPr>
    <w:rPr>
      <w:rFonts w:eastAsiaTheme="majorEastAsia" w:cstheme="majorBidi"/>
      <w:b/>
      <w:bCs/>
      <w:i/>
      <w:iCs/>
      <w:color w:val="39302A"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M1">
    <w:name w:val="CM1"/>
    <w:basedOn w:val="a"/>
    <w:next w:val="a"/>
    <w:uiPriority w:val="99"/>
    <w:rsid w:val="00CB604B"/>
    <w:pPr>
      <w:spacing w:after="0" w:line="240" w:lineRule="auto"/>
    </w:pPr>
    <w:rPr>
      <w:rFonts w:ascii="EUAlbertina" w:hAnsi="EUAlbertina"/>
      <w:sz w:val="24"/>
      <w:szCs w:val="24"/>
    </w:rPr>
  </w:style>
  <w:style w:type="paragraph" w:customStyle="1" w:styleId="CM3">
    <w:name w:val="CM3"/>
    <w:basedOn w:val="a"/>
    <w:next w:val="a"/>
    <w:uiPriority w:val="99"/>
    <w:rsid w:val="00CB604B"/>
    <w:pPr>
      <w:spacing w:after="0" w:line="240" w:lineRule="auto"/>
    </w:pPr>
    <w:rPr>
      <w:rFonts w:ascii="EUAlbertina" w:hAnsi="EUAlbertina"/>
      <w:sz w:val="24"/>
      <w:szCs w:val="24"/>
    </w:rPr>
  </w:style>
  <w:style w:type="paragraph" w:customStyle="1" w:styleId="CM4">
    <w:name w:val="CM4"/>
    <w:basedOn w:val="a"/>
    <w:next w:val="a"/>
    <w:uiPriority w:val="99"/>
    <w:rsid w:val="00CB604B"/>
    <w:pPr>
      <w:spacing w:after="0" w:line="240" w:lineRule="auto"/>
    </w:pPr>
    <w:rPr>
      <w:rFonts w:ascii="EUAlbertina" w:hAnsi="EUAlbertina"/>
      <w:sz w:val="24"/>
      <w:szCs w:val="24"/>
    </w:rPr>
  </w:style>
  <w:style w:type="paragraph" w:styleId="a3">
    <w:name w:val="List Paragraph"/>
    <w:basedOn w:val="a"/>
    <w:uiPriority w:val="34"/>
    <w:qFormat/>
    <w:rsid w:val="00E206F2"/>
    <w:pPr>
      <w:ind w:left="720"/>
      <w:contextualSpacing/>
    </w:pPr>
  </w:style>
  <w:style w:type="character" w:customStyle="1" w:styleId="1Char">
    <w:name w:val="Επικεφαλίδα 1 Char"/>
    <w:basedOn w:val="a0"/>
    <w:link w:val="1"/>
    <w:rsid w:val="00555B80"/>
    <w:rPr>
      <w:rFonts w:eastAsia="Times New Roman" w:cs="Arial"/>
      <w:b/>
      <w:bCs/>
      <w:color w:val="39302A" w:themeColor="text2"/>
      <w:sz w:val="28"/>
      <w:szCs w:val="24"/>
      <w:u w:val="single"/>
    </w:rPr>
  </w:style>
  <w:style w:type="paragraph" w:styleId="a4">
    <w:name w:val="header"/>
    <w:basedOn w:val="a"/>
    <w:link w:val="Char"/>
    <w:uiPriority w:val="99"/>
    <w:rsid w:val="006674F8"/>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Char">
    <w:name w:val="Κεφαλίδα Char"/>
    <w:basedOn w:val="a0"/>
    <w:link w:val="a4"/>
    <w:uiPriority w:val="99"/>
    <w:rsid w:val="006674F8"/>
    <w:rPr>
      <w:rFonts w:ascii="Times New Roman" w:eastAsia="Times New Roman" w:hAnsi="Times New Roman" w:cs="Times New Roman"/>
      <w:sz w:val="24"/>
      <w:szCs w:val="24"/>
      <w:lang w:val="en-GB"/>
    </w:rPr>
  </w:style>
  <w:style w:type="paragraph" w:customStyle="1" w:styleId="Default">
    <w:name w:val="Default"/>
    <w:rsid w:val="00A544E0"/>
    <w:pPr>
      <w:autoSpaceDE w:val="0"/>
      <w:autoSpaceDN w:val="0"/>
      <w:adjustRightInd w:val="0"/>
      <w:spacing w:after="0" w:line="240" w:lineRule="auto"/>
    </w:pPr>
    <w:rPr>
      <w:rFonts w:ascii="EUAlbertina" w:hAnsi="EUAlbertina" w:cs="EUAlbertina"/>
      <w:color w:val="000000"/>
      <w:sz w:val="24"/>
      <w:szCs w:val="24"/>
    </w:rPr>
  </w:style>
  <w:style w:type="paragraph" w:styleId="a5">
    <w:name w:val="footer"/>
    <w:basedOn w:val="a"/>
    <w:link w:val="Char0"/>
    <w:uiPriority w:val="99"/>
    <w:unhideWhenUsed/>
    <w:rsid w:val="00A544E0"/>
    <w:pPr>
      <w:tabs>
        <w:tab w:val="center" w:pos="4153"/>
        <w:tab w:val="right" w:pos="8306"/>
      </w:tabs>
      <w:spacing w:after="0" w:line="240" w:lineRule="auto"/>
    </w:pPr>
  </w:style>
  <w:style w:type="character" w:customStyle="1" w:styleId="Char0">
    <w:name w:val="Υποσέλιδο Char"/>
    <w:basedOn w:val="a0"/>
    <w:link w:val="a5"/>
    <w:uiPriority w:val="99"/>
    <w:rsid w:val="00A544E0"/>
  </w:style>
  <w:style w:type="table" w:styleId="a6">
    <w:name w:val="Table Grid"/>
    <w:basedOn w:val="a1"/>
    <w:uiPriority w:val="59"/>
    <w:rsid w:val="0026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88707B"/>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88707B"/>
    <w:rPr>
      <w:rFonts w:ascii="Tahoma" w:hAnsi="Tahoma" w:cs="Tahoma"/>
      <w:sz w:val="16"/>
      <w:szCs w:val="16"/>
    </w:rPr>
  </w:style>
  <w:style w:type="paragraph" w:customStyle="1" w:styleId="TableParagraph">
    <w:name w:val="Table Paragraph"/>
    <w:basedOn w:val="a"/>
    <w:uiPriority w:val="1"/>
    <w:qFormat/>
    <w:rsid w:val="00774E61"/>
    <w:pPr>
      <w:spacing w:after="0" w:line="240" w:lineRule="auto"/>
      <w:ind w:left="48"/>
    </w:pPr>
    <w:rPr>
      <w:rFonts w:ascii="Calibri" w:hAnsi="Calibri" w:cs="Calibri"/>
      <w:sz w:val="24"/>
      <w:szCs w:val="24"/>
    </w:rPr>
  </w:style>
  <w:style w:type="paragraph" w:styleId="a8">
    <w:name w:val="Revision"/>
    <w:hidden/>
    <w:uiPriority w:val="99"/>
    <w:semiHidden/>
    <w:rsid w:val="009A525C"/>
    <w:pPr>
      <w:spacing w:after="0" w:line="240" w:lineRule="auto"/>
    </w:pPr>
  </w:style>
  <w:style w:type="paragraph" w:styleId="a9">
    <w:name w:val="endnote text"/>
    <w:basedOn w:val="a"/>
    <w:link w:val="Char2"/>
    <w:uiPriority w:val="99"/>
    <w:semiHidden/>
    <w:unhideWhenUsed/>
    <w:rsid w:val="009A525C"/>
    <w:pPr>
      <w:spacing w:after="0" w:line="240" w:lineRule="auto"/>
    </w:pPr>
    <w:rPr>
      <w:sz w:val="20"/>
      <w:szCs w:val="20"/>
    </w:rPr>
  </w:style>
  <w:style w:type="character" w:customStyle="1" w:styleId="Char2">
    <w:name w:val="Κείμενο σημείωσης τέλους Char"/>
    <w:basedOn w:val="a0"/>
    <w:link w:val="a9"/>
    <w:uiPriority w:val="99"/>
    <w:semiHidden/>
    <w:rsid w:val="009A525C"/>
    <w:rPr>
      <w:sz w:val="20"/>
      <w:szCs w:val="20"/>
    </w:rPr>
  </w:style>
  <w:style w:type="character" w:styleId="aa">
    <w:name w:val="endnote reference"/>
    <w:basedOn w:val="a0"/>
    <w:uiPriority w:val="99"/>
    <w:semiHidden/>
    <w:unhideWhenUsed/>
    <w:rsid w:val="009A525C"/>
    <w:rPr>
      <w:vertAlign w:val="superscript"/>
    </w:rPr>
  </w:style>
  <w:style w:type="paragraph" w:styleId="ab">
    <w:name w:val="footnote text"/>
    <w:basedOn w:val="a"/>
    <w:link w:val="Char3"/>
    <w:uiPriority w:val="99"/>
    <w:unhideWhenUsed/>
    <w:rsid w:val="009A525C"/>
    <w:pPr>
      <w:spacing w:after="0" w:line="240" w:lineRule="auto"/>
    </w:pPr>
    <w:rPr>
      <w:sz w:val="20"/>
      <w:szCs w:val="20"/>
    </w:rPr>
  </w:style>
  <w:style w:type="character" w:customStyle="1" w:styleId="Char3">
    <w:name w:val="Κείμενο υποσημείωσης Char"/>
    <w:basedOn w:val="a0"/>
    <w:link w:val="ab"/>
    <w:uiPriority w:val="99"/>
    <w:rsid w:val="009A525C"/>
    <w:rPr>
      <w:sz w:val="20"/>
      <w:szCs w:val="20"/>
    </w:rPr>
  </w:style>
  <w:style w:type="character" w:styleId="ac">
    <w:name w:val="footnote reference"/>
    <w:basedOn w:val="a0"/>
    <w:uiPriority w:val="99"/>
    <w:semiHidden/>
    <w:unhideWhenUsed/>
    <w:rsid w:val="009A525C"/>
    <w:rPr>
      <w:vertAlign w:val="superscript"/>
    </w:rPr>
  </w:style>
  <w:style w:type="character" w:styleId="-">
    <w:name w:val="Hyperlink"/>
    <w:basedOn w:val="a0"/>
    <w:uiPriority w:val="99"/>
    <w:unhideWhenUsed/>
    <w:rsid w:val="00DE12EE"/>
    <w:rPr>
      <w:color w:val="0000FF"/>
      <w:u w:val="single"/>
    </w:rPr>
  </w:style>
  <w:style w:type="table" w:styleId="ad">
    <w:name w:val="Light List"/>
    <w:basedOn w:val="a1"/>
    <w:uiPriority w:val="61"/>
    <w:rsid w:val="002C62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e">
    <w:name w:val="annotation reference"/>
    <w:basedOn w:val="a0"/>
    <w:uiPriority w:val="99"/>
    <w:semiHidden/>
    <w:unhideWhenUsed/>
    <w:rsid w:val="002C62A2"/>
    <w:rPr>
      <w:sz w:val="16"/>
      <w:szCs w:val="16"/>
    </w:rPr>
  </w:style>
  <w:style w:type="paragraph" w:styleId="af">
    <w:name w:val="annotation text"/>
    <w:basedOn w:val="a"/>
    <w:link w:val="Char4"/>
    <w:uiPriority w:val="99"/>
    <w:unhideWhenUsed/>
    <w:rsid w:val="002C62A2"/>
    <w:pPr>
      <w:spacing w:line="240" w:lineRule="auto"/>
    </w:pPr>
    <w:rPr>
      <w:sz w:val="20"/>
      <w:szCs w:val="20"/>
    </w:rPr>
  </w:style>
  <w:style w:type="character" w:customStyle="1" w:styleId="Char4">
    <w:name w:val="Κείμενο σχολίου Char"/>
    <w:basedOn w:val="a0"/>
    <w:link w:val="af"/>
    <w:uiPriority w:val="99"/>
    <w:rsid w:val="002C62A2"/>
    <w:rPr>
      <w:sz w:val="20"/>
      <w:szCs w:val="20"/>
    </w:rPr>
  </w:style>
  <w:style w:type="paragraph" w:styleId="af0">
    <w:name w:val="annotation subject"/>
    <w:basedOn w:val="af"/>
    <w:next w:val="af"/>
    <w:link w:val="Char5"/>
    <w:uiPriority w:val="99"/>
    <w:semiHidden/>
    <w:unhideWhenUsed/>
    <w:rsid w:val="002C62A2"/>
    <w:rPr>
      <w:b/>
      <w:bCs/>
    </w:rPr>
  </w:style>
  <w:style w:type="character" w:customStyle="1" w:styleId="Char5">
    <w:name w:val="Θέμα σχολίου Char"/>
    <w:basedOn w:val="Char4"/>
    <w:link w:val="af0"/>
    <w:uiPriority w:val="99"/>
    <w:semiHidden/>
    <w:rsid w:val="002C62A2"/>
    <w:rPr>
      <w:b/>
      <w:bCs/>
      <w:sz w:val="20"/>
      <w:szCs w:val="20"/>
    </w:rPr>
  </w:style>
  <w:style w:type="paragraph" w:styleId="af1">
    <w:name w:val="Body Text"/>
    <w:basedOn w:val="a"/>
    <w:link w:val="Char6"/>
    <w:uiPriority w:val="1"/>
    <w:qFormat/>
    <w:rsid w:val="00CC0A23"/>
    <w:pPr>
      <w:spacing w:before="9" w:after="0" w:line="240" w:lineRule="auto"/>
      <w:ind w:hanging="2173"/>
    </w:pPr>
    <w:rPr>
      <w:rFonts w:ascii="Trebuchet MS" w:hAnsi="Trebuchet MS" w:cs="Trebuchet MS"/>
      <w:i/>
      <w:iCs/>
      <w:sz w:val="18"/>
      <w:szCs w:val="18"/>
    </w:rPr>
  </w:style>
  <w:style w:type="character" w:customStyle="1" w:styleId="Char6">
    <w:name w:val="Σώμα κειμένου Char"/>
    <w:basedOn w:val="a0"/>
    <w:link w:val="af1"/>
    <w:uiPriority w:val="1"/>
    <w:rsid w:val="00CC0A23"/>
    <w:rPr>
      <w:rFonts w:ascii="Trebuchet MS" w:hAnsi="Trebuchet MS" w:cs="Trebuchet MS"/>
      <w:i/>
      <w:iCs/>
      <w:sz w:val="18"/>
      <w:szCs w:val="18"/>
    </w:rPr>
  </w:style>
  <w:style w:type="character" w:customStyle="1" w:styleId="Bodytext85ptBold">
    <w:name w:val="Body text + 8;5 pt;Bold"/>
    <w:basedOn w:val="a0"/>
    <w:rsid w:val="003E3131"/>
    <w:rPr>
      <w:rFonts w:ascii="Segoe UI" w:eastAsia="Segoe UI" w:hAnsi="Segoe UI" w:cs="Segoe UI"/>
      <w:b/>
      <w:bCs/>
      <w:i w:val="0"/>
      <w:iCs w:val="0"/>
      <w:smallCaps w:val="0"/>
      <w:strike w:val="0"/>
      <w:color w:val="000000"/>
      <w:spacing w:val="3"/>
      <w:w w:val="100"/>
      <w:position w:val="0"/>
      <w:sz w:val="17"/>
      <w:szCs w:val="17"/>
      <w:u w:val="none"/>
      <w:lang w:val="el-GR"/>
    </w:rPr>
  </w:style>
  <w:style w:type="character" w:customStyle="1" w:styleId="3Char">
    <w:name w:val="Επικεφαλίδα 3 Char"/>
    <w:basedOn w:val="a0"/>
    <w:link w:val="3"/>
    <w:uiPriority w:val="9"/>
    <w:rsid w:val="00FA5CD9"/>
    <w:rPr>
      <w:rFonts w:eastAsiaTheme="majorEastAsia" w:cstheme="majorBidi"/>
      <w:b/>
      <w:bCs/>
      <w:i/>
      <w:color w:val="39302A" w:themeColor="text2"/>
    </w:rPr>
  </w:style>
  <w:style w:type="paragraph" w:styleId="Web">
    <w:name w:val="Normal (Web)"/>
    <w:basedOn w:val="a"/>
    <w:uiPriority w:val="99"/>
    <w:unhideWhenUsed/>
    <w:rsid w:val="000F23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2Char">
    <w:name w:val="Επικεφαλίδα 2 Char"/>
    <w:basedOn w:val="a0"/>
    <w:link w:val="2"/>
    <w:uiPriority w:val="9"/>
    <w:rsid w:val="00D26E1F"/>
    <w:rPr>
      <w:rFonts w:eastAsiaTheme="majorEastAsia" w:cstheme="majorBidi"/>
      <w:b/>
      <w:bCs/>
      <w:color w:val="39302A" w:themeColor="text2"/>
      <w:sz w:val="24"/>
      <w:szCs w:val="26"/>
    </w:rPr>
  </w:style>
  <w:style w:type="character" w:styleId="af2">
    <w:name w:val="Subtle Emphasis"/>
    <w:basedOn w:val="a0"/>
    <w:uiPriority w:val="19"/>
    <w:qFormat/>
    <w:rsid w:val="00A16A4E"/>
    <w:rPr>
      <w:i/>
      <w:iCs/>
      <w:color w:val="808080" w:themeColor="text1" w:themeTint="7F"/>
    </w:rPr>
  </w:style>
  <w:style w:type="character" w:styleId="af3">
    <w:name w:val="Emphasis"/>
    <w:basedOn w:val="a0"/>
    <w:uiPriority w:val="20"/>
    <w:rsid w:val="00791808"/>
    <w:rPr>
      <w:rFonts w:asciiTheme="minorHAnsi" w:hAnsiTheme="minorHAnsi"/>
      <w:b/>
      <w:i/>
      <w:iCs/>
      <w:color w:val="39302A" w:themeColor="text2"/>
      <w:sz w:val="22"/>
    </w:rPr>
  </w:style>
  <w:style w:type="character" w:styleId="af4">
    <w:name w:val="Intense Emphasis"/>
    <w:basedOn w:val="a0"/>
    <w:uiPriority w:val="21"/>
    <w:qFormat/>
    <w:rsid w:val="00201FBD"/>
    <w:rPr>
      <w:b/>
      <w:bCs/>
      <w:i/>
      <w:iCs/>
      <w:color w:val="39302A" w:themeColor="text2"/>
    </w:rPr>
  </w:style>
  <w:style w:type="character" w:styleId="af5">
    <w:name w:val="Strong"/>
    <w:basedOn w:val="a0"/>
    <w:uiPriority w:val="22"/>
    <w:qFormat/>
    <w:rsid w:val="00840397"/>
    <w:rPr>
      <w:b/>
      <w:bCs/>
    </w:rPr>
  </w:style>
  <w:style w:type="paragraph" w:styleId="af6">
    <w:name w:val="Subtitle"/>
    <w:basedOn w:val="a"/>
    <w:next w:val="a"/>
    <w:link w:val="Char7"/>
    <w:uiPriority w:val="11"/>
    <w:qFormat/>
    <w:rsid w:val="00AF433D"/>
    <w:pPr>
      <w:numPr>
        <w:ilvl w:val="1"/>
      </w:numPr>
    </w:pPr>
    <w:rPr>
      <w:rFonts w:eastAsiaTheme="majorEastAsia" w:cstheme="majorBidi"/>
      <w:iCs/>
      <w:sz w:val="18"/>
      <w:szCs w:val="18"/>
    </w:rPr>
  </w:style>
  <w:style w:type="character" w:customStyle="1" w:styleId="Char7">
    <w:name w:val="Υπότιτλος Char"/>
    <w:basedOn w:val="a0"/>
    <w:link w:val="af6"/>
    <w:uiPriority w:val="11"/>
    <w:rsid w:val="00AF433D"/>
    <w:rPr>
      <w:rFonts w:eastAsiaTheme="majorEastAsia" w:cstheme="majorBidi"/>
      <w:iCs/>
      <w:sz w:val="18"/>
      <w:szCs w:val="18"/>
    </w:rPr>
  </w:style>
  <w:style w:type="paragraph" w:styleId="af7">
    <w:name w:val="Title"/>
    <w:basedOn w:val="a"/>
    <w:next w:val="a"/>
    <w:link w:val="Char8"/>
    <w:uiPriority w:val="10"/>
    <w:qFormat/>
    <w:rsid w:val="008D73D7"/>
    <w:pPr>
      <w:pBdr>
        <w:bottom w:val="single" w:sz="8" w:space="4" w:color="FFCA08" w:themeColor="accent1"/>
      </w:pBdr>
      <w:spacing w:after="300" w:line="240" w:lineRule="auto"/>
      <w:contextualSpacing/>
    </w:pPr>
    <w:rPr>
      <w:rFonts w:asciiTheme="majorHAnsi" w:eastAsiaTheme="majorEastAsia" w:hAnsiTheme="majorHAnsi" w:cstheme="majorBidi"/>
      <w:color w:val="2A231F" w:themeColor="text2" w:themeShade="BF"/>
      <w:spacing w:val="5"/>
      <w:kern w:val="28"/>
      <w:sz w:val="52"/>
      <w:szCs w:val="52"/>
    </w:rPr>
  </w:style>
  <w:style w:type="character" w:customStyle="1" w:styleId="Char8">
    <w:name w:val="Τίτλος Char"/>
    <w:basedOn w:val="a0"/>
    <w:link w:val="af7"/>
    <w:uiPriority w:val="10"/>
    <w:rsid w:val="008D73D7"/>
    <w:rPr>
      <w:rFonts w:asciiTheme="majorHAnsi" w:eastAsiaTheme="majorEastAsia" w:hAnsiTheme="majorHAnsi" w:cstheme="majorBidi"/>
      <w:color w:val="2A231F" w:themeColor="text2" w:themeShade="BF"/>
      <w:spacing w:val="5"/>
      <w:kern w:val="28"/>
      <w:sz w:val="52"/>
      <w:szCs w:val="52"/>
    </w:rPr>
  </w:style>
  <w:style w:type="character" w:customStyle="1" w:styleId="4Char">
    <w:name w:val="Επικεφαλίδα 4 Char"/>
    <w:basedOn w:val="a0"/>
    <w:link w:val="4"/>
    <w:uiPriority w:val="9"/>
    <w:rsid w:val="00DC12D0"/>
    <w:rPr>
      <w:rFonts w:eastAsiaTheme="majorEastAsia" w:cstheme="majorBidi"/>
      <w:b/>
      <w:bCs/>
      <w:i/>
      <w:iCs/>
      <w:color w:val="39302A" w:themeColor="text2"/>
    </w:rPr>
  </w:style>
  <w:style w:type="paragraph" w:styleId="af8">
    <w:name w:val="TOC Heading"/>
    <w:basedOn w:val="1"/>
    <w:next w:val="a"/>
    <w:uiPriority w:val="39"/>
    <w:unhideWhenUsed/>
    <w:qFormat/>
    <w:rsid w:val="00D47FF9"/>
    <w:pPr>
      <w:keepLines/>
      <w:autoSpaceDE/>
      <w:autoSpaceDN/>
      <w:adjustRightInd/>
      <w:spacing w:before="480" w:line="276" w:lineRule="auto"/>
      <w:jc w:val="left"/>
      <w:outlineLvl w:val="9"/>
    </w:pPr>
    <w:rPr>
      <w:rFonts w:asciiTheme="majorHAnsi" w:eastAsiaTheme="majorEastAsia" w:hAnsiTheme="majorHAnsi" w:cstheme="majorBidi"/>
      <w:color w:val="C49A00" w:themeColor="accent1" w:themeShade="BF"/>
      <w:szCs w:val="28"/>
      <w:u w:val="none"/>
      <w:lang w:eastAsia="el-GR"/>
    </w:rPr>
  </w:style>
  <w:style w:type="paragraph" w:styleId="10">
    <w:name w:val="toc 1"/>
    <w:basedOn w:val="a"/>
    <w:next w:val="a"/>
    <w:autoRedefine/>
    <w:uiPriority w:val="39"/>
    <w:unhideWhenUsed/>
    <w:qFormat/>
    <w:rsid w:val="00D47FF9"/>
    <w:pPr>
      <w:spacing w:after="100"/>
    </w:pPr>
  </w:style>
  <w:style w:type="paragraph" w:styleId="30">
    <w:name w:val="toc 3"/>
    <w:basedOn w:val="a"/>
    <w:next w:val="a"/>
    <w:autoRedefine/>
    <w:uiPriority w:val="39"/>
    <w:unhideWhenUsed/>
    <w:qFormat/>
    <w:rsid w:val="00D47FF9"/>
    <w:pPr>
      <w:spacing w:after="100"/>
      <w:ind w:left="440"/>
    </w:pPr>
  </w:style>
  <w:style w:type="paragraph" w:styleId="20">
    <w:name w:val="toc 2"/>
    <w:basedOn w:val="a"/>
    <w:next w:val="a"/>
    <w:autoRedefine/>
    <w:uiPriority w:val="39"/>
    <w:unhideWhenUsed/>
    <w:qFormat/>
    <w:rsid w:val="00D47FF9"/>
    <w:pPr>
      <w:spacing w:after="100"/>
      <w:ind w:left="220"/>
    </w:pPr>
  </w:style>
  <w:style w:type="character" w:styleId="-0">
    <w:name w:val="FollowedHyperlink"/>
    <w:basedOn w:val="a0"/>
    <w:uiPriority w:val="99"/>
    <w:semiHidden/>
    <w:unhideWhenUsed/>
    <w:rsid w:val="00593E4A"/>
    <w:rPr>
      <w:color w:val="7F723D" w:themeColor="followedHyperlink"/>
      <w:u w:val="single"/>
    </w:rPr>
  </w:style>
  <w:style w:type="character" w:customStyle="1" w:styleId="number">
    <w:name w:val="number"/>
    <w:basedOn w:val="a0"/>
    <w:rsid w:val="00F23ADB"/>
  </w:style>
  <w:style w:type="paragraph" w:styleId="21">
    <w:name w:val="Body Text 2"/>
    <w:basedOn w:val="a"/>
    <w:link w:val="2Char0"/>
    <w:uiPriority w:val="99"/>
    <w:semiHidden/>
    <w:unhideWhenUsed/>
    <w:rsid w:val="00F23ADB"/>
    <w:pPr>
      <w:spacing w:line="480" w:lineRule="auto"/>
    </w:pPr>
  </w:style>
  <w:style w:type="character" w:customStyle="1" w:styleId="2Char0">
    <w:name w:val="Σώμα κείμενου 2 Char"/>
    <w:basedOn w:val="a0"/>
    <w:link w:val="21"/>
    <w:uiPriority w:val="99"/>
    <w:semiHidden/>
    <w:rsid w:val="00F23ADB"/>
    <w:rPr>
      <w:rFonts w:cs="Arial"/>
    </w:rPr>
  </w:style>
  <w:style w:type="character" w:customStyle="1" w:styleId="tlid-translation">
    <w:name w:val="tlid-translation"/>
    <w:basedOn w:val="a0"/>
    <w:rsid w:val="00F23ADB"/>
  </w:style>
  <w:style w:type="paragraph" w:styleId="-HTML">
    <w:name w:val="HTML Preformatted"/>
    <w:basedOn w:val="a"/>
    <w:link w:val="-HTMLChar"/>
    <w:uiPriority w:val="99"/>
    <w:semiHidden/>
    <w:unhideWhenUsed/>
    <w:rsid w:val="00F23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line="240" w:lineRule="auto"/>
      <w:jc w:val="left"/>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F23ADB"/>
    <w:rPr>
      <w:rFonts w:ascii="Courier New" w:eastAsia="Times New Roman" w:hAnsi="Courier New" w:cs="Courier New"/>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7836">
      <w:bodyDiv w:val="1"/>
      <w:marLeft w:val="0"/>
      <w:marRight w:val="0"/>
      <w:marTop w:val="0"/>
      <w:marBottom w:val="0"/>
      <w:divBdr>
        <w:top w:val="none" w:sz="0" w:space="0" w:color="auto"/>
        <w:left w:val="none" w:sz="0" w:space="0" w:color="auto"/>
        <w:bottom w:val="none" w:sz="0" w:space="0" w:color="auto"/>
        <w:right w:val="none" w:sz="0" w:space="0" w:color="auto"/>
      </w:divBdr>
    </w:div>
    <w:div w:id="161118722">
      <w:bodyDiv w:val="1"/>
      <w:marLeft w:val="0"/>
      <w:marRight w:val="0"/>
      <w:marTop w:val="0"/>
      <w:marBottom w:val="0"/>
      <w:divBdr>
        <w:top w:val="none" w:sz="0" w:space="0" w:color="auto"/>
        <w:left w:val="none" w:sz="0" w:space="0" w:color="auto"/>
        <w:bottom w:val="none" w:sz="0" w:space="0" w:color="auto"/>
        <w:right w:val="none" w:sz="0" w:space="0" w:color="auto"/>
      </w:divBdr>
    </w:div>
    <w:div w:id="198130445">
      <w:bodyDiv w:val="1"/>
      <w:marLeft w:val="0"/>
      <w:marRight w:val="0"/>
      <w:marTop w:val="0"/>
      <w:marBottom w:val="0"/>
      <w:divBdr>
        <w:top w:val="none" w:sz="0" w:space="0" w:color="auto"/>
        <w:left w:val="none" w:sz="0" w:space="0" w:color="auto"/>
        <w:bottom w:val="none" w:sz="0" w:space="0" w:color="auto"/>
        <w:right w:val="none" w:sz="0" w:space="0" w:color="auto"/>
      </w:divBdr>
    </w:div>
    <w:div w:id="208956850">
      <w:bodyDiv w:val="1"/>
      <w:marLeft w:val="0"/>
      <w:marRight w:val="0"/>
      <w:marTop w:val="0"/>
      <w:marBottom w:val="0"/>
      <w:divBdr>
        <w:top w:val="none" w:sz="0" w:space="0" w:color="auto"/>
        <w:left w:val="none" w:sz="0" w:space="0" w:color="auto"/>
        <w:bottom w:val="none" w:sz="0" w:space="0" w:color="auto"/>
        <w:right w:val="none" w:sz="0" w:space="0" w:color="auto"/>
      </w:divBdr>
    </w:div>
    <w:div w:id="244652765">
      <w:bodyDiv w:val="1"/>
      <w:marLeft w:val="0"/>
      <w:marRight w:val="0"/>
      <w:marTop w:val="0"/>
      <w:marBottom w:val="0"/>
      <w:divBdr>
        <w:top w:val="none" w:sz="0" w:space="0" w:color="auto"/>
        <w:left w:val="none" w:sz="0" w:space="0" w:color="auto"/>
        <w:bottom w:val="none" w:sz="0" w:space="0" w:color="auto"/>
        <w:right w:val="none" w:sz="0" w:space="0" w:color="auto"/>
      </w:divBdr>
      <w:divsChild>
        <w:div w:id="363986992">
          <w:marLeft w:val="0"/>
          <w:marRight w:val="0"/>
          <w:marTop w:val="0"/>
          <w:marBottom w:val="0"/>
          <w:divBdr>
            <w:top w:val="none" w:sz="0" w:space="0" w:color="auto"/>
            <w:left w:val="none" w:sz="0" w:space="0" w:color="auto"/>
            <w:bottom w:val="none" w:sz="0" w:space="0" w:color="auto"/>
            <w:right w:val="none" w:sz="0" w:space="0" w:color="auto"/>
          </w:divBdr>
        </w:div>
        <w:div w:id="1152520721">
          <w:marLeft w:val="0"/>
          <w:marRight w:val="0"/>
          <w:marTop w:val="0"/>
          <w:marBottom w:val="0"/>
          <w:divBdr>
            <w:top w:val="none" w:sz="0" w:space="0" w:color="auto"/>
            <w:left w:val="none" w:sz="0" w:space="0" w:color="auto"/>
            <w:bottom w:val="none" w:sz="0" w:space="0" w:color="auto"/>
            <w:right w:val="none" w:sz="0" w:space="0" w:color="auto"/>
          </w:divBdr>
        </w:div>
        <w:div w:id="322588630">
          <w:marLeft w:val="0"/>
          <w:marRight w:val="0"/>
          <w:marTop w:val="0"/>
          <w:marBottom w:val="0"/>
          <w:divBdr>
            <w:top w:val="none" w:sz="0" w:space="0" w:color="auto"/>
            <w:left w:val="none" w:sz="0" w:space="0" w:color="auto"/>
            <w:bottom w:val="none" w:sz="0" w:space="0" w:color="auto"/>
            <w:right w:val="none" w:sz="0" w:space="0" w:color="auto"/>
          </w:divBdr>
        </w:div>
        <w:div w:id="1584533573">
          <w:marLeft w:val="0"/>
          <w:marRight w:val="0"/>
          <w:marTop w:val="0"/>
          <w:marBottom w:val="0"/>
          <w:divBdr>
            <w:top w:val="none" w:sz="0" w:space="0" w:color="auto"/>
            <w:left w:val="none" w:sz="0" w:space="0" w:color="auto"/>
            <w:bottom w:val="none" w:sz="0" w:space="0" w:color="auto"/>
            <w:right w:val="none" w:sz="0" w:space="0" w:color="auto"/>
          </w:divBdr>
        </w:div>
        <w:div w:id="614099655">
          <w:marLeft w:val="0"/>
          <w:marRight w:val="0"/>
          <w:marTop w:val="0"/>
          <w:marBottom w:val="0"/>
          <w:divBdr>
            <w:top w:val="none" w:sz="0" w:space="0" w:color="auto"/>
            <w:left w:val="none" w:sz="0" w:space="0" w:color="auto"/>
            <w:bottom w:val="none" w:sz="0" w:space="0" w:color="auto"/>
            <w:right w:val="none" w:sz="0" w:space="0" w:color="auto"/>
          </w:divBdr>
        </w:div>
        <w:div w:id="1831750294">
          <w:marLeft w:val="0"/>
          <w:marRight w:val="0"/>
          <w:marTop w:val="0"/>
          <w:marBottom w:val="0"/>
          <w:divBdr>
            <w:top w:val="none" w:sz="0" w:space="0" w:color="auto"/>
            <w:left w:val="none" w:sz="0" w:space="0" w:color="auto"/>
            <w:bottom w:val="none" w:sz="0" w:space="0" w:color="auto"/>
            <w:right w:val="none" w:sz="0" w:space="0" w:color="auto"/>
          </w:divBdr>
        </w:div>
        <w:div w:id="1891575747">
          <w:marLeft w:val="0"/>
          <w:marRight w:val="0"/>
          <w:marTop w:val="0"/>
          <w:marBottom w:val="0"/>
          <w:divBdr>
            <w:top w:val="none" w:sz="0" w:space="0" w:color="auto"/>
            <w:left w:val="none" w:sz="0" w:space="0" w:color="auto"/>
            <w:bottom w:val="none" w:sz="0" w:space="0" w:color="auto"/>
            <w:right w:val="none" w:sz="0" w:space="0" w:color="auto"/>
          </w:divBdr>
        </w:div>
        <w:div w:id="1701318954">
          <w:marLeft w:val="0"/>
          <w:marRight w:val="0"/>
          <w:marTop w:val="0"/>
          <w:marBottom w:val="0"/>
          <w:divBdr>
            <w:top w:val="none" w:sz="0" w:space="0" w:color="auto"/>
            <w:left w:val="none" w:sz="0" w:space="0" w:color="auto"/>
            <w:bottom w:val="none" w:sz="0" w:space="0" w:color="auto"/>
            <w:right w:val="none" w:sz="0" w:space="0" w:color="auto"/>
          </w:divBdr>
        </w:div>
      </w:divsChild>
    </w:div>
    <w:div w:id="244850496">
      <w:bodyDiv w:val="1"/>
      <w:marLeft w:val="0"/>
      <w:marRight w:val="0"/>
      <w:marTop w:val="0"/>
      <w:marBottom w:val="0"/>
      <w:divBdr>
        <w:top w:val="none" w:sz="0" w:space="0" w:color="auto"/>
        <w:left w:val="none" w:sz="0" w:space="0" w:color="auto"/>
        <w:bottom w:val="none" w:sz="0" w:space="0" w:color="auto"/>
        <w:right w:val="none" w:sz="0" w:space="0" w:color="auto"/>
      </w:divBdr>
      <w:divsChild>
        <w:div w:id="1952589744">
          <w:marLeft w:val="0"/>
          <w:marRight w:val="0"/>
          <w:marTop w:val="0"/>
          <w:marBottom w:val="0"/>
          <w:divBdr>
            <w:top w:val="none" w:sz="0" w:space="0" w:color="auto"/>
            <w:left w:val="none" w:sz="0" w:space="0" w:color="auto"/>
            <w:bottom w:val="none" w:sz="0" w:space="0" w:color="auto"/>
            <w:right w:val="none" w:sz="0" w:space="0" w:color="auto"/>
          </w:divBdr>
        </w:div>
        <w:div w:id="204219103">
          <w:marLeft w:val="0"/>
          <w:marRight w:val="0"/>
          <w:marTop w:val="0"/>
          <w:marBottom w:val="0"/>
          <w:divBdr>
            <w:top w:val="none" w:sz="0" w:space="0" w:color="auto"/>
            <w:left w:val="none" w:sz="0" w:space="0" w:color="auto"/>
            <w:bottom w:val="none" w:sz="0" w:space="0" w:color="auto"/>
            <w:right w:val="none" w:sz="0" w:space="0" w:color="auto"/>
          </w:divBdr>
        </w:div>
        <w:div w:id="1176268067">
          <w:marLeft w:val="0"/>
          <w:marRight w:val="0"/>
          <w:marTop w:val="0"/>
          <w:marBottom w:val="0"/>
          <w:divBdr>
            <w:top w:val="none" w:sz="0" w:space="0" w:color="auto"/>
            <w:left w:val="none" w:sz="0" w:space="0" w:color="auto"/>
            <w:bottom w:val="none" w:sz="0" w:space="0" w:color="auto"/>
            <w:right w:val="none" w:sz="0" w:space="0" w:color="auto"/>
          </w:divBdr>
        </w:div>
        <w:div w:id="2009093417">
          <w:marLeft w:val="0"/>
          <w:marRight w:val="0"/>
          <w:marTop w:val="0"/>
          <w:marBottom w:val="0"/>
          <w:divBdr>
            <w:top w:val="none" w:sz="0" w:space="0" w:color="auto"/>
            <w:left w:val="none" w:sz="0" w:space="0" w:color="auto"/>
            <w:bottom w:val="none" w:sz="0" w:space="0" w:color="auto"/>
            <w:right w:val="none" w:sz="0" w:space="0" w:color="auto"/>
          </w:divBdr>
        </w:div>
        <w:div w:id="979001741">
          <w:marLeft w:val="0"/>
          <w:marRight w:val="0"/>
          <w:marTop w:val="0"/>
          <w:marBottom w:val="0"/>
          <w:divBdr>
            <w:top w:val="none" w:sz="0" w:space="0" w:color="auto"/>
            <w:left w:val="none" w:sz="0" w:space="0" w:color="auto"/>
            <w:bottom w:val="none" w:sz="0" w:space="0" w:color="auto"/>
            <w:right w:val="none" w:sz="0" w:space="0" w:color="auto"/>
          </w:divBdr>
        </w:div>
        <w:div w:id="34276753">
          <w:marLeft w:val="0"/>
          <w:marRight w:val="0"/>
          <w:marTop w:val="0"/>
          <w:marBottom w:val="0"/>
          <w:divBdr>
            <w:top w:val="none" w:sz="0" w:space="0" w:color="auto"/>
            <w:left w:val="none" w:sz="0" w:space="0" w:color="auto"/>
            <w:bottom w:val="none" w:sz="0" w:space="0" w:color="auto"/>
            <w:right w:val="none" w:sz="0" w:space="0" w:color="auto"/>
          </w:divBdr>
        </w:div>
        <w:div w:id="669064615">
          <w:marLeft w:val="0"/>
          <w:marRight w:val="0"/>
          <w:marTop w:val="0"/>
          <w:marBottom w:val="0"/>
          <w:divBdr>
            <w:top w:val="none" w:sz="0" w:space="0" w:color="auto"/>
            <w:left w:val="none" w:sz="0" w:space="0" w:color="auto"/>
            <w:bottom w:val="none" w:sz="0" w:space="0" w:color="auto"/>
            <w:right w:val="none" w:sz="0" w:space="0" w:color="auto"/>
          </w:divBdr>
        </w:div>
        <w:div w:id="459616350">
          <w:marLeft w:val="0"/>
          <w:marRight w:val="0"/>
          <w:marTop w:val="0"/>
          <w:marBottom w:val="0"/>
          <w:divBdr>
            <w:top w:val="none" w:sz="0" w:space="0" w:color="auto"/>
            <w:left w:val="none" w:sz="0" w:space="0" w:color="auto"/>
            <w:bottom w:val="none" w:sz="0" w:space="0" w:color="auto"/>
            <w:right w:val="none" w:sz="0" w:space="0" w:color="auto"/>
          </w:divBdr>
        </w:div>
        <w:div w:id="695153228">
          <w:marLeft w:val="0"/>
          <w:marRight w:val="0"/>
          <w:marTop w:val="0"/>
          <w:marBottom w:val="0"/>
          <w:divBdr>
            <w:top w:val="none" w:sz="0" w:space="0" w:color="auto"/>
            <w:left w:val="none" w:sz="0" w:space="0" w:color="auto"/>
            <w:bottom w:val="none" w:sz="0" w:space="0" w:color="auto"/>
            <w:right w:val="none" w:sz="0" w:space="0" w:color="auto"/>
          </w:divBdr>
        </w:div>
        <w:div w:id="922449246">
          <w:marLeft w:val="0"/>
          <w:marRight w:val="0"/>
          <w:marTop w:val="0"/>
          <w:marBottom w:val="0"/>
          <w:divBdr>
            <w:top w:val="none" w:sz="0" w:space="0" w:color="auto"/>
            <w:left w:val="none" w:sz="0" w:space="0" w:color="auto"/>
            <w:bottom w:val="none" w:sz="0" w:space="0" w:color="auto"/>
            <w:right w:val="none" w:sz="0" w:space="0" w:color="auto"/>
          </w:divBdr>
        </w:div>
        <w:div w:id="1059935046">
          <w:marLeft w:val="0"/>
          <w:marRight w:val="0"/>
          <w:marTop w:val="0"/>
          <w:marBottom w:val="0"/>
          <w:divBdr>
            <w:top w:val="none" w:sz="0" w:space="0" w:color="auto"/>
            <w:left w:val="none" w:sz="0" w:space="0" w:color="auto"/>
            <w:bottom w:val="none" w:sz="0" w:space="0" w:color="auto"/>
            <w:right w:val="none" w:sz="0" w:space="0" w:color="auto"/>
          </w:divBdr>
        </w:div>
        <w:div w:id="1195120403">
          <w:marLeft w:val="0"/>
          <w:marRight w:val="0"/>
          <w:marTop w:val="0"/>
          <w:marBottom w:val="0"/>
          <w:divBdr>
            <w:top w:val="none" w:sz="0" w:space="0" w:color="auto"/>
            <w:left w:val="none" w:sz="0" w:space="0" w:color="auto"/>
            <w:bottom w:val="none" w:sz="0" w:space="0" w:color="auto"/>
            <w:right w:val="none" w:sz="0" w:space="0" w:color="auto"/>
          </w:divBdr>
        </w:div>
        <w:div w:id="894975581">
          <w:marLeft w:val="0"/>
          <w:marRight w:val="0"/>
          <w:marTop w:val="0"/>
          <w:marBottom w:val="0"/>
          <w:divBdr>
            <w:top w:val="none" w:sz="0" w:space="0" w:color="auto"/>
            <w:left w:val="none" w:sz="0" w:space="0" w:color="auto"/>
            <w:bottom w:val="none" w:sz="0" w:space="0" w:color="auto"/>
            <w:right w:val="none" w:sz="0" w:space="0" w:color="auto"/>
          </w:divBdr>
        </w:div>
        <w:div w:id="184751777">
          <w:marLeft w:val="0"/>
          <w:marRight w:val="0"/>
          <w:marTop w:val="0"/>
          <w:marBottom w:val="0"/>
          <w:divBdr>
            <w:top w:val="none" w:sz="0" w:space="0" w:color="auto"/>
            <w:left w:val="none" w:sz="0" w:space="0" w:color="auto"/>
            <w:bottom w:val="none" w:sz="0" w:space="0" w:color="auto"/>
            <w:right w:val="none" w:sz="0" w:space="0" w:color="auto"/>
          </w:divBdr>
        </w:div>
        <w:div w:id="495540502">
          <w:marLeft w:val="0"/>
          <w:marRight w:val="0"/>
          <w:marTop w:val="0"/>
          <w:marBottom w:val="0"/>
          <w:divBdr>
            <w:top w:val="none" w:sz="0" w:space="0" w:color="auto"/>
            <w:left w:val="none" w:sz="0" w:space="0" w:color="auto"/>
            <w:bottom w:val="none" w:sz="0" w:space="0" w:color="auto"/>
            <w:right w:val="none" w:sz="0" w:space="0" w:color="auto"/>
          </w:divBdr>
        </w:div>
        <w:div w:id="1400980953">
          <w:marLeft w:val="0"/>
          <w:marRight w:val="0"/>
          <w:marTop w:val="0"/>
          <w:marBottom w:val="0"/>
          <w:divBdr>
            <w:top w:val="none" w:sz="0" w:space="0" w:color="auto"/>
            <w:left w:val="none" w:sz="0" w:space="0" w:color="auto"/>
            <w:bottom w:val="none" w:sz="0" w:space="0" w:color="auto"/>
            <w:right w:val="none" w:sz="0" w:space="0" w:color="auto"/>
          </w:divBdr>
        </w:div>
        <w:div w:id="1012142411">
          <w:marLeft w:val="0"/>
          <w:marRight w:val="0"/>
          <w:marTop w:val="0"/>
          <w:marBottom w:val="0"/>
          <w:divBdr>
            <w:top w:val="none" w:sz="0" w:space="0" w:color="auto"/>
            <w:left w:val="none" w:sz="0" w:space="0" w:color="auto"/>
            <w:bottom w:val="none" w:sz="0" w:space="0" w:color="auto"/>
            <w:right w:val="none" w:sz="0" w:space="0" w:color="auto"/>
          </w:divBdr>
        </w:div>
        <w:div w:id="1872108267">
          <w:marLeft w:val="0"/>
          <w:marRight w:val="0"/>
          <w:marTop w:val="0"/>
          <w:marBottom w:val="0"/>
          <w:divBdr>
            <w:top w:val="none" w:sz="0" w:space="0" w:color="auto"/>
            <w:left w:val="none" w:sz="0" w:space="0" w:color="auto"/>
            <w:bottom w:val="none" w:sz="0" w:space="0" w:color="auto"/>
            <w:right w:val="none" w:sz="0" w:space="0" w:color="auto"/>
          </w:divBdr>
        </w:div>
        <w:div w:id="1182278833">
          <w:marLeft w:val="0"/>
          <w:marRight w:val="0"/>
          <w:marTop w:val="0"/>
          <w:marBottom w:val="0"/>
          <w:divBdr>
            <w:top w:val="none" w:sz="0" w:space="0" w:color="auto"/>
            <w:left w:val="none" w:sz="0" w:space="0" w:color="auto"/>
            <w:bottom w:val="none" w:sz="0" w:space="0" w:color="auto"/>
            <w:right w:val="none" w:sz="0" w:space="0" w:color="auto"/>
          </w:divBdr>
        </w:div>
        <w:div w:id="894773546">
          <w:marLeft w:val="0"/>
          <w:marRight w:val="0"/>
          <w:marTop w:val="0"/>
          <w:marBottom w:val="0"/>
          <w:divBdr>
            <w:top w:val="none" w:sz="0" w:space="0" w:color="auto"/>
            <w:left w:val="none" w:sz="0" w:space="0" w:color="auto"/>
            <w:bottom w:val="none" w:sz="0" w:space="0" w:color="auto"/>
            <w:right w:val="none" w:sz="0" w:space="0" w:color="auto"/>
          </w:divBdr>
        </w:div>
        <w:div w:id="949702064">
          <w:marLeft w:val="0"/>
          <w:marRight w:val="0"/>
          <w:marTop w:val="0"/>
          <w:marBottom w:val="0"/>
          <w:divBdr>
            <w:top w:val="none" w:sz="0" w:space="0" w:color="auto"/>
            <w:left w:val="none" w:sz="0" w:space="0" w:color="auto"/>
            <w:bottom w:val="none" w:sz="0" w:space="0" w:color="auto"/>
            <w:right w:val="none" w:sz="0" w:space="0" w:color="auto"/>
          </w:divBdr>
        </w:div>
        <w:div w:id="1929120165">
          <w:marLeft w:val="0"/>
          <w:marRight w:val="0"/>
          <w:marTop w:val="0"/>
          <w:marBottom w:val="0"/>
          <w:divBdr>
            <w:top w:val="none" w:sz="0" w:space="0" w:color="auto"/>
            <w:left w:val="none" w:sz="0" w:space="0" w:color="auto"/>
            <w:bottom w:val="none" w:sz="0" w:space="0" w:color="auto"/>
            <w:right w:val="none" w:sz="0" w:space="0" w:color="auto"/>
          </w:divBdr>
        </w:div>
        <w:div w:id="286206134">
          <w:marLeft w:val="0"/>
          <w:marRight w:val="0"/>
          <w:marTop w:val="0"/>
          <w:marBottom w:val="0"/>
          <w:divBdr>
            <w:top w:val="none" w:sz="0" w:space="0" w:color="auto"/>
            <w:left w:val="none" w:sz="0" w:space="0" w:color="auto"/>
            <w:bottom w:val="none" w:sz="0" w:space="0" w:color="auto"/>
            <w:right w:val="none" w:sz="0" w:space="0" w:color="auto"/>
          </w:divBdr>
        </w:div>
        <w:div w:id="1584147479">
          <w:marLeft w:val="0"/>
          <w:marRight w:val="0"/>
          <w:marTop w:val="0"/>
          <w:marBottom w:val="0"/>
          <w:divBdr>
            <w:top w:val="none" w:sz="0" w:space="0" w:color="auto"/>
            <w:left w:val="none" w:sz="0" w:space="0" w:color="auto"/>
            <w:bottom w:val="none" w:sz="0" w:space="0" w:color="auto"/>
            <w:right w:val="none" w:sz="0" w:space="0" w:color="auto"/>
          </w:divBdr>
        </w:div>
      </w:divsChild>
    </w:div>
    <w:div w:id="283578239">
      <w:bodyDiv w:val="1"/>
      <w:marLeft w:val="0"/>
      <w:marRight w:val="0"/>
      <w:marTop w:val="0"/>
      <w:marBottom w:val="0"/>
      <w:divBdr>
        <w:top w:val="none" w:sz="0" w:space="0" w:color="auto"/>
        <w:left w:val="none" w:sz="0" w:space="0" w:color="auto"/>
        <w:bottom w:val="none" w:sz="0" w:space="0" w:color="auto"/>
        <w:right w:val="none" w:sz="0" w:space="0" w:color="auto"/>
      </w:divBdr>
      <w:divsChild>
        <w:div w:id="1848902913">
          <w:marLeft w:val="0"/>
          <w:marRight w:val="0"/>
          <w:marTop w:val="0"/>
          <w:marBottom w:val="0"/>
          <w:divBdr>
            <w:top w:val="none" w:sz="0" w:space="0" w:color="auto"/>
            <w:left w:val="none" w:sz="0" w:space="0" w:color="auto"/>
            <w:bottom w:val="none" w:sz="0" w:space="0" w:color="auto"/>
            <w:right w:val="none" w:sz="0" w:space="0" w:color="auto"/>
          </w:divBdr>
        </w:div>
        <w:div w:id="2130009622">
          <w:marLeft w:val="0"/>
          <w:marRight w:val="0"/>
          <w:marTop w:val="0"/>
          <w:marBottom w:val="0"/>
          <w:divBdr>
            <w:top w:val="none" w:sz="0" w:space="0" w:color="auto"/>
            <w:left w:val="none" w:sz="0" w:space="0" w:color="auto"/>
            <w:bottom w:val="none" w:sz="0" w:space="0" w:color="auto"/>
            <w:right w:val="none" w:sz="0" w:space="0" w:color="auto"/>
          </w:divBdr>
        </w:div>
        <w:div w:id="311954598">
          <w:marLeft w:val="0"/>
          <w:marRight w:val="0"/>
          <w:marTop w:val="0"/>
          <w:marBottom w:val="0"/>
          <w:divBdr>
            <w:top w:val="none" w:sz="0" w:space="0" w:color="auto"/>
            <w:left w:val="none" w:sz="0" w:space="0" w:color="auto"/>
            <w:bottom w:val="none" w:sz="0" w:space="0" w:color="auto"/>
            <w:right w:val="none" w:sz="0" w:space="0" w:color="auto"/>
          </w:divBdr>
        </w:div>
        <w:div w:id="1315451293">
          <w:marLeft w:val="0"/>
          <w:marRight w:val="0"/>
          <w:marTop w:val="0"/>
          <w:marBottom w:val="0"/>
          <w:divBdr>
            <w:top w:val="none" w:sz="0" w:space="0" w:color="auto"/>
            <w:left w:val="none" w:sz="0" w:space="0" w:color="auto"/>
            <w:bottom w:val="none" w:sz="0" w:space="0" w:color="auto"/>
            <w:right w:val="none" w:sz="0" w:space="0" w:color="auto"/>
          </w:divBdr>
        </w:div>
        <w:div w:id="1827238161">
          <w:marLeft w:val="0"/>
          <w:marRight w:val="0"/>
          <w:marTop w:val="0"/>
          <w:marBottom w:val="0"/>
          <w:divBdr>
            <w:top w:val="none" w:sz="0" w:space="0" w:color="auto"/>
            <w:left w:val="none" w:sz="0" w:space="0" w:color="auto"/>
            <w:bottom w:val="none" w:sz="0" w:space="0" w:color="auto"/>
            <w:right w:val="none" w:sz="0" w:space="0" w:color="auto"/>
          </w:divBdr>
        </w:div>
        <w:div w:id="1269386159">
          <w:marLeft w:val="0"/>
          <w:marRight w:val="0"/>
          <w:marTop w:val="0"/>
          <w:marBottom w:val="0"/>
          <w:divBdr>
            <w:top w:val="none" w:sz="0" w:space="0" w:color="auto"/>
            <w:left w:val="none" w:sz="0" w:space="0" w:color="auto"/>
            <w:bottom w:val="none" w:sz="0" w:space="0" w:color="auto"/>
            <w:right w:val="none" w:sz="0" w:space="0" w:color="auto"/>
          </w:divBdr>
        </w:div>
        <w:div w:id="655379169">
          <w:marLeft w:val="0"/>
          <w:marRight w:val="0"/>
          <w:marTop w:val="0"/>
          <w:marBottom w:val="0"/>
          <w:divBdr>
            <w:top w:val="none" w:sz="0" w:space="0" w:color="auto"/>
            <w:left w:val="none" w:sz="0" w:space="0" w:color="auto"/>
            <w:bottom w:val="none" w:sz="0" w:space="0" w:color="auto"/>
            <w:right w:val="none" w:sz="0" w:space="0" w:color="auto"/>
          </w:divBdr>
        </w:div>
        <w:div w:id="1072049566">
          <w:marLeft w:val="0"/>
          <w:marRight w:val="0"/>
          <w:marTop w:val="0"/>
          <w:marBottom w:val="0"/>
          <w:divBdr>
            <w:top w:val="none" w:sz="0" w:space="0" w:color="auto"/>
            <w:left w:val="none" w:sz="0" w:space="0" w:color="auto"/>
            <w:bottom w:val="none" w:sz="0" w:space="0" w:color="auto"/>
            <w:right w:val="none" w:sz="0" w:space="0" w:color="auto"/>
          </w:divBdr>
        </w:div>
        <w:div w:id="392044578">
          <w:marLeft w:val="0"/>
          <w:marRight w:val="0"/>
          <w:marTop w:val="0"/>
          <w:marBottom w:val="0"/>
          <w:divBdr>
            <w:top w:val="none" w:sz="0" w:space="0" w:color="auto"/>
            <w:left w:val="none" w:sz="0" w:space="0" w:color="auto"/>
            <w:bottom w:val="none" w:sz="0" w:space="0" w:color="auto"/>
            <w:right w:val="none" w:sz="0" w:space="0" w:color="auto"/>
          </w:divBdr>
        </w:div>
        <w:div w:id="1164317042">
          <w:marLeft w:val="0"/>
          <w:marRight w:val="0"/>
          <w:marTop w:val="0"/>
          <w:marBottom w:val="0"/>
          <w:divBdr>
            <w:top w:val="none" w:sz="0" w:space="0" w:color="auto"/>
            <w:left w:val="none" w:sz="0" w:space="0" w:color="auto"/>
            <w:bottom w:val="none" w:sz="0" w:space="0" w:color="auto"/>
            <w:right w:val="none" w:sz="0" w:space="0" w:color="auto"/>
          </w:divBdr>
        </w:div>
        <w:div w:id="1507525126">
          <w:marLeft w:val="0"/>
          <w:marRight w:val="0"/>
          <w:marTop w:val="0"/>
          <w:marBottom w:val="0"/>
          <w:divBdr>
            <w:top w:val="none" w:sz="0" w:space="0" w:color="auto"/>
            <w:left w:val="none" w:sz="0" w:space="0" w:color="auto"/>
            <w:bottom w:val="none" w:sz="0" w:space="0" w:color="auto"/>
            <w:right w:val="none" w:sz="0" w:space="0" w:color="auto"/>
          </w:divBdr>
        </w:div>
        <w:div w:id="452797210">
          <w:marLeft w:val="0"/>
          <w:marRight w:val="0"/>
          <w:marTop w:val="0"/>
          <w:marBottom w:val="0"/>
          <w:divBdr>
            <w:top w:val="none" w:sz="0" w:space="0" w:color="auto"/>
            <w:left w:val="none" w:sz="0" w:space="0" w:color="auto"/>
            <w:bottom w:val="none" w:sz="0" w:space="0" w:color="auto"/>
            <w:right w:val="none" w:sz="0" w:space="0" w:color="auto"/>
          </w:divBdr>
        </w:div>
        <w:div w:id="523904032">
          <w:marLeft w:val="0"/>
          <w:marRight w:val="0"/>
          <w:marTop w:val="0"/>
          <w:marBottom w:val="0"/>
          <w:divBdr>
            <w:top w:val="none" w:sz="0" w:space="0" w:color="auto"/>
            <w:left w:val="none" w:sz="0" w:space="0" w:color="auto"/>
            <w:bottom w:val="none" w:sz="0" w:space="0" w:color="auto"/>
            <w:right w:val="none" w:sz="0" w:space="0" w:color="auto"/>
          </w:divBdr>
        </w:div>
        <w:div w:id="2075348378">
          <w:marLeft w:val="0"/>
          <w:marRight w:val="0"/>
          <w:marTop w:val="0"/>
          <w:marBottom w:val="0"/>
          <w:divBdr>
            <w:top w:val="none" w:sz="0" w:space="0" w:color="auto"/>
            <w:left w:val="none" w:sz="0" w:space="0" w:color="auto"/>
            <w:bottom w:val="none" w:sz="0" w:space="0" w:color="auto"/>
            <w:right w:val="none" w:sz="0" w:space="0" w:color="auto"/>
          </w:divBdr>
        </w:div>
        <w:div w:id="490145000">
          <w:marLeft w:val="0"/>
          <w:marRight w:val="0"/>
          <w:marTop w:val="0"/>
          <w:marBottom w:val="0"/>
          <w:divBdr>
            <w:top w:val="none" w:sz="0" w:space="0" w:color="auto"/>
            <w:left w:val="none" w:sz="0" w:space="0" w:color="auto"/>
            <w:bottom w:val="none" w:sz="0" w:space="0" w:color="auto"/>
            <w:right w:val="none" w:sz="0" w:space="0" w:color="auto"/>
          </w:divBdr>
        </w:div>
        <w:div w:id="780875538">
          <w:marLeft w:val="0"/>
          <w:marRight w:val="0"/>
          <w:marTop w:val="0"/>
          <w:marBottom w:val="0"/>
          <w:divBdr>
            <w:top w:val="none" w:sz="0" w:space="0" w:color="auto"/>
            <w:left w:val="none" w:sz="0" w:space="0" w:color="auto"/>
            <w:bottom w:val="none" w:sz="0" w:space="0" w:color="auto"/>
            <w:right w:val="none" w:sz="0" w:space="0" w:color="auto"/>
          </w:divBdr>
        </w:div>
        <w:div w:id="1377657786">
          <w:marLeft w:val="0"/>
          <w:marRight w:val="0"/>
          <w:marTop w:val="0"/>
          <w:marBottom w:val="0"/>
          <w:divBdr>
            <w:top w:val="none" w:sz="0" w:space="0" w:color="auto"/>
            <w:left w:val="none" w:sz="0" w:space="0" w:color="auto"/>
            <w:bottom w:val="none" w:sz="0" w:space="0" w:color="auto"/>
            <w:right w:val="none" w:sz="0" w:space="0" w:color="auto"/>
          </w:divBdr>
        </w:div>
        <w:div w:id="190144280">
          <w:marLeft w:val="0"/>
          <w:marRight w:val="0"/>
          <w:marTop w:val="0"/>
          <w:marBottom w:val="0"/>
          <w:divBdr>
            <w:top w:val="none" w:sz="0" w:space="0" w:color="auto"/>
            <w:left w:val="none" w:sz="0" w:space="0" w:color="auto"/>
            <w:bottom w:val="none" w:sz="0" w:space="0" w:color="auto"/>
            <w:right w:val="none" w:sz="0" w:space="0" w:color="auto"/>
          </w:divBdr>
        </w:div>
        <w:div w:id="1076127219">
          <w:marLeft w:val="0"/>
          <w:marRight w:val="0"/>
          <w:marTop w:val="0"/>
          <w:marBottom w:val="0"/>
          <w:divBdr>
            <w:top w:val="none" w:sz="0" w:space="0" w:color="auto"/>
            <w:left w:val="none" w:sz="0" w:space="0" w:color="auto"/>
            <w:bottom w:val="none" w:sz="0" w:space="0" w:color="auto"/>
            <w:right w:val="none" w:sz="0" w:space="0" w:color="auto"/>
          </w:divBdr>
        </w:div>
        <w:div w:id="1232236692">
          <w:marLeft w:val="0"/>
          <w:marRight w:val="0"/>
          <w:marTop w:val="0"/>
          <w:marBottom w:val="0"/>
          <w:divBdr>
            <w:top w:val="none" w:sz="0" w:space="0" w:color="auto"/>
            <w:left w:val="none" w:sz="0" w:space="0" w:color="auto"/>
            <w:bottom w:val="none" w:sz="0" w:space="0" w:color="auto"/>
            <w:right w:val="none" w:sz="0" w:space="0" w:color="auto"/>
          </w:divBdr>
        </w:div>
        <w:div w:id="1983273041">
          <w:marLeft w:val="0"/>
          <w:marRight w:val="0"/>
          <w:marTop w:val="0"/>
          <w:marBottom w:val="0"/>
          <w:divBdr>
            <w:top w:val="none" w:sz="0" w:space="0" w:color="auto"/>
            <w:left w:val="none" w:sz="0" w:space="0" w:color="auto"/>
            <w:bottom w:val="none" w:sz="0" w:space="0" w:color="auto"/>
            <w:right w:val="none" w:sz="0" w:space="0" w:color="auto"/>
          </w:divBdr>
        </w:div>
        <w:div w:id="1157498326">
          <w:marLeft w:val="0"/>
          <w:marRight w:val="0"/>
          <w:marTop w:val="0"/>
          <w:marBottom w:val="0"/>
          <w:divBdr>
            <w:top w:val="none" w:sz="0" w:space="0" w:color="auto"/>
            <w:left w:val="none" w:sz="0" w:space="0" w:color="auto"/>
            <w:bottom w:val="none" w:sz="0" w:space="0" w:color="auto"/>
            <w:right w:val="none" w:sz="0" w:space="0" w:color="auto"/>
          </w:divBdr>
        </w:div>
        <w:div w:id="2002005357">
          <w:marLeft w:val="0"/>
          <w:marRight w:val="0"/>
          <w:marTop w:val="0"/>
          <w:marBottom w:val="0"/>
          <w:divBdr>
            <w:top w:val="none" w:sz="0" w:space="0" w:color="auto"/>
            <w:left w:val="none" w:sz="0" w:space="0" w:color="auto"/>
            <w:bottom w:val="none" w:sz="0" w:space="0" w:color="auto"/>
            <w:right w:val="none" w:sz="0" w:space="0" w:color="auto"/>
          </w:divBdr>
        </w:div>
        <w:div w:id="1053502332">
          <w:marLeft w:val="0"/>
          <w:marRight w:val="0"/>
          <w:marTop w:val="0"/>
          <w:marBottom w:val="0"/>
          <w:divBdr>
            <w:top w:val="none" w:sz="0" w:space="0" w:color="auto"/>
            <w:left w:val="none" w:sz="0" w:space="0" w:color="auto"/>
            <w:bottom w:val="none" w:sz="0" w:space="0" w:color="auto"/>
            <w:right w:val="none" w:sz="0" w:space="0" w:color="auto"/>
          </w:divBdr>
        </w:div>
        <w:div w:id="1341929743">
          <w:marLeft w:val="0"/>
          <w:marRight w:val="0"/>
          <w:marTop w:val="0"/>
          <w:marBottom w:val="0"/>
          <w:divBdr>
            <w:top w:val="none" w:sz="0" w:space="0" w:color="auto"/>
            <w:left w:val="none" w:sz="0" w:space="0" w:color="auto"/>
            <w:bottom w:val="none" w:sz="0" w:space="0" w:color="auto"/>
            <w:right w:val="none" w:sz="0" w:space="0" w:color="auto"/>
          </w:divBdr>
        </w:div>
      </w:divsChild>
    </w:div>
    <w:div w:id="340739583">
      <w:bodyDiv w:val="1"/>
      <w:marLeft w:val="0"/>
      <w:marRight w:val="0"/>
      <w:marTop w:val="0"/>
      <w:marBottom w:val="0"/>
      <w:divBdr>
        <w:top w:val="none" w:sz="0" w:space="0" w:color="auto"/>
        <w:left w:val="none" w:sz="0" w:space="0" w:color="auto"/>
        <w:bottom w:val="none" w:sz="0" w:space="0" w:color="auto"/>
        <w:right w:val="none" w:sz="0" w:space="0" w:color="auto"/>
      </w:divBdr>
    </w:div>
    <w:div w:id="345134108">
      <w:bodyDiv w:val="1"/>
      <w:marLeft w:val="0"/>
      <w:marRight w:val="0"/>
      <w:marTop w:val="0"/>
      <w:marBottom w:val="0"/>
      <w:divBdr>
        <w:top w:val="none" w:sz="0" w:space="0" w:color="auto"/>
        <w:left w:val="none" w:sz="0" w:space="0" w:color="auto"/>
        <w:bottom w:val="none" w:sz="0" w:space="0" w:color="auto"/>
        <w:right w:val="none" w:sz="0" w:space="0" w:color="auto"/>
      </w:divBdr>
    </w:div>
    <w:div w:id="362480021">
      <w:bodyDiv w:val="1"/>
      <w:marLeft w:val="0"/>
      <w:marRight w:val="0"/>
      <w:marTop w:val="0"/>
      <w:marBottom w:val="0"/>
      <w:divBdr>
        <w:top w:val="none" w:sz="0" w:space="0" w:color="auto"/>
        <w:left w:val="none" w:sz="0" w:space="0" w:color="auto"/>
        <w:bottom w:val="none" w:sz="0" w:space="0" w:color="auto"/>
        <w:right w:val="none" w:sz="0" w:space="0" w:color="auto"/>
      </w:divBdr>
      <w:divsChild>
        <w:div w:id="1690594963">
          <w:marLeft w:val="0"/>
          <w:marRight w:val="0"/>
          <w:marTop w:val="0"/>
          <w:marBottom w:val="0"/>
          <w:divBdr>
            <w:top w:val="none" w:sz="0" w:space="0" w:color="auto"/>
            <w:left w:val="none" w:sz="0" w:space="0" w:color="auto"/>
            <w:bottom w:val="none" w:sz="0" w:space="0" w:color="auto"/>
            <w:right w:val="none" w:sz="0" w:space="0" w:color="auto"/>
          </w:divBdr>
        </w:div>
        <w:div w:id="641076845">
          <w:marLeft w:val="0"/>
          <w:marRight w:val="0"/>
          <w:marTop w:val="0"/>
          <w:marBottom w:val="0"/>
          <w:divBdr>
            <w:top w:val="none" w:sz="0" w:space="0" w:color="auto"/>
            <w:left w:val="none" w:sz="0" w:space="0" w:color="auto"/>
            <w:bottom w:val="none" w:sz="0" w:space="0" w:color="auto"/>
            <w:right w:val="none" w:sz="0" w:space="0" w:color="auto"/>
          </w:divBdr>
        </w:div>
        <w:div w:id="55787816">
          <w:marLeft w:val="0"/>
          <w:marRight w:val="0"/>
          <w:marTop w:val="0"/>
          <w:marBottom w:val="0"/>
          <w:divBdr>
            <w:top w:val="none" w:sz="0" w:space="0" w:color="auto"/>
            <w:left w:val="none" w:sz="0" w:space="0" w:color="auto"/>
            <w:bottom w:val="none" w:sz="0" w:space="0" w:color="auto"/>
            <w:right w:val="none" w:sz="0" w:space="0" w:color="auto"/>
          </w:divBdr>
        </w:div>
        <w:div w:id="701595161">
          <w:marLeft w:val="0"/>
          <w:marRight w:val="0"/>
          <w:marTop w:val="0"/>
          <w:marBottom w:val="0"/>
          <w:divBdr>
            <w:top w:val="none" w:sz="0" w:space="0" w:color="auto"/>
            <w:left w:val="none" w:sz="0" w:space="0" w:color="auto"/>
            <w:bottom w:val="none" w:sz="0" w:space="0" w:color="auto"/>
            <w:right w:val="none" w:sz="0" w:space="0" w:color="auto"/>
          </w:divBdr>
        </w:div>
        <w:div w:id="954403576">
          <w:marLeft w:val="0"/>
          <w:marRight w:val="0"/>
          <w:marTop w:val="0"/>
          <w:marBottom w:val="0"/>
          <w:divBdr>
            <w:top w:val="none" w:sz="0" w:space="0" w:color="auto"/>
            <w:left w:val="none" w:sz="0" w:space="0" w:color="auto"/>
            <w:bottom w:val="none" w:sz="0" w:space="0" w:color="auto"/>
            <w:right w:val="none" w:sz="0" w:space="0" w:color="auto"/>
          </w:divBdr>
        </w:div>
        <w:div w:id="1315794357">
          <w:marLeft w:val="0"/>
          <w:marRight w:val="0"/>
          <w:marTop w:val="0"/>
          <w:marBottom w:val="0"/>
          <w:divBdr>
            <w:top w:val="none" w:sz="0" w:space="0" w:color="auto"/>
            <w:left w:val="none" w:sz="0" w:space="0" w:color="auto"/>
            <w:bottom w:val="none" w:sz="0" w:space="0" w:color="auto"/>
            <w:right w:val="none" w:sz="0" w:space="0" w:color="auto"/>
          </w:divBdr>
        </w:div>
        <w:div w:id="1617639036">
          <w:marLeft w:val="0"/>
          <w:marRight w:val="0"/>
          <w:marTop w:val="0"/>
          <w:marBottom w:val="0"/>
          <w:divBdr>
            <w:top w:val="none" w:sz="0" w:space="0" w:color="auto"/>
            <w:left w:val="none" w:sz="0" w:space="0" w:color="auto"/>
            <w:bottom w:val="none" w:sz="0" w:space="0" w:color="auto"/>
            <w:right w:val="none" w:sz="0" w:space="0" w:color="auto"/>
          </w:divBdr>
        </w:div>
        <w:div w:id="1454443804">
          <w:marLeft w:val="0"/>
          <w:marRight w:val="0"/>
          <w:marTop w:val="0"/>
          <w:marBottom w:val="0"/>
          <w:divBdr>
            <w:top w:val="none" w:sz="0" w:space="0" w:color="auto"/>
            <w:left w:val="none" w:sz="0" w:space="0" w:color="auto"/>
            <w:bottom w:val="none" w:sz="0" w:space="0" w:color="auto"/>
            <w:right w:val="none" w:sz="0" w:space="0" w:color="auto"/>
          </w:divBdr>
        </w:div>
        <w:div w:id="1762413161">
          <w:marLeft w:val="0"/>
          <w:marRight w:val="0"/>
          <w:marTop w:val="0"/>
          <w:marBottom w:val="0"/>
          <w:divBdr>
            <w:top w:val="none" w:sz="0" w:space="0" w:color="auto"/>
            <w:left w:val="none" w:sz="0" w:space="0" w:color="auto"/>
            <w:bottom w:val="none" w:sz="0" w:space="0" w:color="auto"/>
            <w:right w:val="none" w:sz="0" w:space="0" w:color="auto"/>
          </w:divBdr>
        </w:div>
        <w:div w:id="900016673">
          <w:marLeft w:val="0"/>
          <w:marRight w:val="0"/>
          <w:marTop w:val="0"/>
          <w:marBottom w:val="0"/>
          <w:divBdr>
            <w:top w:val="none" w:sz="0" w:space="0" w:color="auto"/>
            <w:left w:val="none" w:sz="0" w:space="0" w:color="auto"/>
            <w:bottom w:val="none" w:sz="0" w:space="0" w:color="auto"/>
            <w:right w:val="none" w:sz="0" w:space="0" w:color="auto"/>
          </w:divBdr>
        </w:div>
        <w:div w:id="1333492125">
          <w:marLeft w:val="0"/>
          <w:marRight w:val="0"/>
          <w:marTop w:val="0"/>
          <w:marBottom w:val="0"/>
          <w:divBdr>
            <w:top w:val="none" w:sz="0" w:space="0" w:color="auto"/>
            <w:left w:val="none" w:sz="0" w:space="0" w:color="auto"/>
            <w:bottom w:val="none" w:sz="0" w:space="0" w:color="auto"/>
            <w:right w:val="none" w:sz="0" w:space="0" w:color="auto"/>
          </w:divBdr>
        </w:div>
      </w:divsChild>
    </w:div>
    <w:div w:id="405499744">
      <w:bodyDiv w:val="1"/>
      <w:marLeft w:val="0"/>
      <w:marRight w:val="0"/>
      <w:marTop w:val="0"/>
      <w:marBottom w:val="0"/>
      <w:divBdr>
        <w:top w:val="none" w:sz="0" w:space="0" w:color="auto"/>
        <w:left w:val="none" w:sz="0" w:space="0" w:color="auto"/>
        <w:bottom w:val="none" w:sz="0" w:space="0" w:color="auto"/>
        <w:right w:val="none" w:sz="0" w:space="0" w:color="auto"/>
      </w:divBdr>
      <w:divsChild>
        <w:div w:id="645472155">
          <w:marLeft w:val="0"/>
          <w:marRight w:val="0"/>
          <w:marTop w:val="0"/>
          <w:marBottom w:val="0"/>
          <w:divBdr>
            <w:top w:val="none" w:sz="0" w:space="0" w:color="auto"/>
            <w:left w:val="none" w:sz="0" w:space="0" w:color="auto"/>
            <w:bottom w:val="none" w:sz="0" w:space="0" w:color="auto"/>
            <w:right w:val="none" w:sz="0" w:space="0" w:color="auto"/>
          </w:divBdr>
        </w:div>
        <w:div w:id="413937319">
          <w:marLeft w:val="0"/>
          <w:marRight w:val="0"/>
          <w:marTop w:val="0"/>
          <w:marBottom w:val="0"/>
          <w:divBdr>
            <w:top w:val="none" w:sz="0" w:space="0" w:color="auto"/>
            <w:left w:val="none" w:sz="0" w:space="0" w:color="auto"/>
            <w:bottom w:val="none" w:sz="0" w:space="0" w:color="auto"/>
            <w:right w:val="none" w:sz="0" w:space="0" w:color="auto"/>
          </w:divBdr>
        </w:div>
        <w:div w:id="1364284306">
          <w:marLeft w:val="0"/>
          <w:marRight w:val="0"/>
          <w:marTop w:val="0"/>
          <w:marBottom w:val="0"/>
          <w:divBdr>
            <w:top w:val="none" w:sz="0" w:space="0" w:color="auto"/>
            <w:left w:val="none" w:sz="0" w:space="0" w:color="auto"/>
            <w:bottom w:val="none" w:sz="0" w:space="0" w:color="auto"/>
            <w:right w:val="none" w:sz="0" w:space="0" w:color="auto"/>
          </w:divBdr>
        </w:div>
      </w:divsChild>
    </w:div>
    <w:div w:id="470364446">
      <w:bodyDiv w:val="1"/>
      <w:marLeft w:val="0"/>
      <w:marRight w:val="0"/>
      <w:marTop w:val="0"/>
      <w:marBottom w:val="0"/>
      <w:divBdr>
        <w:top w:val="none" w:sz="0" w:space="0" w:color="auto"/>
        <w:left w:val="none" w:sz="0" w:space="0" w:color="auto"/>
        <w:bottom w:val="none" w:sz="0" w:space="0" w:color="auto"/>
        <w:right w:val="none" w:sz="0" w:space="0" w:color="auto"/>
      </w:divBdr>
    </w:div>
    <w:div w:id="479230014">
      <w:bodyDiv w:val="1"/>
      <w:marLeft w:val="0"/>
      <w:marRight w:val="0"/>
      <w:marTop w:val="0"/>
      <w:marBottom w:val="0"/>
      <w:divBdr>
        <w:top w:val="none" w:sz="0" w:space="0" w:color="auto"/>
        <w:left w:val="none" w:sz="0" w:space="0" w:color="auto"/>
        <w:bottom w:val="none" w:sz="0" w:space="0" w:color="auto"/>
        <w:right w:val="none" w:sz="0" w:space="0" w:color="auto"/>
      </w:divBdr>
    </w:div>
    <w:div w:id="480194778">
      <w:bodyDiv w:val="1"/>
      <w:marLeft w:val="0"/>
      <w:marRight w:val="0"/>
      <w:marTop w:val="0"/>
      <w:marBottom w:val="0"/>
      <w:divBdr>
        <w:top w:val="none" w:sz="0" w:space="0" w:color="auto"/>
        <w:left w:val="none" w:sz="0" w:space="0" w:color="auto"/>
        <w:bottom w:val="none" w:sz="0" w:space="0" w:color="auto"/>
        <w:right w:val="none" w:sz="0" w:space="0" w:color="auto"/>
      </w:divBdr>
    </w:div>
    <w:div w:id="485127979">
      <w:bodyDiv w:val="1"/>
      <w:marLeft w:val="0"/>
      <w:marRight w:val="0"/>
      <w:marTop w:val="0"/>
      <w:marBottom w:val="0"/>
      <w:divBdr>
        <w:top w:val="none" w:sz="0" w:space="0" w:color="auto"/>
        <w:left w:val="none" w:sz="0" w:space="0" w:color="auto"/>
        <w:bottom w:val="none" w:sz="0" w:space="0" w:color="auto"/>
        <w:right w:val="none" w:sz="0" w:space="0" w:color="auto"/>
      </w:divBdr>
    </w:div>
    <w:div w:id="499545514">
      <w:bodyDiv w:val="1"/>
      <w:marLeft w:val="0"/>
      <w:marRight w:val="0"/>
      <w:marTop w:val="0"/>
      <w:marBottom w:val="0"/>
      <w:divBdr>
        <w:top w:val="none" w:sz="0" w:space="0" w:color="auto"/>
        <w:left w:val="none" w:sz="0" w:space="0" w:color="auto"/>
        <w:bottom w:val="none" w:sz="0" w:space="0" w:color="auto"/>
        <w:right w:val="none" w:sz="0" w:space="0" w:color="auto"/>
      </w:divBdr>
    </w:div>
    <w:div w:id="516969665">
      <w:bodyDiv w:val="1"/>
      <w:marLeft w:val="0"/>
      <w:marRight w:val="0"/>
      <w:marTop w:val="0"/>
      <w:marBottom w:val="0"/>
      <w:divBdr>
        <w:top w:val="none" w:sz="0" w:space="0" w:color="auto"/>
        <w:left w:val="none" w:sz="0" w:space="0" w:color="auto"/>
        <w:bottom w:val="none" w:sz="0" w:space="0" w:color="auto"/>
        <w:right w:val="none" w:sz="0" w:space="0" w:color="auto"/>
      </w:divBdr>
    </w:div>
    <w:div w:id="556477071">
      <w:bodyDiv w:val="1"/>
      <w:marLeft w:val="0"/>
      <w:marRight w:val="0"/>
      <w:marTop w:val="0"/>
      <w:marBottom w:val="0"/>
      <w:divBdr>
        <w:top w:val="none" w:sz="0" w:space="0" w:color="auto"/>
        <w:left w:val="none" w:sz="0" w:space="0" w:color="auto"/>
        <w:bottom w:val="none" w:sz="0" w:space="0" w:color="auto"/>
        <w:right w:val="none" w:sz="0" w:space="0" w:color="auto"/>
      </w:divBdr>
    </w:div>
    <w:div w:id="613680137">
      <w:bodyDiv w:val="1"/>
      <w:marLeft w:val="0"/>
      <w:marRight w:val="0"/>
      <w:marTop w:val="0"/>
      <w:marBottom w:val="0"/>
      <w:divBdr>
        <w:top w:val="none" w:sz="0" w:space="0" w:color="auto"/>
        <w:left w:val="none" w:sz="0" w:space="0" w:color="auto"/>
        <w:bottom w:val="none" w:sz="0" w:space="0" w:color="auto"/>
        <w:right w:val="none" w:sz="0" w:space="0" w:color="auto"/>
      </w:divBdr>
    </w:div>
    <w:div w:id="664284699">
      <w:bodyDiv w:val="1"/>
      <w:marLeft w:val="0"/>
      <w:marRight w:val="0"/>
      <w:marTop w:val="0"/>
      <w:marBottom w:val="0"/>
      <w:divBdr>
        <w:top w:val="none" w:sz="0" w:space="0" w:color="auto"/>
        <w:left w:val="none" w:sz="0" w:space="0" w:color="auto"/>
        <w:bottom w:val="none" w:sz="0" w:space="0" w:color="auto"/>
        <w:right w:val="none" w:sz="0" w:space="0" w:color="auto"/>
      </w:divBdr>
    </w:div>
    <w:div w:id="682709834">
      <w:bodyDiv w:val="1"/>
      <w:marLeft w:val="0"/>
      <w:marRight w:val="0"/>
      <w:marTop w:val="0"/>
      <w:marBottom w:val="0"/>
      <w:divBdr>
        <w:top w:val="none" w:sz="0" w:space="0" w:color="auto"/>
        <w:left w:val="none" w:sz="0" w:space="0" w:color="auto"/>
        <w:bottom w:val="none" w:sz="0" w:space="0" w:color="auto"/>
        <w:right w:val="none" w:sz="0" w:space="0" w:color="auto"/>
      </w:divBdr>
    </w:div>
    <w:div w:id="707267918">
      <w:bodyDiv w:val="1"/>
      <w:marLeft w:val="0"/>
      <w:marRight w:val="0"/>
      <w:marTop w:val="0"/>
      <w:marBottom w:val="0"/>
      <w:divBdr>
        <w:top w:val="none" w:sz="0" w:space="0" w:color="auto"/>
        <w:left w:val="none" w:sz="0" w:space="0" w:color="auto"/>
        <w:bottom w:val="none" w:sz="0" w:space="0" w:color="auto"/>
        <w:right w:val="none" w:sz="0" w:space="0" w:color="auto"/>
      </w:divBdr>
      <w:divsChild>
        <w:div w:id="793328106">
          <w:marLeft w:val="0"/>
          <w:marRight w:val="0"/>
          <w:marTop w:val="0"/>
          <w:marBottom w:val="0"/>
          <w:divBdr>
            <w:top w:val="none" w:sz="0" w:space="0" w:color="auto"/>
            <w:left w:val="none" w:sz="0" w:space="0" w:color="auto"/>
            <w:bottom w:val="none" w:sz="0" w:space="0" w:color="auto"/>
            <w:right w:val="none" w:sz="0" w:space="0" w:color="auto"/>
          </w:divBdr>
        </w:div>
        <w:div w:id="1493259533">
          <w:marLeft w:val="0"/>
          <w:marRight w:val="0"/>
          <w:marTop w:val="0"/>
          <w:marBottom w:val="0"/>
          <w:divBdr>
            <w:top w:val="none" w:sz="0" w:space="0" w:color="auto"/>
            <w:left w:val="none" w:sz="0" w:space="0" w:color="auto"/>
            <w:bottom w:val="none" w:sz="0" w:space="0" w:color="auto"/>
            <w:right w:val="none" w:sz="0" w:space="0" w:color="auto"/>
          </w:divBdr>
        </w:div>
        <w:div w:id="63070136">
          <w:marLeft w:val="0"/>
          <w:marRight w:val="0"/>
          <w:marTop w:val="0"/>
          <w:marBottom w:val="0"/>
          <w:divBdr>
            <w:top w:val="none" w:sz="0" w:space="0" w:color="auto"/>
            <w:left w:val="none" w:sz="0" w:space="0" w:color="auto"/>
            <w:bottom w:val="none" w:sz="0" w:space="0" w:color="auto"/>
            <w:right w:val="none" w:sz="0" w:space="0" w:color="auto"/>
          </w:divBdr>
        </w:div>
        <w:div w:id="719086241">
          <w:marLeft w:val="0"/>
          <w:marRight w:val="0"/>
          <w:marTop w:val="0"/>
          <w:marBottom w:val="0"/>
          <w:divBdr>
            <w:top w:val="none" w:sz="0" w:space="0" w:color="auto"/>
            <w:left w:val="none" w:sz="0" w:space="0" w:color="auto"/>
            <w:bottom w:val="none" w:sz="0" w:space="0" w:color="auto"/>
            <w:right w:val="none" w:sz="0" w:space="0" w:color="auto"/>
          </w:divBdr>
        </w:div>
        <w:div w:id="1377899249">
          <w:marLeft w:val="0"/>
          <w:marRight w:val="0"/>
          <w:marTop w:val="0"/>
          <w:marBottom w:val="0"/>
          <w:divBdr>
            <w:top w:val="none" w:sz="0" w:space="0" w:color="auto"/>
            <w:left w:val="none" w:sz="0" w:space="0" w:color="auto"/>
            <w:bottom w:val="none" w:sz="0" w:space="0" w:color="auto"/>
            <w:right w:val="none" w:sz="0" w:space="0" w:color="auto"/>
          </w:divBdr>
        </w:div>
        <w:div w:id="931856757">
          <w:marLeft w:val="0"/>
          <w:marRight w:val="0"/>
          <w:marTop w:val="0"/>
          <w:marBottom w:val="0"/>
          <w:divBdr>
            <w:top w:val="none" w:sz="0" w:space="0" w:color="auto"/>
            <w:left w:val="none" w:sz="0" w:space="0" w:color="auto"/>
            <w:bottom w:val="none" w:sz="0" w:space="0" w:color="auto"/>
            <w:right w:val="none" w:sz="0" w:space="0" w:color="auto"/>
          </w:divBdr>
        </w:div>
        <w:div w:id="1915316765">
          <w:marLeft w:val="0"/>
          <w:marRight w:val="0"/>
          <w:marTop w:val="0"/>
          <w:marBottom w:val="0"/>
          <w:divBdr>
            <w:top w:val="none" w:sz="0" w:space="0" w:color="auto"/>
            <w:left w:val="none" w:sz="0" w:space="0" w:color="auto"/>
            <w:bottom w:val="none" w:sz="0" w:space="0" w:color="auto"/>
            <w:right w:val="none" w:sz="0" w:space="0" w:color="auto"/>
          </w:divBdr>
        </w:div>
        <w:div w:id="159010127">
          <w:marLeft w:val="0"/>
          <w:marRight w:val="0"/>
          <w:marTop w:val="0"/>
          <w:marBottom w:val="0"/>
          <w:divBdr>
            <w:top w:val="none" w:sz="0" w:space="0" w:color="auto"/>
            <w:left w:val="none" w:sz="0" w:space="0" w:color="auto"/>
            <w:bottom w:val="none" w:sz="0" w:space="0" w:color="auto"/>
            <w:right w:val="none" w:sz="0" w:space="0" w:color="auto"/>
          </w:divBdr>
        </w:div>
        <w:div w:id="1908605907">
          <w:marLeft w:val="0"/>
          <w:marRight w:val="0"/>
          <w:marTop w:val="0"/>
          <w:marBottom w:val="0"/>
          <w:divBdr>
            <w:top w:val="none" w:sz="0" w:space="0" w:color="auto"/>
            <w:left w:val="none" w:sz="0" w:space="0" w:color="auto"/>
            <w:bottom w:val="none" w:sz="0" w:space="0" w:color="auto"/>
            <w:right w:val="none" w:sz="0" w:space="0" w:color="auto"/>
          </w:divBdr>
        </w:div>
        <w:div w:id="1115561765">
          <w:marLeft w:val="0"/>
          <w:marRight w:val="0"/>
          <w:marTop w:val="0"/>
          <w:marBottom w:val="0"/>
          <w:divBdr>
            <w:top w:val="none" w:sz="0" w:space="0" w:color="auto"/>
            <w:left w:val="none" w:sz="0" w:space="0" w:color="auto"/>
            <w:bottom w:val="none" w:sz="0" w:space="0" w:color="auto"/>
            <w:right w:val="none" w:sz="0" w:space="0" w:color="auto"/>
          </w:divBdr>
        </w:div>
        <w:div w:id="1428649949">
          <w:marLeft w:val="0"/>
          <w:marRight w:val="0"/>
          <w:marTop w:val="0"/>
          <w:marBottom w:val="0"/>
          <w:divBdr>
            <w:top w:val="none" w:sz="0" w:space="0" w:color="auto"/>
            <w:left w:val="none" w:sz="0" w:space="0" w:color="auto"/>
            <w:bottom w:val="none" w:sz="0" w:space="0" w:color="auto"/>
            <w:right w:val="none" w:sz="0" w:space="0" w:color="auto"/>
          </w:divBdr>
        </w:div>
        <w:div w:id="136848302">
          <w:marLeft w:val="0"/>
          <w:marRight w:val="0"/>
          <w:marTop w:val="0"/>
          <w:marBottom w:val="0"/>
          <w:divBdr>
            <w:top w:val="none" w:sz="0" w:space="0" w:color="auto"/>
            <w:left w:val="none" w:sz="0" w:space="0" w:color="auto"/>
            <w:bottom w:val="none" w:sz="0" w:space="0" w:color="auto"/>
            <w:right w:val="none" w:sz="0" w:space="0" w:color="auto"/>
          </w:divBdr>
        </w:div>
        <w:div w:id="1299143590">
          <w:marLeft w:val="0"/>
          <w:marRight w:val="0"/>
          <w:marTop w:val="0"/>
          <w:marBottom w:val="0"/>
          <w:divBdr>
            <w:top w:val="none" w:sz="0" w:space="0" w:color="auto"/>
            <w:left w:val="none" w:sz="0" w:space="0" w:color="auto"/>
            <w:bottom w:val="none" w:sz="0" w:space="0" w:color="auto"/>
            <w:right w:val="none" w:sz="0" w:space="0" w:color="auto"/>
          </w:divBdr>
        </w:div>
        <w:div w:id="580674090">
          <w:marLeft w:val="0"/>
          <w:marRight w:val="0"/>
          <w:marTop w:val="0"/>
          <w:marBottom w:val="0"/>
          <w:divBdr>
            <w:top w:val="none" w:sz="0" w:space="0" w:color="auto"/>
            <w:left w:val="none" w:sz="0" w:space="0" w:color="auto"/>
            <w:bottom w:val="none" w:sz="0" w:space="0" w:color="auto"/>
            <w:right w:val="none" w:sz="0" w:space="0" w:color="auto"/>
          </w:divBdr>
        </w:div>
        <w:div w:id="148794234">
          <w:marLeft w:val="0"/>
          <w:marRight w:val="0"/>
          <w:marTop w:val="0"/>
          <w:marBottom w:val="0"/>
          <w:divBdr>
            <w:top w:val="none" w:sz="0" w:space="0" w:color="auto"/>
            <w:left w:val="none" w:sz="0" w:space="0" w:color="auto"/>
            <w:bottom w:val="none" w:sz="0" w:space="0" w:color="auto"/>
            <w:right w:val="none" w:sz="0" w:space="0" w:color="auto"/>
          </w:divBdr>
        </w:div>
        <w:div w:id="1095785527">
          <w:marLeft w:val="0"/>
          <w:marRight w:val="0"/>
          <w:marTop w:val="0"/>
          <w:marBottom w:val="0"/>
          <w:divBdr>
            <w:top w:val="none" w:sz="0" w:space="0" w:color="auto"/>
            <w:left w:val="none" w:sz="0" w:space="0" w:color="auto"/>
            <w:bottom w:val="none" w:sz="0" w:space="0" w:color="auto"/>
            <w:right w:val="none" w:sz="0" w:space="0" w:color="auto"/>
          </w:divBdr>
        </w:div>
        <w:div w:id="1140998158">
          <w:marLeft w:val="0"/>
          <w:marRight w:val="0"/>
          <w:marTop w:val="0"/>
          <w:marBottom w:val="0"/>
          <w:divBdr>
            <w:top w:val="none" w:sz="0" w:space="0" w:color="auto"/>
            <w:left w:val="none" w:sz="0" w:space="0" w:color="auto"/>
            <w:bottom w:val="none" w:sz="0" w:space="0" w:color="auto"/>
            <w:right w:val="none" w:sz="0" w:space="0" w:color="auto"/>
          </w:divBdr>
        </w:div>
        <w:div w:id="4603590">
          <w:marLeft w:val="0"/>
          <w:marRight w:val="0"/>
          <w:marTop w:val="0"/>
          <w:marBottom w:val="0"/>
          <w:divBdr>
            <w:top w:val="none" w:sz="0" w:space="0" w:color="auto"/>
            <w:left w:val="none" w:sz="0" w:space="0" w:color="auto"/>
            <w:bottom w:val="none" w:sz="0" w:space="0" w:color="auto"/>
            <w:right w:val="none" w:sz="0" w:space="0" w:color="auto"/>
          </w:divBdr>
        </w:div>
        <w:div w:id="1354266601">
          <w:marLeft w:val="0"/>
          <w:marRight w:val="0"/>
          <w:marTop w:val="0"/>
          <w:marBottom w:val="0"/>
          <w:divBdr>
            <w:top w:val="none" w:sz="0" w:space="0" w:color="auto"/>
            <w:left w:val="none" w:sz="0" w:space="0" w:color="auto"/>
            <w:bottom w:val="none" w:sz="0" w:space="0" w:color="auto"/>
            <w:right w:val="none" w:sz="0" w:space="0" w:color="auto"/>
          </w:divBdr>
        </w:div>
        <w:div w:id="1668631821">
          <w:marLeft w:val="0"/>
          <w:marRight w:val="0"/>
          <w:marTop w:val="0"/>
          <w:marBottom w:val="0"/>
          <w:divBdr>
            <w:top w:val="none" w:sz="0" w:space="0" w:color="auto"/>
            <w:left w:val="none" w:sz="0" w:space="0" w:color="auto"/>
            <w:bottom w:val="none" w:sz="0" w:space="0" w:color="auto"/>
            <w:right w:val="none" w:sz="0" w:space="0" w:color="auto"/>
          </w:divBdr>
        </w:div>
        <w:div w:id="167453858">
          <w:marLeft w:val="0"/>
          <w:marRight w:val="0"/>
          <w:marTop w:val="0"/>
          <w:marBottom w:val="0"/>
          <w:divBdr>
            <w:top w:val="none" w:sz="0" w:space="0" w:color="auto"/>
            <w:left w:val="none" w:sz="0" w:space="0" w:color="auto"/>
            <w:bottom w:val="none" w:sz="0" w:space="0" w:color="auto"/>
            <w:right w:val="none" w:sz="0" w:space="0" w:color="auto"/>
          </w:divBdr>
        </w:div>
        <w:div w:id="1928539384">
          <w:marLeft w:val="0"/>
          <w:marRight w:val="0"/>
          <w:marTop w:val="0"/>
          <w:marBottom w:val="0"/>
          <w:divBdr>
            <w:top w:val="none" w:sz="0" w:space="0" w:color="auto"/>
            <w:left w:val="none" w:sz="0" w:space="0" w:color="auto"/>
            <w:bottom w:val="none" w:sz="0" w:space="0" w:color="auto"/>
            <w:right w:val="none" w:sz="0" w:space="0" w:color="auto"/>
          </w:divBdr>
        </w:div>
        <w:div w:id="814300953">
          <w:marLeft w:val="0"/>
          <w:marRight w:val="0"/>
          <w:marTop w:val="0"/>
          <w:marBottom w:val="0"/>
          <w:divBdr>
            <w:top w:val="none" w:sz="0" w:space="0" w:color="auto"/>
            <w:left w:val="none" w:sz="0" w:space="0" w:color="auto"/>
            <w:bottom w:val="none" w:sz="0" w:space="0" w:color="auto"/>
            <w:right w:val="none" w:sz="0" w:space="0" w:color="auto"/>
          </w:divBdr>
        </w:div>
        <w:div w:id="1059599803">
          <w:marLeft w:val="0"/>
          <w:marRight w:val="0"/>
          <w:marTop w:val="0"/>
          <w:marBottom w:val="0"/>
          <w:divBdr>
            <w:top w:val="none" w:sz="0" w:space="0" w:color="auto"/>
            <w:left w:val="none" w:sz="0" w:space="0" w:color="auto"/>
            <w:bottom w:val="none" w:sz="0" w:space="0" w:color="auto"/>
            <w:right w:val="none" w:sz="0" w:space="0" w:color="auto"/>
          </w:divBdr>
        </w:div>
        <w:div w:id="1789356093">
          <w:marLeft w:val="0"/>
          <w:marRight w:val="0"/>
          <w:marTop w:val="0"/>
          <w:marBottom w:val="0"/>
          <w:divBdr>
            <w:top w:val="none" w:sz="0" w:space="0" w:color="auto"/>
            <w:left w:val="none" w:sz="0" w:space="0" w:color="auto"/>
            <w:bottom w:val="none" w:sz="0" w:space="0" w:color="auto"/>
            <w:right w:val="none" w:sz="0" w:space="0" w:color="auto"/>
          </w:divBdr>
        </w:div>
        <w:div w:id="472675960">
          <w:marLeft w:val="0"/>
          <w:marRight w:val="0"/>
          <w:marTop w:val="0"/>
          <w:marBottom w:val="0"/>
          <w:divBdr>
            <w:top w:val="none" w:sz="0" w:space="0" w:color="auto"/>
            <w:left w:val="none" w:sz="0" w:space="0" w:color="auto"/>
            <w:bottom w:val="none" w:sz="0" w:space="0" w:color="auto"/>
            <w:right w:val="none" w:sz="0" w:space="0" w:color="auto"/>
          </w:divBdr>
        </w:div>
        <w:div w:id="206992441">
          <w:marLeft w:val="0"/>
          <w:marRight w:val="0"/>
          <w:marTop w:val="0"/>
          <w:marBottom w:val="0"/>
          <w:divBdr>
            <w:top w:val="none" w:sz="0" w:space="0" w:color="auto"/>
            <w:left w:val="none" w:sz="0" w:space="0" w:color="auto"/>
            <w:bottom w:val="none" w:sz="0" w:space="0" w:color="auto"/>
            <w:right w:val="none" w:sz="0" w:space="0" w:color="auto"/>
          </w:divBdr>
        </w:div>
        <w:div w:id="1742556822">
          <w:marLeft w:val="0"/>
          <w:marRight w:val="0"/>
          <w:marTop w:val="0"/>
          <w:marBottom w:val="0"/>
          <w:divBdr>
            <w:top w:val="none" w:sz="0" w:space="0" w:color="auto"/>
            <w:left w:val="none" w:sz="0" w:space="0" w:color="auto"/>
            <w:bottom w:val="none" w:sz="0" w:space="0" w:color="auto"/>
            <w:right w:val="none" w:sz="0" w:space="0" w:color="auto"/>
          </w:divBdr>
        </w:div>
        <w:div w:id="1862821774">
          <w:marLeft w:val="0"/>
          <w:marRight w:val="0"/>
          <w:marTop w:val="0"/>
          <w:marBottom w:val="0"/>
          <w:divBdr>
            <w:top w:val="none" w:sz="0" w:space="0" w:color="auto"/>
            <w:left w:val="none" w:sz="0" w:space="0" w:color="auto"/>
            <w:bottom w:val="none" w:sz="0" w:space="0" w:color="auto"/>
            <w:right w:val="none" w:sz="0" w:space="0" w:color="auto"/>
          </w:divBdr>
        </w:div>
        <w:div w:id="1622806031">
          <w:marLeft w:val="0"/>
          <w:marRight w:val="0"/>
          <w:marTop w:val="0"/>
          <w:marBottom w:val="0"/>
          <w:divBdr>
            <w:top w:val="none" w:sz="0" w:space="0" w:color="auto"/>
            <w:left w:val="none" w:sz="0" w:space="0" w:color="auto"/>
            <w:bottom w:val="none" w:sz="0" w:space="0" w:color="auto"/>
            <w:right w:val="none" w:sz="0" w:space="0" w:color="auto"/>
          </w:divBdr>
        </w:div>
        <w:div w:id="1475221410">
          <w:marLeft w:val="0"/>
          <w:marRight w:val="0"/>
          <w:marTop w:val="0"/>
          <w:marBottom w:val="0"/>
          <w:divBdr>
            <w:top w:val="none" w:sz="0" w:space="0" w:color="auto"/>
            <w:left w:val="none" w:sz="0" w:space="0" w:color="auto"/>
            <w:bottom w:val="none" w:sz="0" w:space="0" w:color="auto"/>
            <w:right w:val="none" w:sz="0" w:space="0" w:color="auto"/>
          </w:divBdr>
        </w:div>
        <w:div w:id="631442691">
          <w:marLeft w:val="0"/>
          <w:marRight w:val="0"/>
          <w:marTop w:val="0"/>
          <w:marBottom w:val="0"/>
          <w:divBdr>
            <w:top w:val="none" w:sz="0" w:space="0" w:color="auto"/>
            <w:left w:val="none" w:sz="0" w:space="0" w:color="auto"/>
            <w:bottom w:val="none" w:sz="0" w:space="0" w:color="auto"/>
            <w:right w:val="none" w:sz="0" w:space="0" w:color="auto"/>
          </w:divBdr>
        </w:div>
        <w:div w:id="712508330">
          <w:marLeft w:val="0"/>
          <w:marRight w:val="0"/>
          <w:marTop w:val="0"/>
          <w:marBottom w:val="0"/>
          <w:divBdr>
            <w:top w:val="none" w:sz="0" w:space="0" w:color="auto"/>
            <w:left w:val="none" w:sz="0" w:space="0" w:color="auto"/>
            <w:bottom w:val="none" w:sz="0" w:space="0" w:color="auto"/>
            <w:right w:val="none" w:sz="0" w:space="0" w:color="auto"/>
          </w:divBdr>
        </w:div>
        <w:div w:id="563177547">
          <w:marLeft w:val="0"/>
          <w:marRight w:val="0"/>
          <w:marTop w:val="0"/>
          <w:marBottom w:val="0"/>
          <w:divBdr>
            <w:top w:val="none" w:sz="0" w:space="0" w:color="auto"/>
            <w:left w:val="none" w:sz="0" w:space="0" w:color="auto"/>
            <w:bottom w:val="none" w:sz="0" w:space="0" w:color="auto"/>
            <w:right w:val="none" w:sz="0" w:space="0" w:color="auto"/>
          </w:divBdr>
        </w:div>
        <w:div w:id="672028105">
          <w:marLeft w:val="0"/>
          <w:marRight w:val="0"/>
          <w:marTop w:val="0"/>
          <w:marBottom w:val="0"/>
          <w:divBdr>
            <w:top w:val="none" w:sz="0" w:space="0" w:color="auto"/>
            <w:left w:val="none" w:sz="0" w:space="0" w:color="auto"/>
            <w:bottom w:val="none" w:sz="0" w:space="0" w:color="auto"/>
            <w:right w:val="none" w:sz="0" w:space="0" w:color="auto"/>
          </w:divBdr>
        </w:div>
        <w:div w:id="700126971">
          <w:marLeft w:val="0"/>
          <w:marRight w:val="0"/>
          <w:marTop w:val="0"/>
          <w:marBottom w:val="0"/>
          <w:divBdr>
            <w:top w:val="none" w:sz="0" w:space="0" w:color="auto"/>
            <w:left w:val="none" w:sz="0" w:space="0" w:color="auto"/>
            <w:bottom w:val="none" w:sz="0" w:space="0" w:color="auto"/>
            <w:right w:val="none" w:sz="0" w:space="0" w:color="auto"/>
          </w:divBdr>
        </w:div>
        <w:div w:id="708989721">
          <w:marLeft w:val="0"/>
          <w:marRight w:val="0"/>
          <w:marTop w:val="0"/>
          <w:marBottom w:val="0"/>
          <w:divBdr>
            <w:top w:val="none" w:sz="0" w:space="0" w:color="auto"/>
            <w:left w:val="none" w:sz="0" w:space="0" w:color="auto"/>
            <w:bottom w:val="none" w:sz="0" w:space="0" w:color="auto"/>
            <w:right w:val="none" w:sz="0" w:space="0" w:color="auto"/>
          </w:divBdr>
        </w:div>
        <w:div w:id="2135244794">
          <w:marLeft w:val="0"/>
          <w:marRight w:val="0"/>
          <w:marTop w:val="0"/>
          <w:marBottom w:val="0"/>
          <w:divBdr>
            <w:top w:val="none" w:sz="0" w:space="0" w:color="auto"/>
            <w:left w:val="none" w:sz="0" w:space="0" w:color="auto"/>
            <w:bottom w:val="none" w:sz="0" w:space="0" w:color="auto"/>
            <w:right w:val="none" w:sz="0" w:space="0" w:color="auto"/>
          </w:divBdr>
        </w:div>
        <w:div w:id="1950625493">
          <w:marLeft w:val="0"/>
          <w:marRight w:val="0"/>
          <w:marTop w:val="0"/>
          <w:marBottom w:val="0"/>
          <w:divBdr>
            <w:top w:val="none" w:sz="0" w:space="0" w:color="auto"/>
            <w:left w:val="none" w:sz="0" w:space="0" w:color="auto"/>
            <w:bottom w:val="none" w:sz="0" w:space="0" w:color="auto"/>
            <w:right w:val="none" w:sz="0" w:space="0" w:color="auto"/>
          </w:divBdr>
        </w:div>
        <w:div w:id="1048719437">
          <w:marLeft w:val="0"/>
          <w:marRight w:val="0"/>
          <w:marTop w:val="0"/>
          <w:marBottom w:val="0"/>
          <w:divBdr>
            <w:top w:val="none" w:sz="0" w:space="0" w:color="auto"/>
            <w:left w:val="none" w:sz="0" w:space="0" w:color="auto"/>
            <w:bottom w:val="none" w:sz="0" w:space="0" w:color="auto"/>
            <w:right w:val="none" w:sz="0" w:space="0" w:color="auto"/>
          </w:divBdr>
        </w:div>
        <w:div w:id="341469151">
          <w:marLeft w:val="0"/>
          <w:marRight w:val="0"/>
          <w:marTop w:val="0"/>
          <w:marBottom w:val="0"/>
          <w:divBdr>
            <w:top w:val="none" w:sz="0" w:space="0" w:color="auto"/>
            <w:left w:val="none" w:sz="0" w:space="0" w:color="auto"/>
            <w:bottom w:val="none" w:sz="0" w:space="0" w:color="auto"/>
            <w:right w:val="none" w:sz="0" w:space="0" w:color="auto"/>
          </w:divBdr>
        </w:div>
        <w:div w:id="2018118174">
          <w:marLeft w:val="0"/>
          <w:marRight w:val="0"/>
          <w:marTop w:val="0"/>
          <w:marBottom w:val="0"/>
          <w:divBdr>
            <w:top w:val="none" w:sz="0" w:space="0" w:color="auto"/>
            <w:left w:val="none" w:sz="0" w:space="0" w:color="auto"/>
            <w:bottom w:val="none" w:sz="0" w:space="0" w:color="auto"/>
            <w:right w:val="none" w:sz="0" w:space="0" w:color="auto"/>
          </w:divBdr>
        </w:div>
        <w:div w:id="770128356">
          <w:marLeft w:val="0"/>
          <w:marRight w:val="0"/>
          <w:marTop w:val="0"/>
          <w:marBottom w:val="0"/>
          <w:divBdr>
            <w:top w:val="none" w:sz="0" w:space="0" w:color="auto"/>
            <w:left w:val="none" w:sz="0" w:space="0" w:color="auto"/>
            <w:bottom w:val="none" w:sz="0" w:space="0" w:color="auto"/>
            <w:right w:val="none" w:sz="0" w:space="0" w:color="auto"/>
          </w:divBdr>
        </w:div>
        <w:div w:id="72288242">
          <w:marLeft w:val="0"/>
          <w:marRight w:val="0"/>
          <w:marTop w:val="0"/>
          <w:marBottom w:val="0"/>
          <w:divBdr>
            <w:top w:val="none" w:sz="0" w:space="0" w:color="auto"/>
            <w:left w:val="none" w:sz="0" w:space="0" w:color="auto"/>
            <w:bottom w:val="none" w:sz="0" w:space="0" w:color="auto"/>
            <w:right w:val="none" w:sz="0" w:space="0" w:color="auto"/>
          </w:divBdr>
        </w:div>
        <w:div w:id="1791704091">
          <w:marLeft w:val="0"/>
          <w:marRight w:val="0"/>
          <w:marTop w:val="0"/>
          <w:marBottom w:val="0"/>
          <w:divBdr>
            <w:top w:val="none" w:sz="0" w:space="0" w:color="auto"/>
            <w:left w:val="none" w:sz="0" w:space="0" w:color="auto"/>
            <w:bottom w:val="none" w:sz="0" w:space="0" w:color="auto"/>
            <w:right w:val="none" w:sz="0" w:space="0" w:color="auto"/>
          </w:divBdr>
        </w:div>
        <w:div w:id="1697537295">
          <w:marLeft w:val="0"/>
          <w:marRight w:val="0"/>
          <w:marTop w:val="0"/>
          <w:marBottom w:val="0"/>
          <w:divBdr>
            <w:top w:val="none" w:sz="0" w:space="0" w:color="auto"/>
            <w:left w:val="none" w:sz="0" w:space="0" w:color="auto"/>
            <w:bottom w:val="none" w:sz="0" w:space="0" w:color="auto"/>
            <w:right w:val="none" w:sz="0" w:space="0" w:color="auto"/>
          </w:divBdr>
        </w:div>
        <w:div w:id="631323178">
          <w:marLeft w:val="0"/>
          <w:marRight w:val="0"/>
          <w:marTop w:val="0"/>
          <w:marBottom w:val="0"/>
          <w:divBdr>
            <w:top w:val="none" w:sz="0" w:space="0" w:color="auto"/>
            <w:left w:val="none" w:sz="0" w:space="0" w:color="auto"/>
            <w:bottom w:val="none" w:sz="0" w:space="0" w:color="auto"/>
            <w:right w:val="none" w:sz="0" w:space="0" w:color="auto"/>
          </w:divBdr>
        </w:div>
        <w:div w:id="2071419818">
          <w:marLeft w:val="0"/>
          <w:marRight w:val="0"/>
          <w:marTop w:val="0"/>
          <w:marBottom w:val="0"/>
          <w:divBdr>
            <w:top w:val="none" w:sz="0" w:space="0" w:color="auto"/>
            <w:left w:val="none" w:sz="0" w:space="0" w:color="auto"/>
            <w:bottom w:val="none" w:sz="0" w:space="0" w:color="auto"/>
            <w:right w:val="none" w:sz="0" w:space="0" w:color="auto"/>
          </w:divBdr>
        </w:div>
        <w:div w:id="466897007">
          <w:marLeft w:val="0"/>
          <w:marRight w:val="0"/>
          <w:marTop w:val="0"/>
          <w:marBottom w:val="0"/>
          <w:divBdr>
            <w:top w:val="none" w:sz="0" w:space="0" w:color="auto"/>
            <w:left w:val="none" w:sz="0" w:space="0" w:color="auto"/>
            <w:bottom w:val="none" w:sz="0" w:space="0" w:color="auto"/>
            <w:right w:val="none" w:sz="0" w:space="0" w:color="auto"/>
          </w:divBdr>
        </w:div>
        <w:div w:id="1655716649">
          <w:marLeft w:val="0"/>
          <w:marRight w:val="0"/>
          <w:marTop w:val="0"/>
          <w:marBottom w:val="0"/>
          <w:divBdr>
            <w:top w:val="none" w:sz="0" w:space="0" w:color="auto"/>
            <w:left w:val="none" w:sz="0" w:space="0" w:color="auto"/>
            <w:bottom w:val="none" w:sz="0" w:space="0" w:color="auto"/>
            <w:right w:val="none" w:sz="0" w:space="0" w:color="auto"/>
          </w:divBdr>
        </w:div>
        <w:div w:id="1032268651">
          <w:marLeft w:val="0"/>
          <w:marRight w:val="0"/>
          <w:marTop w:val="0"/>
          <w:marBottom w:val="0"/>
          <w:divBdr>
            <w:top w:val="none" w:sz="0" w:space="0" w:color="auto"/>
            <w:left w:val="none" w:sz="0" w:space="0" w:color="auto"/>
            <w:bottom w:val="none" w:sz="0" w:space="0" w:color="auto"/>
            <w:right w:val="none" w:sz="0" w:space="0" w:color="auto"/>
          </w:divBdr>
        </w:div>
        <w:div w:id="1269578844">
          <w:marLeft w:val="0"/>
          <w:marRight w:val="0"/>
          <w:marTop w:val="0"/>
          <w:marBottom w:val="0"/>
          <w:divBdr>
            <w:top w:val="none" w:sz="0" w:space="0" w:color="auto"/>
            <w:left w:val="none" w:sz="0" w:space="0" w:color="auto"/>
            <w:bottom w:val="none" w:sz="0" w:space="0" w:color="auto"/>
            <w:right w:val="none" w:sz="0" w:space="0" w:color="auto"/>
          </w:divBdr>
        </w:div>
        <w:div w:id="576062168">
          <w:marLeft w:val="0"/>
          <w:marRight w:val="0"/>
          <w:marTop w:val="0"/>
          <w:marBottom w:val="0"/>
          <w:divBdr>
            <w:top w:val="none" w:sz="0" w:space="0" w:color="auto"/>
            <w:left w:val="none" w:sz="0" w:space="0" w:color="auto"/>
            <w:bottom w:val="none" w:sz="0" w:space="0" w:color="auto"/>
            <w:right w:val="none" w:sz="0" w:space="0" w:color="auto"/>
          </w:divBdr>
        </w:div>
        <w:div w:id="430317342">
          <w:marLeft w:val="0"/>
          <w:marRight w:val="0"/>
          <w:marTop w:val="0"/>
          <w:marBottom w:val="0"/>
          <w:divBdr>
            <w:top w:val="none" w:sz="0" w:space="0" w:color="auto"/>
            <w:left w:val="none" w:sz="0" w:space="0" w:color="auto"/>
            <w:bottom w:val="none" w:sz="0" w:space="0" w:color="auto"/>
            <w:right w:val="none" w:sz="0" w:space="0" w:color="auto"/>
          </w:divBdr>
        </w:div>
        <w:div w:id="1698195158">
          <w:marLeft w:val="0"/>
          <w:marRight w:val="0"/>
          <w:marTop w:val="0"/>
          <w:marBottom w:val="0"/>
          <w:divBdr>
            <w:top w:val="none" w:sz="0" w:space="0" w:color="auto"/>
            <w:left w:val="none" w:sz="0" w:space="0" w:color="auto"/>
            <w:bottom w:val="none" w:sz="0" w:space="0" w:color="auto"/>
            <w:right w:val="none" w:sz="0" w:space="0" w:color="auto"/>
          </w:divBdr>
        </w:div>
        <w:div w:id="1376614690">
          <w:marLeft w:val="0"/>
          <w:marRight w:val="0"/>
          <w:marTop w:val="0"/>
          <w:marBottom w:val="0"/>
          <w:divBdr>
            <w:top w:val="none" w:sz="0" w:space="0" w:color="auto"/>
            <w:left w:val="none" w:sz="0" w:space="0" w:color="auto"/>
            <w:bottom w:val="none" w:sz="0" w:space="0" w:color="auto"/>
            <w:right w:val="none" w:sz="0" w:space="0" w:color="auto"/>
          </w:divBdr>
        </w:div>
        <w:div w:id="1103108484">
          <w:marLeft w:val="0"/>
          <w:marRight w:val="0"/>
          <w:marTop w:val="0"/>
          <w:marBottom w:val="0"/>
          <w:divBdr>
            <w:top w:val="none" w:sz="0" w:space="0" w:color="auto"/>
            <w:left w:val="none" w:sz="0" w:space="0" w:color="auto"/>
            <w:bottom w:val="none" w:sz="0" w:space="0" w:color="auto"/>
            <w:right w:val="none" w:sz="0" w:space="0" w:color="auto"/>
          </w:divBdr>
        </w:div>
        <w:div w:id="1535383231">
          <w:marLeft w:val="0"/>
          <w:marRight w:val="0"/>
          <w:marTop w:val="0"/>
          <w:marBottom w:val="0"/>
          <w:divBdr>
            <w:top w:val="none" w:sz="0" w:space="0" w:color="auto"/>
            <w:left w:val="none" w:sz="0" w:space="0" w:color="auto"/>
            <w:bottom w:val="none" w:sz="0" w:space="0" w:color="auto"/>
            <w:right w:val="none" w:sz="0" w:space="0" w:color="auto"/>
          </w:divBdr>
        </w:div>
        <w:div w:id="476191150">
          <w:marLeft w:val="0"/>
          <w:marRight w:val="0"/>
          <w:marTop w:val="0"/>
          <w:marBottom w:val="0"/>
          <w:divBdr>
            <w:top w:val="none" w:sz="0" w:space="0" w:color="auto"/>
            <w:left w:val="none" w:sz="0" w:space="0" w:color="auto"/>
            <w:bottom w:val="none" w:sz="0" w:space="0" w:color="auto"/>
            <w:right w:val="none" w:sz="0" w:space="0" w:color="auto"/>
          </w:divBdr>
        </w:div>
        <w:div w:id="813332510">
          <w:marLeft w:val="0"/>
          <w:marRight w:val="0"/>
          <w:marTop w:val="0"/>
          <w:marBottom w:val="0"/>
          <w:divBdr>
            <w:top w:val="none" w:sz="0" w:space="0" w:color="auto"/>
            <w:left w:val="none" w:sz="0" w:space="0" w:color="auto"/>
            <w:bottom w:val="none" w:sz="0" w:space="0" w:color="auto"/>
            <w:right w:val="none" w:sz="0" w:space="0" w:color="auto"/>
          </w:divBdr>
        </w:div>
        <w:div w:id="1092893074">
          <w:marLeft w:val="0"/>
          <w:marRight w:val="0"/>
          <w:marTop w:val="0"/>
          <w:marBottom w:val="0"/>
          <w:divBdr>
            <w:top w:val="none" w:sz="0" w:space="0" w:color="auto"/>
            <w:left w:val="none" w:sz="0" w:space="0" w:color="auto"/>
            <w:bottom w:val="none" w:sz="0" w:space="0" w:color="auto"/>
            <w:right w:val="none" w:sz="0" w:space="0" w:color="auto"/>
          </w:divBdr>
        </w:div>
        <w:div w:id="702903870">
          <w:marLeft w:val="0"/>
          <w:marRight w:val="0"/>
          <w:marTop w:val="0"/>
          <w:marBottom w:val="0"/>
          <w:divBdr>
            <w:top w:val="none" w:sz="0" w:space="0" w:color="auto"/>
            <w:left w:val="none" w:sz="0" w:space="0" w:color="auto"/>
            <w:bottom w:val="none" w:sz="0" w:space="0" w:color="auto"/>
            <w:right w:val="none" w:sz="0" w:space="0" w:color="auto"/>
          </w:divBdr>
        </w:div>
        <w:div w:id="1684894943">
          <w:marLeft w:val="0"/>
          <w:marRight w:val="0"/>
          <w:marTop w:val="0"/>
          <w:marBottom w:val="0"/>
          <w:divBdr>
            <w:top w:val="none" w:sz="0" w:space="0" w:color="auto"/>
            <w:left w:val="none" w:sz="0" w:space="0" w:color="auto"/>
            <w:bottom w:val="none" w:sz="0" w:space="0" w:color="auto"/>
            <w:right w:val="none" w:sz="0" w:space="0" w:color="auto"/>
          </w:divBdr>
        </w:div>
        <w:div w:id="832843721">
          <w:marLeft w:val="0"/>
          <w:marRight w:val="0"/>
          <w:marTop w:val="0"/>
          <w:marBottom w:val="0"/>
          <w:divBdr>
            <w:top w:val="none" w:sz="0" w:space="0" w:color="auto"/>
            <w:left w:val="none" w:sz="0" w:space="0" w:color="auto"/>
            <w:bottom w:val="none" w:sz="0" w:space="0" w:color="auto"/>
            <w:right w:val="none" w:sz="0" w:space="0" w:color="auto"/>
          </w:divBdr>
        </w:div>
        <w:div w:id="1267469369">
          <w:marLeft w:val="0"/>
          <w:marRight w:val="0"/>
          <w:marTop w:val="0"/>
          <w:marBottom w:val="0"/>
          <w:divBdr>
            <w:top w:val="none" w:sz="0" w:space="0" w:color="auto"/>
            <w:left w:val="none" w:sz="0" w:space="0" w:color="auto"/>
            <w:bottom w:val="none" w:sz="0" w:space="0" w:color="auto"/>
            <w:right w:val="none" w:sz="0" w:space="0" w:color="auto"/>
          </w:divBdr>
        </w:div>
        <w:div w:id="1621911600">
          <w:marLeft w:val="0"/>
          <w:marRight w:val="0"/>
          <w:marTop w:val="0"/>
          <w:marBottom w:val="0"/>
          <w:divBdr>
            <w:top w:val="none" w:sz="0" w:space="0" w:color="auto"/>
            <w:left w:val="none" w:sz="0" w:space="0" w:color="auto"/>
            <w:bottom w:val="none" w:sz="0" w:space="0" w:color="auto"/>
            <w:right w:val="none" w:sz="0" w:space="0" w:color="auto"/>
          </w:divBdr>
        </w:div>
        <w:div w:id="780800283">
          <w:marLeft w:val="0"/>
          <w:marRight w:val="0"/>
          <w:marTop w:val="0"/>
          <w:marBottom w:val="0"/>
          <w:divBdr>
            <w:top w:val="none" w:sz="0" w:space="0" w:color="auto"/>
            <w:left w:val="none" w:sz="0" w:space="0" w:color="auto"/>
            <w:bottom w:val="none" w:sz="0" w:space="0" w:color="auto"/>
            <w:right w:val="none" w:sz="0" w:space="0" w:color="auto"/>
          </w:divBdr>
        </w:div>
        <w:div w:id="1097214570">
          <w:marLeft w:val="0"/>
          <w:marRight w:val="0"/>
          <w:marTop w:val="0"/>
          <w:marBottom w:val="0"/>
          <w:divBdr>
            <w:top w:val="none" w:sz="0" w:space="0" w:color="auto"/>
            <w:left w:val="none" w:sz="0" w:space="0" w:color="auto"/>
            <w:bottom w:val="none" w:sz="0" w:space="0" w:color="auto"/>
            <w:right w:val="none" w:sz="0" w:space="0" w:color="auto"/>
          </w:divBdr>
        </w:div>
        <w:div w:id="1023357913">
          <w:marLeft w:val="0"/>
          <w:marRight w:val="0"/>
          <w:marTop w:val="0"/>
          <w:marBottom w:val="0"/>
          <w:divBdr>
            <w:top w:val="none" w:sz="0" w:space="0" w:color="auto"/>
            <w:left w:val="none" w:sz="0" w:space="0" w:color="auto"/>
            <w:bottom w:val="none" w:sz="0" w:space="0" w:color="auto"/>
            <w:right w:val="none" w:sz="0" w:space="0" w:color="auto"/>
          </w:divBdr>
        </w:div>
        <w:div w:id="487477168">
          <w:marLeft w:val="0"/>
          <w:marRight w:val="0"/>
          <w:marTop w:val="0"/>
          <w:marBottom w:val="0"/>
          <w:divBdr>
            <w:top w:val="none" w:sz="0" w:space="0" w:color="auto"/>
            <w:left w:val="none" w:sz="0" w:space="0" w:color="auto"/>
            <w:bottom w:val="none" w:sz="0" w:space="0" w:color="auto"/>
            <w:right w:val="none" w:sz="0" w:space="0" w:color="auto"/>
          </w:divBdr>
        </w:div>
        <w:div w:id="776365422">
          <w:marLeft w:val="0"/>
          <w:marRight w:val="0"/>
          <w:marTop w:val="0"/>
          <w:marBottom w:val="0"/>
          <w:divBdr>
            <w:top w:val="none" w:sz="0" w:space="0" w:color="auto"/>
            <w:left w:val="none" w:sz="0" w:space="0" w:color="auto"/>
            <w:bottom w:val="none" w:sz="0" w:space="0" w:color="auto"/>
            <w:right w:val="none" w:sz="0" w:space="0" w:color="auto"/>
          </w:divBdr>
        </w:div>
        <w:div w:id="1180894202">
          <w:marLeft w:val="0"/>
          <w:marRight w:val="0"/>
          <w:marTop w:val="0"/>
          <w:marBottom w:val="0"/>
          <w:divBdr>
            <w:top w:val="none" w:sz="0" w:space="0" w:color="auto"/>
            <w:left w:val="none" w:sz="0" w:space="0" w:color="auto"/>
            <w:bottom w:val="none" w:sz="0" w:space="0" w:color="auto"/>
            <w:right w:val="none" w:sz="0" w:space="0" w:color="auto"/>
          </w:divBdr>
        </w:div>
        <w:div w:id="99490072">
          <w:marLeft w:val="0"/>
          <w:marRight w:val="0"/>
          <w:marTop w:val="0"/>
          <w:marBottom w:val="0"/>
          <w:divBdr>
            <w:top w:val="none" w:sz="0" w:space="0" w:color="auto"/>
            <w:left w:val="none" w:sz="0" w:space="0" w:color="auto"/>
            <w:bottom w:val="none" w:sz="0" w:space="0" w:color="auto"/>
            <w:right w:val="none" w:sz="0" w:space="0" w:color="auto"/>
          </w:divBdr>
        </w:div>
        <w:div w:id="834610384">
          <w:marLeft w:val="0"/>
          <w:marRight w:val="0"/>
          <w:marTop w:val="0"/>
          <w:marBottom w:val="0"/>
          <w:divBdr>
            <w:top w:val="none" w:sz="0" w:space="0" w:color="auto"/>
            <w:left w:val="none" w:sz="0" w:space="0" w:color="auto"/>
            <w:bottom w:val="none" w:sz="0" w:space="0" w:color="auto"/>
            <w:right w:val="none" w:sz="0" w:space="0" w:color="auto"/>
          </w:divBdr>
        </w:div>
        <w:div w:id="1476871613">
          <w:marLeft w:val="0"/>
          <w:marRight w:val="0"/>
          <w:marTop w:val="0"/>
          <w:marBottom w:val="0"/>
          <w:divBdr>
            <w:top w:val="none" w:sz="0" w:space="0" w:color="auto"/>
            <w:left w:val="none" w:sz="0" w:space="0" w:color="auto"/>
            <w:bottom w:val="none" w:sz="0" w:space="0" w:color="auto"/>
            <w:right w:val="none" w:sz="0" w:space="0" w:color="auto"/>
          </w:divBdr>
        </w:div>
        <w:div w:id="2048984174">
          <w:marLeft w:val="0"/>
          <w:marRight w:val="0"/>
          <w:marTop w:val="0"/>
          <w:marBottom w:val="0"/>
          <w:divBdr>
            <w:top w:val="none" w:sz="0" w:space="0" w:color="auto"/>
            <w:left w:val="none" w:sz="0" w:space="0" w:color="auto"/>
            <w:bottom w:val="none" w:sz="0" w:space="0" w:color="auto"/>
            <w:right w:val="none" w:sz="0" w:space="0" w:color="auto"/>
          </w:divBdr>
        </w:div>
        <w:div w:id="2105759061">
          <w:marLeft w:val="0"/>
          <w:marRight w:val="0"/>
          <w:marTop w:val="0"/>
          <w:marBottom w:val="0"/>
          <w:divBdr>
            <w:top w:val="none" w:sz="0" w:space="0" w:color="auto"/>
            <w:left w:val="none" w:sz="0" w:space="0" w:color="auto"/>
            <w:bottom w:val="none" w:sz="0" w:space="0" w:color="auto"/>
            <w:right w:val="none" w:sz="0" w:space="0" w:color="auto"/>
          </w:divBdr>
        </w:div>
        <w:div w:id="1120490842">
          <w:marLeft w:val="0"/>
          <w:marRight w:val="0"/>
          <w:marTop w:val="0"/>
          <w:marBottom w:val="0"/>
          <w:divBdr>
            <w:top w:val="none" w:sz="0" w:space="0" w:color="auto"/>
            <w:left w:val="none" w:sz="0" w:space="0" w:color="auto"/>
            <w:bottom w:val="none" w:sz="0" w:space="0" w:color="auto"/>
            <w:right w:val="none" w:sz="0" w:space="0" w:color="auto"/>
          </w:divBdr>
        </w:div>
        <w:div w:id="1980260579">
          <w:marLeft w:val="0"/>
          <w:marRight w:val="0"/>
          <w:marTop w:val="0"/>
          <w:marBottom w:val="0"/>
          <w:divBdr>
            <w:top w:val="none" w:sz="0" w:space="0" w:color="auto"/>
            <w:left w:val="none" w:sz="0" w:space="0" w:color="auto"/>
            <w:bottom w:val="none" w:sz="0" w:space="0" w:color="auto"/>
            <w:right w:val="none" w:sz="0" w:space="0" w:color="auto"/>
          </w:divBdr>
        </w:div>
        <w:div w:id="22942886">
          <w:marLeft w:val="0"/>
          <w:marRight w:val="0"/>
          <w:marTop w:val="0"/>
          <w:marBottom w:val="0"/>
          <w:divBdr>
            <w:top w:val="none" w:sz="0" w:space="0" w:color="auto"/>
            <w:left w:val="none" w:sz="0" w:space="0" w:color="auto"/>
            <w:bottom w:val="none" w:sz="0" w:space="0" w:color="auto"/>
            <w:right w:val="none" w:sz="0" w:space="0" w:color="auto"/>
          </w:divBdr>
        </w:div>
        <w:div w:id="548690623">
          <w:marLeft w:val="0"/>
          <w:marRight w:val="0"/>
          <w:marTop w:val="0"/>
          <w:marBottom w:val="0"/>
          <w:divBdr>
            <w:top w:val="none" w:sz="0" w:space="0" w:color="auto"/>
            <w:left w:val="none" w:sz="0" w:space="0" w:color="auto"/>
            <w:bottom w:val="none" w:sz="0" w:space="0" w:color="auto"/>
            <w:right w:val="none" w:sz="0" w:space="0" w:color="auto"/>
          </w:divBdr>
        </w:div>
        <w:div w:id="38433761">
          <w:marLeft w:val="0"/>
          <w:marRight w:val="0"/>
          <w:marTop w:val="0"/>
          <w:marBottom w:val="0"/>
          <w:divBdr>
            <w:top w:val="none" w:sz="0" w:space="0" w:color="auto"/>
            <w:left w:val="none" w:sz="0" w:space="0" w:color="auto"/>
            <w:bottom w:val="none" w:sz="0" w:space="0" w:color="auto"/>
            <w:right w:val="none" w:sz="0" w:space="0" w:color="auto"/>
          </w:divBdr>
        </w:div>
        <w:div w:id="818889027">
          <w:marLeft w:val="0"/>
          <w:marRight w:val="0"/>
          <w:marTop w:val="0"/>
          <w:marBottom w:val="0"/>
          <w:divBdr>
            <w:top w:val="none" w:sz="0" w:space="0" w:color="auto"/>
            <w:left w:val="none" w:sz="0" w:space="0" w:color="auto"/>
            <w:bottom w:val="none" w:sz="0" w:space="0" w:color="auto"/>
            <w:right w:val="none" w:sz="0" w:space="0" w:color="auto"/>
          </w:divBdr>
        </w:div>
        <w:div w:id="925456850">
          <w:marLeft w:val="0"/>
          <w:marRight w:val="0"/>
          <w:marTop w:val="0"/>
          <w:marBottom w:val="0"/>
          <w:divBdr>
            <w:top w:val="none" w:sz="0" w:space="0" w:color="auto"/>
            <w:left w:val="none" w:sz="0" w:space="0" w:color="auto"/>
            <w:bottom w:val="none" w:sz="0" w:space="0" w:color="auto"/>
            <w:right w:val="none" w:sz="0" w:space="0" w:color="auto"/>
          </w:divBdr>
        </w:div>
        <w:div w:id="1644503097">
          <w:marLeft w:val="0"/>
          <w:marRight w:val="0"/>
          <w:marTop w:val="0"/>
          <w:marBottom w:val="0"/>
          <w:divBdr>
            <w:top w:val="none" w:sz="0" w:space="0" w:color="auto"/>
            <w:left w:val="none" w:sz="0" w:space="0" w:color="auto"/>
            <w:bottom w:val="none" w:sz="0" w:space="0" w:color="auto"/>
            <w:right w:val="none" w:sz="0" w:space="0" w:color="auto"/>
          </w:divBdr>
        </w:div>
        <w:div w:id="814879289">
          <w:marLeft w:val="0"/>
          <w:marRight w:val="0"/>
          <w:marTop w:val="0"/>
          <w:marBottom w:val="0"/>
          <w:divBdr>
            <w:top w:val="none" w:sz="0" w:space="0" w:color="auto"/>
            <w:left w:val="none" w:sz="0" w:space="0" w:color="auto"/>
            <w:bottom w:val="none" w:sz="0" w:space="0" w:color="auto"/>
            <w:right w:val="none" w:sz="0" w:space="0" w:color="auto"/>
          </w:divBdr>
        </w:div>
        <w:div w:id="525027543">
          <w:marLeft w:val="0"/>
          <w:marRight w:val="0"/>
          <w:marTop w:val="0"/>
          <w:marBottom w:val="0"/>
          <w:divBdr>
            <w:top w:val="none" w:sz="0" w:space="0" w:color="auto"/>
            <w:left w:val="none" w:sz="0" w:space="0" w:color="auto"/>
            <w:bottom w:val="none" w:sz="0" w:space="0" w:color="auto"/>
            <w:right w:val="none" w:sz="0" w:space="0" w:color="auto"/>
          </w:divBdr>
        </w:div>
        <w:div w:id="85465432">
          <w:marLeft w:val="0"/>
          <w:marRight w:val="0"/>
          <w:marTop w:val="0"/>
          <w:marBottom w:val="0"/>
          <w:divBdr>
            <w:top w:val="none" w:sz="0" w:space="0" w:color="auto"/>
            <w:left w:val="none" w:sz="0" w:space="0" w:color="auto"/>
            <w:bottom w:val="none" w:sz="0" w:space="0" w:color="auto"/>
            <w:right w:val="none" w:sz="0" w:space="0" w:color="auto"/>
          </w:divBdr>
        </w:div>
        <w:div w:id="1694646749">
          <w:marLeft w:val="0"/>
          <w:marRight w:val="0"/>
          <w:marTop w:val="0"/>
          <w:marBottom w:val="0"/>
          <w:divBdr>
            <w:top w:val="none" w:sz="0" w:space="0" w:color="auto"/>
            <w:left w:val="none" w:sz="0" w:space="0" w:color="auto"/>
            <w:bottom w:val="none" w:sz="0" w:space="0" w:color="auto"/>
            <w:right w:val="none" w:sz="0" w:space="0" w:color="auto"/>
          </w:divBdr>
        </w:div>
        <w:div w:id="1315452133">
          <w:marLeft w:val="0"/>
          <w:marRight w:val="0"/>
          <w:marTop w:val="0"/>
          <w:marBottom w:val="0"/>
          <w:divBdr>
            <w:top w:val="none" w:sz="0" w:space="0" w:color="auto"/>
            <w:left w:val="none" w:sz="0" w:space="0" w:color="auto"/>
            <w:bottom w:val="none" w:sz="0" w:space="0" w:color="auto"/>
            <w:right w:val="none" w:sz="0" w:space="0" w:color="auto"/>
          </w:divBdr>
        </w:div>
        <w:div w:id="1465853581">
          <w:marLeft w:val="0"/>
          <w:marRight w:val="0"/>
          <w:marTop w:val="0"/>
          <w:marBottom w:val="0"/>
          <w:divBdr>
            <w:top w:val="none" w:sz="0" w:space="0" w:color="auto"/>
            <w:left w:val="none" w:sz="0" w:space="0" w:color="auto"/>
            <w:bottom w:val="none" w:sz="0" w:space="0" w:color="auto"/>
            <w:right w:val="none" w:sz="0" w:space="0" w:color="auto"/>
          </w:divBdr>
        </w:div>
        <w:div w:id="144973042">
          <w:marLeft w:val="0"/>
          <w:marRight w:val="0"/>
          <w:marTop w:val="0"/>
          <w:marBottom w:val="0"/>
          <w:divBdr>
            <w:top w:val="none" w:sz="0" w:space="0" w:color="auto"/>
            <w:left w:val="none" w:sz="0" w:space="0" w:color="auto"/>
            <w:bottom w:val="none" w:sz="0" w:space="0" w:color="auto"/>
            <w:right w:val="none" w:sz="0" w:space="0" w:color="auto"/>
          </w:divBdr>
        </w:div>
        <w:div w:id="293145595">
          <w:marLeft w:val="0"/>
          <w:marRight w:val="0"/>
          <w:marTop w:val="0"/>
          <w:marBottom w:val="0"/>
          <w:divBdr>
            <w:top w:val="none" w:sz="0" w:space="0" w:color="auto"/>
            <w:left w:val="none" w:sz="0" w:space="0" w:color="auto"/>
            <w:bottom w:val="none" w:sz="0" w:space="0" w:color="auto"/>
            <w:right w:val="none" w:sz="0" w:space="0" w:color="auto"/>
          </w:divBdr>
        </w:div>
        <w:div w:id="734426423">
          <w:marLeft w:val="0"/>
          <w:marRight w:val="0"/>
          <w:marTop w:val="0"/>
          <w:marBottom w:val="0"/>
          <w:divBdr>
            <w:top w:val="none" w:sz="0" w:space="0" w:color="auto"/>
            <w:left w:val="none" w:sz="0" w:space="0" w:color="auto"/>
            <w:bottom w:val="none" w:sz="0" w:space="0" w:color="auto"/>
            <w:right w:val="none" w:sz="0" w:space="0" w:color="auto"/>
          </w:divBdr>
        </w:div>
        <w:div w:id="2072001211">
          <w:marLeft w:val="0"/>
          <w:marRight w:val="0"/>
          <w:marTop w:val="0"/>
          <w:marBottom w:val="0"/>
          <w:divBdr>
            <w:top w:val="none" w:sz="0" w:space="0" w:color="auto"/>
            <w:left w:val="none" w:sz="0" w:space="0" w:color="auto"/>
            <w:bottom w:val="none" w:sz="0" w:space="0" w:color="auto"/>
            <w:right w:val="none" w:sz="0" w:space="0" w:color="auto"/>
          </w:divBdr>
        </w:div>
        <w:div w:id="811943764">
          <w:marLeft w:val="0"/>
          <w:marRight w:val="0"/>
          <w:marTop w:val="0"/>
          <w:marBottom w:val="0"/>
          <w:divBdr>
            <w:top w:val="none" w:sz="0" w:space="0" w:color="auto"/>
            <w:left w:val="none" w:sz="0" w:space="0" w:color="auto"/>
            <w:bottom w:val="none" w:sz="0" w:space="0" w:color="auto"/>
            <w:right w:val="none" w:sz="0" w:space="0" w:color="auto"/>
          </w:divBdr>
        </w:div>
        <w:div w:id="2119829864">
          <w:marLeft w:val="0"/>
          <w:marRight w:val="0"/>
          <w:marTop w:val="0"/>
          <w:marBottom w:val="0"/>
          <w:divBdr>
            <w:top w:val="none" w:sz="0" w:space="0" w:color="auto"/>
            <w:left w:val="none" w:sz="0" w:space="0" w:color="auto"/>
            <w:bottom w:val="none" w:sz="0" w:space="0" w:color="auto"/>
            <w:right w:val="none" w:sz="0" w:space="0" w:color="auto"/>
          </w:divBdr>
        </w:div>
        <w:div w:id="1892375994">
          <w:marLeft w:val="0"/>
          <w:marRight w:val="0"/>
          <w:marTop w:val="0"/>
          <w:marBottom w:val="0"/>
          <w:divBdr>
            <w:top w:val="none" w:sz="0" w:space="0" w:color="auto"/>
            <w:left w:val="none" w:sz="0" w:space="0" w:color="auto"/>
            <w:bottom w:val="none" w:sz="0" w:space="0" w:color="auto"/>
            <w:right w:val="none" w:sz="0" w:space="0" w:color="auto"/>
          </w:divBdr>
        </w:div>
        <w:div w:id="1227960360">
          <w:marLeft w:val="0"/>
          <w:marRight w:val="0"/>
          <w:marTop w:val="0"/>
          <w:marBottom w:val="0"/>
          <w:divBdr>
            <w:top w:val="none" w:sz="0" w:space="0" w:color="auto"/>
            <w:left w:val="none" w:sz="0" w:space="0" w:color="auto"/>
            <w:bottom w:val="none" w:sz="0" w:space="0" w:color="auto"/>
            <w:right w:val="none" w:sz="0" w:space="0" w:color="auto"/>
          </w:divBdr>
        </w:div>
        <w:div w:id="360475692">
          <w:marLeft w:val="0"/>
          <w:marRight w:val="0"/>
          <w:marTop w:val="0"/>
          <w:marBottom w:val="0"/>
          <w:divBdr>
            <w:top w:val="none" w:sz="0" w:space="0" w:color="auto"/>
            <w:left w:val="none" w:sz="0" w:space="0" w:color="auto"/>
            <w:bottom w:val="none" w:sz="0" w:space="0" w:color="auto"/>
            <w:right w:val="none" w:sz="0" w:space="0" w:color="auto"/>
          </w:divBdr>
        </w:div>
        <w:div w:id="60953416">
          <w:marLeft w:val="0"/>
          <w:marRight w:val="0"/>
          <w:marTop w:val="0"/>
          <w:marBottom w:val="0"/>
          <w:divBdr>
            <w:top w:val="none" w:sz="0" w:space="0" w:color="auto"/>
            <w:left w:val="none" w:sz="0" w:space="0" w:color="auto"/>
            <w:bottom w:val="none" w:sz="0" w:space="0" w:color="auto"/>
            <w:right w:val="none" w:sz="0" w:space="0" w:color="auto"/>
          </w:divBdr>
        </w:div>
        <w:div w:id="797840031">
          <w:marLeft w:val="0"/>
          <w:marRight w:val="0"/>
          <w:marTop w:val="0"/>
          <w:marBottom w:val="0"/>
          <w:divBdr>
            <w:top w:val="none" w:sz="0" w:space="0" w:color="auto"/>
            <w:left w:val="none" w:sz="0" w:space="0" w:color="auto"/>
            <w:bottom w:val="none" w:sz="0" w:space="0" w:color="auto"/>
            <w:right w:val="none" w:sz="0" w:space="0" w:color="auto"/>
          </w:divBdr>
        </w:div>
        <w:div w:id="1775518829">
          <w:marLeft w:val="0"/>
          <w:marRight w:val="0"/>
          <w:marTop w:val="0"/>
          <w:marBottom w:val="0"/>
          <w:divBdr>
            <w:top w:val="none" w:sz="0" w:space="0" w:color="auto"/>
            <w:left w:val="none" w:sz="0" w:space="0" w:color="auto"/>
            <w:bottom w:val="none" w:sz="0" w:space="0" w:color="auto"/>
            <w:right w:val="none" w:sz="0" w:space="0" w:color="auto"/>
          </w:divBdr>
        </w:div>
        <w:div w:id="328679206">
          <w:marLeft w:val="0"/>
          <w:marRight w:val="0"/>
          <w:marTop w:val="0"/>
          <w:marBottom w:val="0"/>
          <w:divBdr>
            <w:top w:val="none" w:sz="0" w:space="0" w:color="auto"/>
            <w:left w:val="none" w:sz="0" w:space="0" w:color="auto"/>
            <w:bottom w:val="none" w:sz="0" w:space="0" w:color="auto"/>
            <w:right w:val="none" w:sz="0" w:space="0" w:color="auto"/>
          </w:divBdr>
        </w:div>
        <w:div w:id="1053039838">
          <w:marLeft w:val="0"/>
          <w:marRight w:val="0"/>
          <w:marTop w:val="0"/>
          <w:marBottom w:val="0"/>
          <w:divBdr>
            <w:top w:val="none" w:sz="0" w:space="0" w:color="auto"/>
            <w:left w:val="none" w:sz="0" w:space="0" w:color="auto"/>
            <w:bottom w:val="none" w:sz="0" w:space="0" w:color="auto"/>
            <w:right w:val="none" w:sz="0" w:space="0" w:color="auto"/>
          </w:divBdr>
        </w:div>
        <w:div w:id="2071079279">
          <w:marLeft w:val="0"/>
          <w:marRight w:val="0"/>
          <w:marTop w:val="0"/>
          <w:marBottom w:val="0"/>
          <w:divBdr>
            <w:top w:val="none" w:sz="0" w:space="0" w:color="auto"/>
            <w:left w:val="none" w:sz="0" w:space="0" w:color="auto"/>
            <w:bottom w:val="none" w:sz="0" w:space="0" w:color="auto"/>
            <w:right w:val="none" w:sz="0" w:space="0" w:color="auto"/>
          </w:divBdr>
        </w:div>
        <w:div w:id="754594275">
          <w:marLeft w:val="0"/>
          <w:marRight w:val="0"/>
          <w:marTop w:val="0"/>
          <w:marBottom w:val="0"/>
          <w:divBdr>
            <w:top w:val="none" w:sz="0" w:space="0" w:color="auto"/>
            <w:left w:val="none" w:sz="0" w:space="0" w:color="auto"/>
            <w:bottom w:val="none" w:sz="0" w:space="0" w:color="auto"/>
            <w:right w:val="none" w:sz="0" w:space="0" w:color="auto"/>
          </w:divBdr>
        </w:div>
        <w:div w:id="1428772142">
          <w:marLeft w:val="0"/>
          <w:marRight w:val="0"/>
          <w:marTop w:val="0"/>
          <w:marBottom w:val="0"/>
          <w:divBdr>
            <w:top w:val="none" w:sz="0" w:space="0" w:color="auto"/>
            <w:left w:val="none" w:sz="0" w:space="0" w:color="auto"/>
            <w:bottom w:val="none" w:sz="0" w:space="0" w:color="auto"/>
            <w:right w:val="none" w:sz="0" w:space="0" w:color="auto"/>
          </w:divBdr>
        </w:div>
        <w:div w:id="1937866554">
          <w:marLeft w:val="0"/>
          <w:marRight w:val="0"/>
          <w:marTop w:val="0"/>
          <w:marBottom w:val="0"/>
          <w:divBdr>
            <w:top w:val="none" w:sz="0" w:space="0" w:color="auto"/>
            <w:left w:val="none" w:sz="0" w:space="0" w:color="auto"/>
            <w:bottom w:val="none" w:sz="0" w:space="0" w:color="auto"/>
            <w:right w:val="none" w:sz="0" w:space="0" w:color="auto"/>
          </w:divBdr>
        </w:div>
        <w:div w:id="2046979695">
          <w:marLeft w:val="0"/>
          <w:marRight w:val="0"/>
          <w:marTop w:val="0"/>
          <w:marBottom w:val="0"/>
          <w:divBdr>
            <w:top w:val="none" w:sz="0" w:space="0" w:color="auto"/>
            <w:left w:val="none" w:sz="0" w:space="0" w:color="auto"/>
            <w:bottom w:val="none" w:sz="0" w:space="0" w:color="auto"/>
            <w:right w:val="none" w:sz="0" w:space="0" w:color="auto"/>
          </w:divBdr>
        </w:div>
        <w:div w:id="794446950">
          <w:marLeft w:val="0"/>
          <w:marRight w:val="0"/>
          <w:marTop w:val="0"/>
          <w:marBottom w:val="0"/>
          <w:divBdr>
            <w:top w:val="none" w:sz="0" w:space="0" w:color="auto"/>
            <w:left w:val="none" w:sz="0" w:space="0" w:color="auto"/>
            <w:bottom w:val="none" w:sz="0" w:space="0" w:color="auto"/>
            <w:right w:val="none" w:sz="0" w:space="0" w:color="auto"/>
          </w:divBdr>
        </w:div>
        <w:div w:id="2068264441">
          <w:marLeft w:val="0"/>
          <w:marRight w:val="0"/>
          <w:marTop w:val="0"/>
          <w:marBottom w:val="0"/>
          <w:divBdr>
            <w:top w:val="none" w:sz="0" w:space="0" w:color="auto"/>
            <w:left w:val="none" w:sz="0" w:space="0" w:color="auto"/>
            <w:bottom w:val="none" w:sz="0" w:space="0" w:color="auto"/>
            <w:right w:val="none" w:sz="0" w:space="0" w:color="auto"/>
          </w:divBdr>
        </w:div>
        <w:div w:id="632754701">
          <w:marLeft w:val="0"/>
          <w:marRight w:val="0"/>
          <w:marTop w:val="0"/>
          <w:marBottom w:val="0"/>
          <w:divBdr>
            <w:top w:val="none" w:sz="0" w:space="0" w:color="auto"/>
            <w:left w:val="none" w:sz="0" w:space="0" w:color="auto"/>
            <w:bottom w:val="none" w:sz="0" w:space="0" w:color="auto"/>
            <w:right w:val="none" w:sz="0" w:space="0" w:color="auto"/>
          </w:divBdr>
        </w:div>
        <w:div w:id="219021813">
          <w:marLeft w:val="0"/>
          <w:marRight w:val="0"/>
          <w:marTop w:val="0"/>
          <w:marBottom w:val="0"/>
          <w:divBdr>
            <w:top w:val="none" w:sz="0" w:space="0" w:color="auto"/>
            <w:left w:val="none" w:sz="0" w:space="0" w:color="auto"/>
            <w:bottom w:val="none" w:sz="0" w:space="0" w:color="auto"/>
            <w:right w:val="none" w:sz="0" w:space="0" w:color="auto"/>
          </w:divBdr>
        </w:div>
        <w:div w:id="343671452">
          <w:marLeft w:val="0"/>
          <w:marRight w:val="0"/>
          <w:marTop w:val="0"/>
          <w:marBottom w:val="0"/>
          <w:divBdr>
            <w:top w:val="none" w:sz="0" w:space="0" w:color="auto"/>
            <w:left w:val="none" w:sz="0" w:space="0" w:color="auto"/>
            <w:bottom w:val="none" w:sz="0" w:space="0" w:color="auto"/>
            <w:right w:val="none" w:sz="0" w:space="0" w:color="auto"/>
          </w:divBdr>
        </w:div>
        <w:div w:id="534581012">
          <w:marLeft w:val="0"/>
          <w:marRight w:val="0"/>
          <w:marTop w:val="0"/>
          <w:marBottom w:val="0"/>
          <w:divBdr>
            <w:top w:val="none" w:sz="0" w:space="0" w:color="auto"/>
            <w:left w:val="none" w:sz="0" w:space="0" w:color="auto"/>
            <w:bottom w:val="none" w:sz="0" w:space="0" w:color="auto"/>
            <w:right w:val="none" w:sz="0" w:space="0" w:color="auto"/>
          </w:divBdr>
        </w:div>
        <w:div w:id="264852492">
          <w:marLeft w:val="0"/>
          <w:marRight w:val="0"/>
          <w:marTop w:val="0"/>
          <w:marBottom w:val="0"/>
          <w:divBdr>
            <w:top w:val="none" w:sz="0" w:space="0" w:color="auto"/>
            <w:left w:val="none" w:sz="0" w:space="0" w:color="auto"/>
            <w:bottom w:val="none" w:sz="0" w:space="0" w:color="auto"/>
            <w:right w:val="none" w:sz="0" w:space="0" w:color="auto"/>
          </w:divBdr>
        </w:div>
        <w:div w:id="1821458414">
          <w:marLeft w:val="0"/>
          <w:marRight w:val="0"/>
          <w:marTop w:val="0"/>
          <w:marBottom w:val="0"/>
          <w:divBdr>
            <w:top w:val="none" w:sz="0" w:space="0" w:color="auto"/>
            <w:left w:val="none" w:sz="0" w:space="0" w:color="auto"/>
            <w:bottom w:val="none" w:sz="0" w:space="0" w:color="auto"/>
            <w:right w:val="none" w:sz="0" w:space="0" w:color="auto"/>
          </w:divBdr>
        </w:div>
        <w:div w:id="930283908">
          <w:marLeft w:val="0"/>
          <w:marRight w:val="0"/>
          <w:marTop w:val="0"/>
          <w:marBottom w:val="0"/>
          <w:divBdr>
            <w:top w:val="none" w:sz="0" w:space="0" w:color="auto"/>
            <w:left w:val="none" w:sz="0" w:space="0" w:color="auto"/>
            <w:bottom w:val="none" w:sz="0" w:space="0" w:color="auto"/>
            <w:right w:val="none" w:sz="0" w:space="0" w:color="auto"/>
          </w:divBdr>
        </w:div>
        <w:div w:id="920143236">
          <w:marLeft w:val="0"/>
          <w:marRight w:val="0"/>
          <w:marTop w:val="0"/>
          <w:marBottom w:val="0"/>
          <w:divBdr>
            <w:top w:val="none" w:sz="0" w:space="0" w:color="auto"/>
            <w:left w:val="none" w:sz="0" w:space="0" w:color="auto"/>
            <w:bottom w:val="none" w:sz="0" w:space="0" w:color="auto"/>
            <w:right w:val="none" w:sz="0" w:space="0" w:color="auto"/>
          </w:divBdr>
        </w:div>
        <w:div w:id="2108651327">
          <w:marLeft w:val="0"/>
          <w:marRight w:val="0"/>
          <w:marTop w:val="0"/>
          <w:marBottom w:val="0"/>
          <w:divBdr>
            <w:top w:val="none" w:sz="0" w:space="0" w:color="auto"/>
            <w:left w:val="none" w:sz="0" w:space="0" w:color="auto"/>
            <w:bottom w:val="none" w:sz="0" w:space="0" w:color="auto"/>
            <w:right w:val="none" w:sz="0" w:space="0" w:color="auto"/>
          </w:divBdr>
        </w:div>
        <w:div w:id="1755778497">
          <w:marLeft w:val="0"/>
          <w:marRight w:val="0"/>
          <w:marTop w:val="0"/>
          <w:marBottom w:val="0"/>
          <w:divBdr>
            <w:top w:val="none" w:sz="0" w:space="0" w:color="auto"/>
            <w:left w:val="none" w:sz="0" w:space="0" w:color="auto"/>
            <w:bottom w:val="none" w:sz="0" w:space="0" w:color="auto"/>
            <w:right w:val="none" w:sz="0" w:space="0" w:color="auto"/>
          </w:divBdr>
        </w:div>
      </w:divsChild>
    </w:div>
    <w:div w:id="747994685">
      <w:bodyDiv w:val="1"/>
      <w:marLeft w:val="0"/>
      <w:marRight w:val="0"/>
      <w:marTop w:val="0"/>
      <w:marBottom w:val="0"/>
      <w:divBdr>
        <w:top w:val="none" w:sz="0" w:space="0" w:color="auto"/>
        <w:left w:val="none" w:sz="0" w:space="0" w:color="auto"/>
        <w:bottom w:val="none" w:sz="0" w:space="0" w:color="auto"/>
        <w:right w:val="none" w:sz="0" w:space="0" w:color="auto"/>
      </w:divBdr>
    </w:div>
    <w:div w:id="757141231">
      <w:bodyDiv w:val="1"/>
      <w:marLeft w:val="0"/>
      <w:marRight w:val="0"/>
      <w:marTop w:val="0"/>
      <w:marBottom w:val="0"/>
      <w:divBdr>
        <w:top w:val="none" w:sz="0" w:space="0" w:color="auto"/>
        <w:left w:val="none" w:sz="0" w:space="0" w:color="auto"/>
        <w:bottom w:val="none" w:sz="0" w:space="0" w:color="auto"/>
        <w:right w:val="none" w:sz="0" w:space="0" w:color="auto"/>
      </w:divBdr>
    </w:div>
    <w:div w:id="792601137">
      <w:bodyDiv w:val="1"/>
      <w:marLeft w:val="0"/>
      <w:marRight w:val="0"/>
      <w:marTop w:val="0"/>
      <w:marBottom w:val="0"/>
      <w:divBdr>
        <w:top w:val="none" w:sz="0" w:space="0" w:color="auto"/>
        <w:left w:val="none" w:sz="0" w:space="0" w:color="auto"/>
        <w:bottom w:val="none" w:sz="0" w:space="0" w:color="auto"/>
        <w:right w:val="none" w:sz="0" w:space="0" w:color="auto"/>
      </w:divBdr>
    </w:div>
    <w:div w:id="831876307">
      <w:bodyDiv w:val="1"/>
      <w:marLeft w:val="0"/>
      <w:marRight w:val="0"/>
      <w:marTop w:val="0"/>
      <w:marBottom w:val="0"/>
      <w:divBdr>
        <w:top w:val="none" w:sz="0" w:space="0" w:color="auto"/>
        <w:left w:val="none" w:sz="0" w:space="0" w:color="auto"/>
        <w:bottom w:val="none" w:sz="0" w:space="0" w:color="auto"/>
        <w:right w:val="none" w:sz="0" w:space="0" w:color="auto"/>
      </w:divBdr>
      <w:divsChild>
        <w:div w:id="41027335">
          <w:marLeft w:val="0"/>
          <w:marRight w:val="0"/>
          <w:marTop w:val="0"/>
          <w:marBottom w:val="0"/>
          <w:divBdr>
            <w:top w:val="none" w:sz="0" w:space="0" w:color="auto"/>
            <w:left w:val="none" w:sz="0" w:space="0" w:color="auto"/>
            <w:bottom w:val="none" w:sz="0" w:space="0" w:color="auto"/>
            <w:right w:val="none" w:sz="0" w:space="0" w:color="auto"/>
          </w:divBdr>
          <w:divsChild>
            <w:div w:id="2119988859">
              <w:marLeft w:val="0"/>
              <w:marRight w:val="0"/>
              <w:marTop w:val="0"/>
              <w:marBottom w:val="0"/>
              <w:divBdr>
                <w:top w:val="none" w:sz="0" w:space="0" w:color="auto"/>
                <w:left w:val="none" w:sz="0" w:space="0" w:color="auto"/>
                <w:bottom w:val="none" w:sz="0" w:space="0" w:color="auto"/>
                <w:right w:val="none" w:sz="0" w:space="0" w:color="auto"/>
              </w:divBdr>
            </w:div>
          </w:divsChild>
        </w:div>
        <w:div w:id="348289600">
          <w:marLeft w:val="0"/>
          <w:marRight w:val="0"/>
          <w:marTop w:val="100"/>
          <w:marBottom w:val="100"/>
          <w:divBdr>
            <w:top w:val="none" w:sz="0" w:space="0" w:color="auto"/>
            <w:left w:val="none" w:sz="0" w:space="0" w:color="auto"/>
            <w:bottom w:val="none" w:sz="0" w:space="0" w:color="auto"/>
            <w:right w:val="none" w:sz="0" w:space="0" w:color="auto"/>
          </w:divBdr>
        </w:div>
        <w:div w:id="320232052">
          <w:marLeft w:val="0"/>
          <w:marRight w:val="0"/>
          <w:marTop w:val="0"/>
          <w:marBottom w:val="0"/>
          <w:divBdr>
            <w:top w:val="none" w:sz="0" w:space="0" w:color="auto"/>
            <w:left w:val="none" w:sz="0" w:space="0" w:color="auto"/>
            <w:bottom w:val="none" w:sz="0" w:space="0" w:color="auto"/>
            <w:right w:val="none" w:sz="0" w:space="0" w:color="auto"/>
          </w:divBdr>
          <w:divsChild>
            <w:div w:id="6110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51646">
      <w:bodyDiv w:val="1"/>
      <w:marLeft w:val="0"/>
      <w:marRight w:val="0"/>
      <w:marTop w:val="0"/>
      <w:marBottom w:val="0"/>
      <w:divBdr>
        <w:top w:val="none" w:sz="0" w:space="0" w:color="auto"/>
        <w:left w:val="none" w:sz="0" w:space="0" w:color="auto"/>
        <w:bottom w:val="none" w:sz="0" w:space="0" w:color="auto"/>
        <w:right w:val="none" w:sz="0" w:space="0" w:color="auto"/>
      </w:divBdr>
    </w:div>
    <w:div w:id="911083460">
      <w:bodyDiv w:val="1"/>
      <w:marLeft w:val="0"/>
      <w:marRight w:val="0"/>
      <w:marTop w:val="0"/>
      <w:marBottom w:val="0"/>
      <w:divBdr>
        <w:top w:val="none" w:sz="0" w:space="0" w:color="auto"/>
        <w:left w:val="none" w:sz="0" w:space="0" w:color="auto"/>
        <w:bottom w:val="none" w:sz="0" w:space="0" w:color="auto"/>
        <w:right w:val="none" w:sz="0" w:space="0" w:color="auto"/>
      </w:divBdr>
      <w:divsChild>
        <w:div w:id="1931549516">
          <w:marLeft w:val="0"/>
          <w:marRight w:val="0"/>
          <w:marTop w:val="0"/>
          <w:marBottom w:val="0"/>
          <w:divBdr>
            <w:top w:val="none" w:sz="0" w:space="0" w:color="auto"/>
            <w:left w:val="none" w:sz="0" w:space="0" w:color="auto"/>
            <w:bottom w:val="none" w:sz="0" w:space="0" w:color="auto"/>
            <w:right w:val="none" w:sz="0" w:space="0" w:color="auto"/>
          </w:divBdr>
        </w:div>
        <w:div w:id="1069498187">
          <w:marLeft w:val="0"/>
          <w:marRight w:val="0"/>
          <w:marTop w:val="0"/>
          <w:marBottom w:val="0"/>
          <w:divBdr>
            <w:top w:val="none" w:sz="0" w:space="0" w:color="auto"/>
            <w:left w:val="none" w:sz="0" w:space="0" w:color="auto"/>
            <w:bottom w:val="none" w:sz="0" w:space="0" w:color="auto"/>
            <w:right w:val="none" w:sz="0" w:space="0" w:color="auto"/>
          </w:divBdr>
        </w:div>
        <w:div w:id="888613856">
          <w:marLeft w:val="0"/>
          <w:marRight w:val="0"/>
          <w:marTop w:val="0"/>
          <w:marBottom w:val="0"/>
          <w:divBdr>
            <w:top w:val="none" w:sz="0" w:space="0" w:color="auto"/>
            <w:left w:val="none" w:sz="0" w:space="0" w:color="auto"/>
            <w:bottom w:val="none" w:sz="0" w:space="0" w:color="auto"/>
            <w:right w:val="none" w:sz="0" w:space="0" w:color="auto"/>
          </w:divBdr>
        </w:div>
        <w:div w:id="1331328147">
          <w:marLeft w:val="0"/>
          <w:marRight w:val="0"/>
          <w:marTop w:val="0"/>
          <w:marBottom w:val="0"/>
          <w:divBdr>
            <w:top w:val="none" w:sz="0" w:space="0" w:color="auto"/>
            <w:left w:val="none" w:sz="0" w:space="0" w:color="auto"/>
            <w:bottom w:val="none" w:sz="0" w:space="0" w:color="auto"/>
            <w:right w:val="none" w:sz="0" w:space="0" w:color="auto"/>
          </w:divBdr>
        </w:div>
        <w:div w:id="1410882283">
          <w:marLeft w:val="0"/>
          <w:marRight w:val="0"/>
          <w:marTop w:val="0"/>
          <w:marBottom w:val="0"/>
          <w:divBdr>
            <w:top w:val="none" w:sz="0" w:space="0" w:color="auto"/>
            <w:left w:val="none" w:sz="0" w:space="0" w:color="auto"/>
            <w:bottom w:val="none" w:sz="0" w:space="0" w:color="auto"/>
            <w:right w:val="none" w:sz="0" w:space="0" w:color="auto"/>
          </w:divBdr>
        </w:div>
        <w:div w:id="2129010631">
          <w:marLeft w:val="0"/>
          <w:marRight w:val="0"/>
          <w:marTop w:val="0"/>
          <w:marBottom w:val="0"/>
          <w:divBdr>
            <w:top w:val="none" w:sz="0" w:space="0" w:color="auto"/>
            <w:left w:val="none" w:sz="0" w:space="0" w:color="auto"/>
            <w:bottom w:val="none" w:sz="0" w:space="0" w:color="auto"/>
            <w:right w:val="none" w:sz="0" w:space="0" w:color="auto"/>
          </w:divBdr>
        </w:div>
        <w:div w:id="870996997">
          <w:marLeft w:val="0"/>
          <w:marRight w:val="0"/>
          <w:marTop w:val="0"/>
          <w:marBottom w:val="0"/>
          <w:divBdr>
            <w:top w:val="none" w:sz="0" w:space="0" w:color="auto"/>
            <w:left w:val="none" w:sz="0" w:space="0" w:color="auto"/>
            <w:bottom w:val="none" w:sz="0" w:space="0" w:color="auto"/>
            <w:right w:val="none" w:sz="0" w:space="0" w:color="auto"/>
          </w:divBdr>
        </w:div>
        <w:div w:id="1163355739">
          <w:marLeft w:val="0"/>
          <w:marRight w:val="0"/>
          <w:marTop w:val="0"/>
          <w:marBottom w:val="0"/>
          <w:divBdr>
            <w:top w:val="none" w:sz="0" w:space="0" w:color="auto"/>
            <w:left w:val="none" w:sz="0" w:space="0" w:color="auto"/>
            <w:bottom w:val="none" w:sz="0" w:space="0" w:color="auto"/>
            <w:right w:val="none" w:sz="0" w:space="0" w:color="auto"/>
          </w:divBdr>
        </w:div>
        <w:div w:id="1782648906">
          <w:marLeft w:val="0"/>
          <w:marRight w:val="0"/>
          <w:marTop w:val="0"/>
          <w:marBottom w:val="0"/>
          <w:divBdr>
            <w:top w:val="none" w:sz="0" w:space="0" w:color="auto"/>
            <w:left w:val="none" w:sz="0" w:space="0" w:color="auto"/>
            <w:bottom w:val="none" w:sz="0" w:space="0" w:color="auto"/>
            <w:right w:val="none" w:sz="0" w:space="0" w:color="auto"/>
          </w:divBdr>
        </w:div>
        <w:div w:id="2144107297">
          <w:marLeft w:val="0"/>
          <w:marRight w:val="0"/>
          <w:marTop w:val="0"/>
          <w:marBottom w:val="0"/>
          <w:divBdr>
            <w:top w:val="none" w:sz="0" w:space="0" w:color="auto"/>
            <w:left w:val="none" w:sz="0" w:space="0" w:color="auto"/>
            <w:bottom w:val="none" w:sz="0" w:space="0" w:color="auto"/>
            <w:right w:val="none" w:sz="0" w:space="0" w:color="auto"/>
          </w:divBdr>
        </w:div>
        <w:div w:id="1521504234">
          <w:marLeft w:val="0"/>
          <w:marRight w:val="0"/>
          <w:marTop w:val="0"/>
          <w:marBottom w:val="0"/>
          <w:divBdr>
            <w:top w:val="none" w:sz="0" w:space="0" w:color="auto"/>
            <w:left w:val="none" w:sz="0" w:space="0" w:color="auto"/>
            <w:bottom w:val="none" w:sz="0" w:space="0" w:color="auto"/>
            <w:right w:val="none" w:sz="0" w:space="0" w:color="auto"/>
          </w:divBdr>
        </w:div>
        <w:div w:id="1358314773">
          <w:marLeft w:val="0"/>
          <w:marRight w:val="0"/>
          <w:marTop w:val="0"/>
          <w:marBottom w:val="0"/>
          <w:divBdr>
            <w:top w:val="none" w:sz="0" w:space="0" w:color="auto"/>
            <w:left w:val="none" w:sz="0" w:space="0" w:color="auto"/>
            <w:bottom w:val="none" w:sz="0" w:space="0" w:color="auto"/>
            <w:right w:val="none" w:sz="0" w:space="0" w:color="auto"/>
          </w:divBdr>
        </w:div>
        <w:div w:id="1924562554">
          <w:marLeft w:val="0"/>
          <w:marRight w:val="0"/>
          <w:marTop w:val="0"/>
          <w:marBottom w:val="0"/>
          <w:divBdr>
            <w:top w:val="none" w:sz="0" w:space="0" w:color="auto"/>
            <w:left w:val="none" w:sz="0" w:space="0" w:color="auto"/>
            <w:bottom w:val="none" w:sz="0" w:space="0" w:color="auto"/>
            <w:right w:val="none" w:sz="0" w:space="0" w:color="auto"/>
          </w:divBdr>
        </w:div>
        <w:div w:id="969702419">
          <w:marLeft w:val="0"/>
          <w:marRight w:val="0"/>
          <w:marTop w:val="0"/>
          <w:marBottom w:val="0"/>
          <w:divBdr>
            <w:top w:val="none" w:sz="0" w:space="0" w:color="auto"/>
            <w:left w:val="none" w:sz="0" w:space="0" w:color="auto"/>
            <w:bottom w:val="none" w:sz="0" w:space="0" w:color="auto"/>
            <w:right w:val="none" w:sz="0" w:space="0" w:color="auto"/>
          </w:divBdr>
        </w:div>
        <w:div w:id="569999035">
          <w:marLeft w:val="0"/>
          <w:marRight w:val="0"/>
          <w:marTop w:val="0"/>
          <w:marBottom w:val="0"/>
          <w:divBdr>
            <w:top w:val="none" w:sz="0" w:space="0" w:color="auto"/>
            <w:left w:val="none" w:sz="0" w:space="0" w:color="auto"/>
            <w:bottom w:val="none" w:sz="0" w:space="0" w:color="auto"/>
            <w:right w:val="none" w:sz="0" w:space="0" w:color="auto"/>
          </w:divBdr>
        </w:div>
        <w:div w:id="1917473352">
          <w:marLeft w:val="0"/>
          <w:marRight w:val="0"/>
          <w:marTop w:val="0"/>
          <w:marBottom w:val="0"/>
          <w:divBdr>
            <w:top w:val="none" w:sz="0" w:space="0" w:color="auto"/>
            <w:left w:val="none" w:sz="0" w:space="0" w:color="auto"/>
            <w:bottom w:val="none" w:sz="0" w:space="0" w:color="auto"/>
            <w:right w:val="none" w:sz="0" w:space="0" w:color="auto"/>
          </w:divBdr>
        </w:div>
        <w:div w:id="960764216">
          <w:marLeft w:val="0"/>
          <w:marRight w:val="0"/>
          <w:marTop w:val="0"/>
          <w:marBottom w:val="0"/>
          <w:divBdr>
            <w:top w:val="none" w:sz="0" w:space="0" w:color="auto"/>
            <w:left w:val="none" w:sz="0" w:space="0" w:color="auto"/>
            <w:bottom w:val="none" w:sz="0" w:space="0" w:color="auto"/>
            <w:right w:val="none" w:sz="0" w:space="0" w:color="auto"/>
          </w:divBdr>
        </w:div>
        <w:div w:id="229075300">
          <w:marLeft w:val="0"/>
          <w:marRight w:val="0"/>
          <w:marTop w:val="0"/>
          <w:marBottom w:val="0"/>
          <w:divBdr>
            <w:top w:val="none" w:sz="0" w:space="0" w:color="auto"/>
            <w:left w:val="none" w:sz="0" w:space="0" w:color="auto"/>
            <w:bottom w:val="none" w:sz="0" w:space="0" w:color="auto"/>
            <w:right w:val="none" w:sz="0" w:space="0" w:color="auto"/>
          </w:divBdr>
        </w:div>
        <w:div w:id="1348020168">
          <w:marLeft w:val="0"/>
          <w:marRight w:val="0"/>
          <w:marTop w:val="0"/>
          <w:marBottom w:val="0"/>
          <w:divBdr>
            <w:top w:val="none" w:sz="0" w:space="0" w:color="auto"/>
            <w:left w:val="none" w:sz="0" w:space="0" w:color="auto"/>
            <w:bottom w:val="none" w:sz="0" w:space="0" w:color="auto"/>
            <w:right w:val="none" w:sz="0" w:space="0" w:color="auto"/>
          </w:divBdr>
        </w:div>
        <w:div w:id="953679931">
          <w:marLeft w:val="0"/>
          <w:marRight w:val="0"/>
          <w:marTop w:val="0"/>
          <w:marBottom w:val="0"/>
          <w:divBdr>
            <w:top w:val="none" w:sz="0" w:space="0" w:color="auto"/>
            <w:left w:val="none" w:sz="0" w:space="0" w:color="auto"/>
            <w:bottom w:val="none" w:sz="0" w:space="0" w:color="auto"/>
            <w:right w:val="none" w:sz="0" w:space="0" w:color="auto"/>
          </w:divBdr>
        </w:div>
        <w:div w:id="1425342669">
          <w:marLeft w:val="0"/>
          <w:marRight w:val="0"/>
          <w:marTop w:val="0"/>
          <w:marBottom w:val="0"/>
          <w:divBdr>
            <w:top w:val="none" w:sz="0" w:space="0" w:color="auto"/>
            <w:left w:val="none" w:sz="0" w:space="0" w:color="auto"/>
            <w:bottom w:val="none" w:sz="0" w:space="0" w:color="auto"/>
            <w:right w:val="none" w:sz="0" w:space="0" w:color="auto"/>
          </w:divBdr>
        </w:div>
      </w:divsChild>
    </w:div>
    <w:div w:id="935208961">
      <w:bodyDiv w:val="1"/>
      <w:marLeft w:val="0"/>
      <w:marRight w:val="0"/>
      <w:marTop w:val="0"/>
      <w:marBottom w:val="0"/>
      <w:divBdr>
        <w:top w:val="none" w:sz="0" w:space="0" w:color="auto"/>
        <w:left w:val="none" w:sz="0" w:space="0" w:color="auto"/>
        <w:bottom w:val="none" w:sz="0" w:space="0" w:color="auto"/>
        <w:right w:val="none" w:sz="0" w:space="0" w:color="auto"/>
      </w:divBdr>
    </w:div>
    <w:div w:id="948658822">
      <w:bodyDiv w:val="1"/>
      <w:marLeft w:val="0"/>
      <w:marRight w:val="0"/>
      <w:marTop w:val="0"/>
      <w:marBottom w:val="0"/>
      <w:divBdr>
        <w:top w:val="none" w:sz="0" w:space="0" w:color="auto"/>
        <w:left w:val="none" w:sz="0" w:space="0" w:color="auto"/>
        <w:bottom w:val="none" w:sz="0" w:space="0" w:color="auto"/>
        <w:right w:val="none" w:sz="0" w:space="0" w:color="auto"/>
      </w:divBdr>
    </w:div>
    <w:div w:id="1010372835">
      <w:bodyDiv w:val="1"/>
      <w:marLeft w:val="0"/>
      <w:marRight w:val="0"/>
      <w:marTop w:val="0"/>
      <w:marBottom w:val="0"/>
      <w:divBdr>
        <w:top w:val="none" w:sz="0" w:space="0" w:color="auto"/>
        <w:left w:val="none" w:sz="0" w:space="0" w:color="auto"/>
        <w:bottom w:val="none" w:sz="0" w:space="0" w:color="auto"/>
        <w:right w:val="none" w:sz="0" w:space="0" w:color="auto"/>
      </w:divBdr>
    </w:div>
    <w:div w:id="1014191221">
      <w:bodyDiv w:val="1"/>
      <w:marLeft w:val="0"/>
      <w:marRight w:val="0"/>
      <w:marTop w:val="0"/>
      <w:marBottom w:val="0"/>
      <w:divBdr>
        <w:top w:val="none" w:sz="0" w:space="0" w:color="auto"/>
        <w:left w:val="none" w:sz="0" w:space="0" w:color="auto"/>
        <w:bottom w:val="none" w:sz="0" w:space="0" w:color="auto"/>
        <w:right w:val="none" w:sz="0" w:space="0" w:color="auto"/>
      </w:divBdr>
    </w:div>
    <w:div w:id="1030230113">
      <w:bodyDiv w:val="1"/>
      <w:marLeft w:val="0"/>
      <w:marRight w:val="0"/>
      <w:marTop w:val="0"/>
      <w:marBottom w:val="0"/>
      <w:divBdr>
        <w:top w:val="none" w:sz="0" w:space="0" w:color="auto"/>
        <w:left w:val="none" w:sz="0" w:space="0" w:color="auto"/>
        <w:bottom w:val="none" w:sz="0" w:space="0" w:color="auto"/>
        <w:right w:val="none" w:sz="0" w:space="0" w:color="auto"/>
      </w:divBdr>
    </w:div>
    <w:div w:id="1035814555">
      <w:bodyDiv w:val="1"/>
      <w:marLeft w:val="0"/>
      <w:marRight w:val="0"/>
      <w:marTop w:val="0"/>
      <w:marBottom w:val="0"/>
      <w:divBdr>
        <w:top w:val="none" w:sz="0" w:space="0" w:color="auto"/>
        <w:left w:val="none" w:sz="0" w:space="0" w:color="auto"/>
        <w:bottom w:val="none" w:sz="0" w:space="0" w:color="auto"/>
        <w:right w:val="none" w:sz="0" w:space="0" w:color="auto"/>
      </w:divBdr>
    </w:div>
    <w:div w:id="1075979815">
      <w:bodyDiv w:val="1"/>
      <w:marLeft w:val="0"/>
      <w:marRight w:val="0"/>
      <w:marTop w:val="0"/>
      <w:marBottom w:val="0"/>
      <w:divBdr>
        <w:top w:val="none" w:sz="0" w:space="0" w:color="auto"/>
        <w:left w:val="none" w:sz="0" w:space="0" w:color="auto"/>
        <w:bottom w:val="none" w:sz="0" w:space="0" w:color="auto"/>
        <w:right w:val="none" w:sz="0" w:space="0" w:color="auto"/>
      </w:divBdr>
    </w:div>
    <w:div w:id="1077937694">
      <w:bodyDiv w:val="1"/>
      <w:marLeft w:val="0"/>
      <w:marRight w:val="0"/>
      <w:marTop w:val="0"/>
      <w:marBottom w:val="0"/>
      <w:divBdr>
        <w:top w:val="none" w:sz="0" w:space="0" w:color="auto"/>
        <w:left w:val="none" w:sz="0" w:space="0" w:color="auto"/>
        <w:bottom w:val="none" w:sz="0" w:space="0" w:color="auto"/>
        <w:right w:val="none" w:sz="0" w:space="0" w:color="auto"/>
      </w:divBdr>
    </w:div>
    <w:div w:id="1079059060">
      <w:bodyDiv w:val="1"/>
      <w:marLeft w:val="0"/>
      <w:marRight w:val="0"/>
      <w:marTop w:val="0"/>
      <w:marBottom w:val="0"/>
      <w:divBdr>
        <w:top w:val="none" w:sz="0" w:space="0" w:color="auto"/>
        <w:left w:val="none" w:sz="0" w:space="0" w:color="auto"/>
        <w:bottom w:val="none" w:sz="0" w:space="0" w:color="auto"/>
        <w:right w:val="none" w:sz="0" w:space="0" w:color="auto"/>
      </w:divBdr>
    </w:div>
    <w:div w:id="1081221396">
      <w:bodyDiv w:val="1"/>
      <w:marLeft w:val="0"/>
      <w:marRight w:val="0"/>
      <w:marTop w:val="0"/>
      <w:marBottom w:val="0"/>
      <w:divBdr>
        <w:top w:val="none" w:sz="0" w:space="0" w:color="auto"/>
        <w:left w:val="none" w:sz="0" w:space="0" w:color="auto"/>
        <w:bottom w:val="none" w:sz="0" w:space="0" w:color="auto"/>
        <w:right w:val="none" w:sz="0" w:space="0" w:color="auto"/>
      </w:divBdr>
    </w:div>
    <w:div w:id="1097868581">
      <w:bodyDiv w:val="1"/>
      <w:marLeft w:val="0"/>
      <w:marRight w:val="0"/>
      <w:marTop w:val="0"/>
      <w:marBottom w:val="0"/>
      <w:divBdr>
        <w:top w:val="none" w:sz="0" w:space="0" w:color="auto"/>
        <w:left w:val="none" w:sz="0" w:space="0" w:color="auto"/>
        <w:bottom w:val="none" w:sz="0" w:space="0" w:color="auto"/>
        <w:right w:val="none" w:sz="0" w:space="0" w:color="auto"/>
      </w:divBdr>
      <w:divsChild>
        <w:div w:id="1240867484">
          <w:marLeft w:val="0"/>
          <w:marRight w:val="0"/>
          <w:marTop w:val="0"/>
          <w:marBottom w:val="0"/>
          <w:divBdr>
            <w:top w:val="none" w:sz="0" w:space="0" w:color="auto"/>
            <w:left w:val="none" w:sz="0" w:space="0" w:color="auto"/>
            <w:bottom w:val="none" w:sz="0" w:space="0" w:color="auto"/>
            <w:right w:val="none" w:sz="0" w:space="0" w:color="auto"/>
          </w:divBdr>
        </w:div>
      </w:divsChild>
    </w:div>
    <w:div w:id="1135027482">
      <w:bodyDiv w:val="1"/>
      <w:marLeft w:val="0"/>
      <w:marRight w:val="0"/>
      <w:marTop w:val="0"/>
      <w:marBottom w:val="0"/>
      <w:divBdr>
        <w:top w:val="none" w:sz="0" w:space="0" w:color="auto"/>
        <w:left w:val="none" w:sz="0" w:space="0" w:color="auto"/>
        <w:bottom w:val="none" w:sz="0" w:space="0" w:color="auto"/>
        <w:right w:val="none" w:sz="0" w:space="0" w:color="auto"/>
      </w:divBdr>
    </w:div>
    <w:div w:id="1156650418">
      <w:bodyDiv w:val="1"/>
      <w:marLeft w:val="0"/>
      <w:marRight w:val="0"/>
      <w:marTop w:val="0"/>
      <w:marBottom w:val="0"/>
      <w:divBdr>
        <w:top w:val="none" w:sz="0" w:space="0" w:color="auto"/>
        <w:left w:val="none" w:sz="0" w:space="0" w:color="auto"/>
        <w:bottom w:val="none" w:sz="0" w:space="0" w:color="auto"/>
        <w:right w:val="none" w:sz="0" w:space="0" w:color="auto"/>
      </w:divBdr>
    </w:div>
    <w:div w:id="1187476974">
      <w:bodyDiv w:val="1"/>
      <w:marLeft w:val="0"/>
      <w:marRight w:val="0"/>
      <w:marTop w:val="0"/>
      <w:marBottom w:val="0"/>
      <w:divBdr>
        <w:top w:val="none" w:sz="0" w:space="0" w:color="auto"/>
        <w:left w:val="none" w:sz="0" w:space="0" w:color="auto"/>
        <w:bottom w:val="none" w:sz="0" w:space="0" w:color="auto"/>
        <w:right w:val="none" w:sz="0" w:space="0" w:color="auto"/>
      </w:divBdr>
    </w:div>
    <w:div w:id="1211574250">
      <w:bodyDiv w:val="1"/>
      <w:marLeft w:val="0"/>
      <w:marRight w:val="0"/>
      <w:marTop w:val="0"/>
      <w:marBottom w:val="0"/>
      <w:divBdr>
        <w:top w:val="none" w:sz="0" w:space="0" w:color="auto"/>
        <w:left w:val="none" w:sz="0" w:space="0" w:color="auto"/>
        <w:bottom w:val="none" w:sz="0" w:space="0" w:color="auto"/>
        <w:right w:val="none" w:sz="0" w:space="0" w:color="auto"/>
      </w:divBdr>
    </w:div>
    <w:div w:id="1235705990">
      <w:bodyDiv w:val="1"/>
      <w:marLeft w:val="0"/>
      <w:marRight w:val="0"/>
      <w:marTop w:val="0"/>
      <w:marBottom w:val="0"/>
      <w:divBdr>
        <w:top w:val="none" w:sz="0" w:space="0" w:color="auto"/>
        <w:left w:val="none" w:sz="0" w:space="0" w:color="auto"/>
        <w:bottom w:val="none" w:sz="0" w:space="0" w:color="auto"/>
        <w:right w:val="none" w:sz="0" w:space="0" w:color="auto"/>
      </w:divBdr>
    </w:div>
    <w:div w:id="1273586282">
      <w:bodyDiv w:val="1"/>
      <w:marLeft w:val="0"/>
      <w:marRight w:val="0"/>
      <w:marTop w:val="0"/>
      <w:marBottom w:val="0"/>
      <w:divBdr>
        <w:top w:val="none" w:sz="0" w:space="0" w:color="auto"/>
        <w:left w:val="none" w:sz="0" w:space="0" w:color="auto"/>
        <w:bottom w:val="none" w:sz="0" w:space="0" w:color="auto"/>
        <w:right w:val="none" w:sz="0" w:space="0" w:color="auto"/>
      </w:divBdr>
      <w:divsChild>
        <w:div w:id="323124775">
          <w:marLeft w:val="0"/>
          <w:marRight w:val="0"/>
          <w:marTop w:val="0"/>
          <w:marBottom w:val="0"/>
          <w:divBdr>
            <w:top w:val="none" w:sz="0" w:space="0" w:color="auto"/>
            <w:left w:val="none" w:sz="0" w:space="0" w:color="auto"/>
            <w:bottom w:val="none" w:sz="0" w:space="0" w:color="auto"/>
            <w:right w:val="none" w:sz="0" w:space="0" w:color="auto"/>
          </w:divBdr>
          <w:divsChild>
            <w:div w:id="989941090">
              <w:marLeft w:val="0"/>
              <w:marRight w:val="0"/>
              <w:marTop w:val="0"/>
              <w:marBottom w:val="0"/>
              <w:divBdr>
                <w:top w:val="none" w:sz="0" w:space="0" w:color="auto"/>
                <w:left w:val="none" w:sz="0" w:space="0" w:color="auto"/>
                <w:bottom w:val="none" w:sz="0" w:space="0" w:color="auto"/>
                <w:right w:val="none" w:sz="0" w:space="0" w:color="auto"/>
              </w:divBdr>
            </w:div>
            <w:div w:id="1343044959">
              <w:marLeft w:val="0"/>
              <w:marRight w:val="0"/>
              <w:marTop w:val="0"/>
              <w:marBottom w:val="0"/>
              <w:divBdr>
                <w:top w:val="none" w:sz="0" w:space="0" w:color="auto"/>
                <w:left w:val="none" w:sz="0" w:space="0" w:color="auto"/>
                <w:bottom w:val="none" w:sz="0" w:space="0" w:color="auto"/>
                <w:right w:val="none" w:sz="0" w:space="0" w:color="auto"/>
              </w:divBdr>
            </w:div>
            <w:div w:id="174921272">
              <w:marLeft w:val="0"/>
              <w:marRight w:val="0"/>
              <w:marTop w:val="0"/>
              <w:marBottom w:val="0"/>
              <w:divBdr>
                <w:top w:val="none" w:sz="0" w:space="0" w:color="auto"/>
                <w:left w:val="none" w:sz="0" w:space="0" w:color="auto"/>
                <w:bottom w:val="none" w:sz="0" w:space="0" w:color="auto"/>
                <w:right w:val="none" w:sz="0" w:space="0" w:color="auto"/>
              </w:divBdr>
            </w:div>
            <w:div w:id="17427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2236">
      <w:bodyDiv w:val="1"/>
      <w:marLeft w:val="0"/>
      <w:marRight w:val="0"/>
      <w:marTop w:val="0"/>
      <w:marBottom w:val="0"/>
      <w:divBdr>
        <w:top w:val="none" w:sz="0" w:space="0" w:color="auto"/>
        <w:left w:val="none" w:sz="0" w:space="0" w:color="auto"/>
        <w:bottom w:val="none" w:sz="0" w:space="0" w:color="auto"/>
        <w:right w:val="none" w:sz="0" w:space="0" w:color="auto"/>
      </w:divBdr>
    </w:div>
    <w:div w:id="1306471617">
      <w:bodyDiv w:val="1"/>
      <w:marLeft w:val="0"/>
      <w:marRight w:val="0"/>
      <w:marTop w:val="0"/>
      <w:marBottom w:val="0"/>
      <w:divBdr>
        <w:top w:val="none" w:sz="0" w:space="0" w:color="auto"/>
        <w:left w:val="none" w:sz="0" w:space="0" w:color="auto"/>
        <w:bottom w:val="none" w:sz="0" w:space="0" w:color="auto"/>
        <w:right w:val="none" w:sz="0" w:space="0" w:color="auto"/>
      </w:divBdr>
    </w:div>
    <w:div w:id="1307974339">
      <w:bodyDiv w:val="1"/>
      <w:marLeft w:val="0"/>
      <w:marRight w:val="0"/>
      <w:marTop w:val="0"/>
      <w:marBottom w:val="0"/>
      <w:divBdr>
        <w:top w:val="none" w:sz="0" w:space="0" w:color="auto"/>
        <w:left w:val="none" w:sz="0" w:space="0" w:color="auto"/>
        <w:bottom w:val="none" w:sz="0" w:space="0" w:color="auto"/>
        <w:right w:val="none" w:sz="0" w:space="0" w:color="auto"/>
      </w:divBdr>
    </w:div>
    <w:div w:id="1330867918">
      <w:bodyDiv w:val="1"/>
      <w:marLeft w:val="0"/>
      <w:marRight w:val="0"/>
      <w:marTop w:val="0"/>
      <w:marBottom w:val="0"/>
      <w:divBdr>
        <w:top w:val="none" w:sz="0" w:space="0" w:color="auto"/>
        <w:left w:val="none" w:sz="0" w:space="0" w:color="auto"/>
        <w:bottom w:val="none" w:sz="0" w:space="0" w:color="auto"/>
        <w:right w:val="none" w:sz="0" w:space="0" w:color="auto"/>
      </w:divBdr>
    </w:div>
    <w:div w:id="1406995796">
      <w:bodyDiv w:val="1"/>
      <w:marLeft w:val="0"/>
      <w:marRight w:val="0"/>
      <w:marTop w:val="0"/>
      <w:marBottom w:val="0"/>
      <w:divBdr>
        <w:top w:val="none" w:sz="0" w:space="0" w:color="auto"/>
        <w:left w:val="none" w:sz="0" w:space="0" w:color="auto"/>
        <w:bottom w:val="none" w:sz="0" w:space="0" w:color="auto"/>
        <w:right w:val="none" w:sz="0" w:space="0" w:color="auto"/>
      </w:divBdr>
    </w:div>
    <w:div w:id="1423187417">
      <w:bodyDiv w:val="1"/>
      <w:marLeft w:val="0"/>
      <w:marRight w:val="0"/>
      <w:marTop w:val="0"/>
      <w:marBottom w:val="0"/>
      <w:divBdr>
        <w:top w:val="none" w:sz="0" w:space="0" w:color="auto"/>
        <w:left w:val="none" w:sz="0" w:space="0" w:color="auto"/>
        <w:bottom w:val="none" w:sz="0" w:space="0" w:color="auto"/>
        <w:right w:val="none" w:sz="0" w:space="0" w:color="auto"/>
      </w:divBdr>
    </w:div>
    <w:div w:id="1426614208">
      <w:bodyDiv w:val="1"/>
      <w:marLeft w:val="0"/>
      <w:marRight w:val="0"/>
      <w:marTop w:val="0"/>
      <w:marBottom w:val="0"/>
      <w:divBdr>
        <w:top w:val="none" w:sz="0" w:space="0" w:color="auto"/>
        <w:left w:val="none" w:sz="0" w:space="0" w:color="auto"/>
        <w:bottom w:val="none" w:sz="0" w:space="0" w:color="auto"/>
        <w:right w:val="none" w:sz="0" w:space="0" w:color="auto"/>
      </w:divBdr>
    </w:div>
    <w:div w:id="1475290893">
      <w:bodyDiv w:val="1"/>
      <w:marLeft w:val="0"/>
      <w:marRight w:val="0"/>
      <w:marTop w:val="0"/>
      <w:marBottom w:val="0"/>
      <w:divBdr>
        <w:top w:val="none" w:sz="0" w:space="0" w:color="auto"/>
        <w:left w:val="none" w:sz="0" w:space="0" w:color="auto"/>
        <w:bottom w:val="none" w:sz="0" w:space="0" w:color="auto"/>
        <w:right w:val="none" w:sz="0" w:space="0" w:color="auto"/>
      </w:divBdr>
    </w:div>
    <w:div w:id="1482696594">
      <w:bodyDiv w:val="1"/>
      <w:marLeft w:val="0"/>
      <w:marRight w:val="0"/>
      <w:marTop w:val="0"/>
      <w:marBottom w:val="0"/>
      <w:divBdr>
        <w:top w:val="none" w:sz="0" w:space="0" w:color="auto"/>
        <w:left w:val="none" w:sz="0" w:space="0" w:color="auto"/>
        <w:bottom w:val="none" w:sz="0" w:space="0" w:color="auto"/>
        <w:right w:val="none" w:sz="0" w:space="0" w:color="auto"/>
      </w:divBdr>
    </w:div>
    <w:div w:id="1516113103">
      <w:bodyDiv w:val="1"/>
      <w:marLeft w:val="0"/>
      <w:marRight w:val="0"/>
      <w:marTop w:val="0"/>
      <w:marBottom w:val="0"/>
      <w:divBdr>
        <w:top w:val="none" w:sz="0" w:space="0" w:color="auto"/>
        <w:left w:val="none" w:sz="0" w:space="0" w:color="auto"/>
        <w:bottom w:val="none" w:sz="0" w:space="0" w:color="auto"/>
        <w:right w:val="none" w:sz="0" w:space="0" w:color="auto"/>
      </w:divBdr>
    </w:div>
    <w:div w:id="1539052139">
      <w:bodyDiv w:val="1"/>
      <w:marLeft w:val="0"/>
      <w:marRight w:val="0"/>
      <w:marTop w:val="0"/>
      <w:marBottom w:val="0"/>
      <w:divBdr>
        <w:top w:val="none" w:sz="0" w:space="0" w:color="auto"/>
        <w:left w:val="none" w:sz="0" w:space="0" w:color="auto"/>
        <w:bottom w:val="none" w:sz="0" w:space="0" w:color="auto"/>
        <w:right w:val="none" w:sz="0" w:space="0" w:color="auto"/>
      </w:divBdr>
      <w:divsChild>
        <w:div w:id="755520273">
          <w:marLeft w:val="-225"/>
          <w:marRight w:val="-225"/>
          <w:marTop w:val="0"/>
          <w:marBottom w:val="0"/>
          <w:divBdr>
            <w:top w:val="none" w:sz="0" w:space="0" w:color="auto"/>
            <w:left w:val="none" w:sz="0" w:space="0" w:color="auto"/>
            <w:bottom w:val="none" w:sz="0" w:space="0" w:color="auto"/>
            <w:right w:val="none" w:sz="0" w:space="0" w:color="auto"/>
          </w:divBdr>
        </w:div>
      </w:divsChild>
    </w:div>
    <w:div w:id="1557278272">
      <w:bodyDiv w:val="1"/>
      <w:marLeft w:val="0"/>
      <w:marRight w:val="0"/>
      <w:marTop w:val="0"/>
      <w:marBottom w:val="0"/>
      <w:divBdr>
        <w:top w:val="none" w:sz="0" w:space="0" w:color="auto"/>
        <w:left w:val="none" w:sz="0" w:space="0" w:color="auto"/>
        <w:bottom w:val="none" w:sz="0" w:space="0" w:color="auto"/>
        <w:right w:val="none" w:sz="0" w:space="0" w:color="auto"/>
      </w:divBdr>
    </w:div>
    <w:div w:id="1558013259">
      <w:bodyDiv w:val="1"/>
      <w:marLeft w:val="0"/>
      <w:marRight w:val="0"/>
      <w:marTop w:val="0"/>
      <w:marBottom w:val="0"/>
      <w:divBdr>
        <w:top w:val="none" w:sz="0" w:space="0" w:color="auto"/>
        <w:left w:val="none" w:sz="0" w:space="0" w:color="auto"/>
        <w:bottom w:val="none" w:sz="0" w:space="0" w:color="auto"/>
        <w:right w:val="none" w:sz="0" w:space="0" w:color="auto"/>
      </w:divBdr>
    </w:div>
    <w:div w:id="1558972130">
      <w:bodyDiv w:val="1"/>
      <w:marLeft w:val="0"/>
      <w:marRight w:val="0"/>
      <w:marTop w:val="0"/>
      <w:marBottom w:val="0"/>
      <w:divBdr>
        <w:top w:val="none" w:sz="0" w:space="0" w:color="auto"/>
        <w:left w:val="none" w:sz="0" w:space="0" w:color="auto"/>
        <w:bottom w:val="none" w:sz="0" w:space="0" w:color="auto"/>
        <w:right w:val="none" w:sz="0" w:space="0" w:color="auto"/>
      </w:divBdr>
    </w:div>
    <w:div w:id="1560021372">
      <w:bodyDiv w:val="1"/>
      <w:marLeft w:val="0"/>
      <w:marRight w:val="0"/>
      <w:marTop w:val="0"/>
      <w:marBottom w:val="0"/>
      <w:divBdr>
        <w:top w:val="none" w:sz="0" w:space="0" w:color="auto"/>
        <w:left w:val="none" w:sz="0" w:space="0" w:color="auto"/>
        <w:bottom w:val="none" w:sz="0" w:space="0" w:color="auto"/>
        <w:right w:val="none" w:sz="0" w:space="0" w:color="auto"/>
      </w:divBdr>
    </w:div>
    <w:div w:id="1564363505">
      <w:bodyDiv w:val="1"/>
      <w:marLeft w:val="0"/>
      <w:marRight w:val="0"/>
      <w:marTop w:val="0"/>
      <w:marBottom w:val="0"/>
      <w:divBdr>
        <w:top w:val="none" w:sz="0" w:space="0" w:color="auto"/>
        <w:left w:val="none" w:sz="0" w:space="0" w:color="auto"/>
        <w:bottom w:val="none" w:sz="0" w:space="0" w:color="auto"/>
        <w:right w:val="none" w:sz="0" w:space="0" w:color="auto"/>
      </w:divBdr>
    </w:div>
    <w:div w:id="1656568838">
      <w:bodyDiv w:val="1"/>
      <w:marLeft w:val="0"/>
      <w:marRight w:val="0"/>
      <w:marTop w:val="0"/>
      <w:marBottom w:val="0"/>
      <w:divBdr>
        <w:top w:val="none" w:sz="0" w:space="0" w:color="auto"/>
        <w:left w:val="none" w:sz="0" w:space="0" w:color="auto"/>
        <w:bottom w:val="none" w:sz="0" w:space="0" w:color="auto"/>
        <w:right w:val="none" w:sz="0" w:space="0" w:color="auto"/>
      </w:divBdr>
    </w:div>
    <w:div w:id="1658992428">
      <w:bodyDiv w:val="1"/>
      <w:marLeft w:val="0"/>
      <w:marRight w:val="0"/>
      <w:marTop w:val="0"/>
      <w:marBottom w:val="0"/>
      <w:divBdr>
        <w:top w:val="none" w:sz="0" w:space="0" w:color="auto"/>
        <w:left w:val="none" w:sz="0" w:space="0" w:color="auto"/>
        <w:bottom w:val="none" w:sz="0" w:space="0" w:color="auto"/>
        <w:right w:val="none" w:sz="0" w:space="0" w:color="auto"/>
      </w:divBdr>
    </w:div>
    <w:div w:id="1660033006">
      <w:bodyDiv w:val="1"/>
      <w:marLeft w:val="0"/>
      <w:marRight w:val="0"/>
      <w:marTop w:val="0"/>
      <w:marBottom w:val="0"/>
      <w:divBdr>
        <w:top w:val="none" w:sz="0" w:space="0" w:color="auto"/>
        <w:left w:val="none" w:sz="0" w:space="0" w:color="auto"/>
        <w:bottom w:val="none" w:sz="0" w:space="0" w:color="auto"/>
        <w:right w:val="none" w:sz="0" w:space="0" w:color="auto"/>
      </w:divBdr>
    </w:div>
    <w:div w:id="1680083485">
      <w:bodyDiv w:val="1"/>
      <w:marLeft w:val="0"/>
      <w:marRight w:val="0"/>
      <w:marTop w:val="0"/>
      <w:marBottom w:val="0"/>
      <w:divBdr>
        <w:top w:val="none" w:sz="0" w:space="0" w:color="auto"/>
        <w:left w:val="none" w:sz="0" w:space="0" w:color="auto"/>
        <w:bottom w:val="none" w:sz="0" w:space="0" w:color="auto"/>
        <w:right w:val="none" w:sz="0" w:space="0" w:color="auto"/>
      </w:divBdr>
    </w:div>
    <w:div w:id="1709211273">
      <w:bodyDiv w:val="1"/>
      <w:marLeft w:val="0"/>
      <w:marRight w:val="0"/>
      <w:marTop w:val="0"/>
      <w:marBottom w:val="0"/>
      <w:divBdr>
        <w:top w:val="none" w:sz="0" w:space="0" w:color="auto"/>
        <w:left w:val="none" w:sz="0" w:space="0" w:color="auto"/>
        <w:bottom w:val="none" w:sz="0" w:space="0" w:color="auto"/>
        <w:right w:val="none" w:sz="0" w:space="0" w:color="auto"/>
      </w:divBdr>
    </w:div>
    <w:div w:id="1715931011">
      <w:bodyDiv w:val="1"/>
      <w:marLeft w:val="0"/>
      <w:marRight w:val="0"/>
      <w:marTop w:val="0"/>
      <w:marBottom w:val="0"/>
      <w:divBdr>
        <w:top w:val="none" w:sz="0" w:space="0" w:color="auto"/>
        <w:left w:val="none" w:sz="0" w:space="0" w:color="auto"/>
        <w:bottom w:val="none" w:sz="0" w:space="0" w:color="auto"/>
        <w:right w:val="none" w:sz="0" w:space="0" w:color="auto"/>
      </w:divBdr>
    </w:div>
    <w:div w:id="1746417161">
      <w:bodyDiv w:val="1"/>
      <w:marLeft w:val="0"/>
      <w:marRight w:val="0"/>
      <w:marTop w:val="0"/>
      <w:marBottom w:val="0"/>
      <w:divBdr>
        <w:top w:val="none" w:sz="0" w:space="0" w:color="auto"/>
        <w:left w:val="none" w:sz="0" w:space="0" w:color="auto"/>
        <w:bottom w:val="none" w:sz="0" w:space="0" w:color="auto"/>
        <w:right w:val="none" w:sz="0" w:space="0" w:color="auto"/>
      </w:divBdr>
    </w:div>
    <w:div w:id="1857763423">
      <w:bodyDiv w:val="1"/>
      <w:marLeft w:val="0"/>
      <w:marRight w:val="0"/>
      <w:marTop w:val="0"/>
      <w:marBottom w:val="0"/>
      <w:divBdr>
        <w:top w:val="none" w:sz="0" w:space="0" w:color="auto"/>
        <w:left w:val="none" w:sz="0" w:space="0" w:color="auto"/>
        <w:bottom w:val="none" w:sz="0" w:space="0" w:color="auto"/>
        <w:right w:val="none" w:sz="0" w:space="0" w:color="auto"/>
      </w:divBdr>
      <w:divsChild>
        <w:div w:id="1897204841">
          <w:marLeft w:val="0"/>
          <w:marRight w:val="0"/>
          <w:marTop w:val="0"/>
          <w:marBottom w:val="0"/>
          <w:divBdr>
            <w:top w:val="none" w:sz="0" w:space="0" w:color="auto"/>
            <w:left w:val="none" w:sz="0" w:space="0" w:color="auto"/>
            <w:bottom w:val="none" w:sz="0" w:space="0" w:color="auto"/>
            <w:right w:val="none" w:sz="0" w:space="0" w:color="auto"/>
          </w:divBdr>
        </w:div>
        <w:div w:id="394471897">
          <w:marLeft w:val="0"/>
          <w:marRight w:val="0"/>
          <w:marTop w:val="0"/>
          <w:marBottom w:val="0"/>
          <w:divBdr>
            <w:top w:val="none" w:sz="0" w:space="0" w:color="auto"/>
            <w:left w:val="none" w:sz="0" w:space="0" w:color="auto"/>
            <w:bottom w:val="none" w:sz="0" w:space="0" w:color="auto"/>
            <w:right w:val="none" w:sz="0" w:space="0" w:color="auto"/>
          </w:divBdr>
        </w:div>
      </w:divsChild>
    </w:div>
    <w:div w:id="1915122489">
      <w:bodyDiv w:val="1"/>
      <w:marLeft w:val="0"/>
      <w:marRight w:val="0"/>
      <w:marTop w:val="0"/>
      <w:marBottom w:val="0"/>
      <w:divBdr>
        <w:top w:val="none" w:sz="0" w:space="0" w:color="auto"/>
        <w:left w:val="none" w:sz="0" w:space="0" w:color="auto"/>
        <w:bottom w:val="none" w:sz="0" w:space="0" w:color="auto"/>
        <w:right w:val="none" w:sz="0" w:space="0" w:color="auto"/>
      </w:divBdr>
    </w:div>
    <w:div w:id="1930843869">
      <w:bodyDiv w:val="1"/>
      <w:marLeft w:val="0"/>
      <w:marRight w:val="0"/>
      <w:marTop w:val="0"/>
      <w:marBottom w:val="0"/>
      <w:divBdr>
        <w:top w:val="none" w:sz="0" w:space="0" w:color="auto"/>
        <w:left w:val="none" w:sz="0" w:space="0" w:color="auto"/>
        <w:bottom w:val="none" w:sz="0" w:space="0" w:color="auto"/>
        <w:right w:val="none" w:sz="0" w:space="0" w:color="auto"/>
      </w:divBdr>
    </w:div>
    <w:div w:id="1954049579">
      <w:bodyDiv w:val="1"/>
      <w:marLeft w:val="0"/>
      <w:marRight w:val="0"/>
      <w:marTop w:val="0"/>
      <w:marBottom w:val="0"/>
      <w:divBdr>
        <w:top w:val="none" w:sz="0" w:space="0" w:color="auto"/>
        <w:left w:val="none" w:sz="0" w:space="0" w:color="auto"/>
        <w:bottom w:val="none" w:sz="0" w:space="0" w:color="auto"/>
        <w:right w:val="none" w:sz="0" w:space="0" w:color="auto"/>
      </w:divBdr>
    </w:div>
    <w:div w:id="1960254370">
      <w:bodyDiv w:val="1"/>
      <w:marLeft w:val="0"/>
      <w:marRight w:val="0"/>
      <w:marTop w:val="0"/>
      <w:marBottom w:val="0"/>
      <w:divBdr>
        <w:top w:val="none" w:sz="0" w:space="0" w:color="auto"/>
        <w:left w:val="none" w:sz="0" w:space="0" w:color="auto"/>
        <w:bottom w:val="none" w:sz="0" w:space="0" w:color="auto"/>
        <w:right w:val="none" w:sz="0" w:space="0" w:color="auto"/>
      </w:divBdr>
    </w:div>
    <w:div w:id="2059937141">
      <w:bodyDiv w:val="1"/>
      <w:marLeft w:val="0"/>
      <w:marRight w:val="0"/>
      <w:marTop w:val="0"/>
      <w:marBottom w:val="0"/>
      <w:divBdr>
        <w:top w:val="none" w:sz="0" w:space="0" w:color="auto"/>
        <w:left w:val="none" w:sz="0" w:space="0" w:color="auto"/>
        <w:bottom w:val="none" w:sz="0" w:space="0" w:color="auto"/>
        <w:right w:val="none" w:sz="0" w:space="0" w:color="auto"/>
      </w:divBdr>
    </w:div>
    <w:div w:id="2071229059">
      <w:bodyDiv w:val="1"/>
      <w:marLeft w:val="0"/>
      <w:marRight w:val="0"/>
      <w:marTop w:val="0"/>
      <w:marBottom w:val="0"/>
      <w:divBdr>
        <w:top w:val="none" w:sz="0" w:space="0" w:color="auto"/>
        <w:left w:val="none" w:sz="0" w:space="0" w:color="auto"/>
        <w:bottom w:val="none" w:sz="0" w:space="0" w:color="auto"/>
        <w:right w:val="none" w:sz="0" w:space="0" w:color="auto"/>
      </w:divBdr>
    </w:div>
    <w:div w:id="2076779926">
      <w:bodyDiv w:val="1"/>
      <w:marLeft w:val="0"/>
      <w:marRight w:val="0"/>
      <w:marTop w:val="0"/>
      <w:marBottom w:val="0"/>
      <w:divBdr>
        <w:top w:val="none" w:sz="0" w:space="0" w:color="auto"/>
        <w:left w:val="none" w:sz="0" w:space="0" w:color="auto"/>
        <w:bottom w:val="none" w:sz="0" w:space="0" w:color="auto"/>
        <w:right w:val="none" w:sz="0" w:space="0" w:color="auto"/>
      </w:divBdr>
    </w:div>
    <w:div w:id="2120561619">
      <w:bodyDiv w:val="1"/>
      <w:marLeft w:val="0"/>
      <w:marRight w:val="0"/>
      <w:marTop w:val="0"/>
      <w:marBottom w:val="0"/>
      <w:divBdr>
        <w:top w:val="none" w:sz="0" w:space="0" w:color="auto"/>
        <w:left w:val="none" w:sz="0" w:space="0" w:color="auto"/>
        <w:bottom w:val="none" w:sz="0" w:space="0" w:color="auto"/>
        <w:right w:val="none" w:sz="0" w:space="0" w:color="auto"/>
      </w:divBdr>
      <w:divsChild>
        <w:div w:id="213976946">
          <w:marLeft w:val="0"/>
          <w:marRight w:val="0"/>
          <w:marTop w:val="0"/>
          <w:marBottom w:val="0"/>
          <w:divBdr>
            <w:top w:val="none" w:sz="0" w:space="0" w:color="auto"/>
            <w:left w:val="none" w:sz="0" w:space="0" w:color="auto"/>
            <w:bottom w:val="none" w:sz="0" w:space="0" w:color="auto"/>
            <w:right w:val="none" w:sz="0" w:space="0" w:color="auto"/>
          </w:divBdr>
        </w:div>
        <w:div w:id="799153952">
          <w:marLeft w:val="0"/>
          <w:marRight w:val="0"/>
          <w:marTop w:val="0"/>
          <w:marBottom w:val="0"/>
          <w:divBdr>
            <w:top w:val="none" w:sz="0" w:space="0" w:color="auto"/>
            <w:left w:val="none" w:sz="0" w:space="0" w:color="auto"/>
            <w:bottom w:val="none" w:sz="0" w:space="0" w:color="auto"/>
            <w:right w:val="none" w:sz="0" w:space="0" w:color="auto"/>
          </w:divBdr>
        </w:div>
        <w:div w:id="298993203">
          <w:marLeft w:val="0"/>
          <w:marRight w:val="0"/>
          <w:marTop w:val="0"/>
          <w:marBottom w:val="0"/>
          <w:divBdr>
            <w:top w:val="none" w:sz="0" w:space="0" w:color="auto"/>
            <w:left w:val="none" w:sz="0" w:space="0" w:color="auto"/>
            <w:bottom w:val="none" w:sz="0" w:space="0" w:color="auto"/>
            <w:right w:val="none" w:sz="0" w:space="0" w:color="auto"/>
          </w:divBdr>
        </w:div>
        <w:div w:id="1007640275">
          <w:marLeft w:val="0"/>
          <w:marRight w:val="0"/>
          <w:marTop w:val="0"/>
          <w:marBottom w:val="0"/>
          <w:divBdr>
            <w:top w:val="none" w:sz="0" w:space="0" w:color="auto"/>
            <w:left w:val="none" w:sz="0" w:space="0" w:color="auto"/>
            <w:bottom w:val="none" w:sz="0" w:space="0" w:color="auto"/>
            <w:right w:val="none" w:sz="0" w:space="0" w:color="auto"/>
          </w:divBdr>
        </w:div>
        <w:div w:id="1566448250">
          <w:marLeft w:val="0"/>
          <w:marRight w:val="0"/>
          <w:marTop w:val="0"/>
          <w:marBottom w:val="0"/>
          <w:divBdr>
            <w:top w:val="none" w:sz="0" w:space="0" w:color="auto"/>
            <w:left w:val="none" w:sz="0" w:space="0" w:color="auto"/>
            <w:bottom w:val="none" w:sz="0" w:space="0" w:color="auto"/>
            <w:right w:val="none" w:sz="0" w:space="0" w:color="auto"/>
          </w:divBdr>
        </w:div>
        <w:div w:id="1548643622">
          <w:marLeft w:val="0"/>
          <w:marRight w:val="0"/>
          <w:marTop w:val="0"/>
          <w:marBottom w:val="0"/>
          <w:divBdr>
            <w:top w:val="none" w:sz="0" w:space="0" w:color="auto"/>
            <w:left w:val="none" w:sz="0" w:space="0" w:color="auto"/>
            <w:bottom w:val="none" w:sz="0" w:space="0" w:color="auto"/>
            <w:right w:val="none" w:sz="0" w:space="0" w:color="auto"/>
          </w:divBdr>
        </w:div>
        <w:div w:id="1822962041">
          <w:marLeft w:val="0"/>
          <w:marRight w:val="0"/>
          <w:marTop w:val="0"/>
          <w:marBottom w:val="0"/>
          <w:divBdr>
            <w:top w:val="none" w:sz="0" w:space="0" w:color="auto"/>
            <w:left w:val="none" w:sz="0" w:space="0" w:color="auto"/>
            <w:bottom w:val="none" w:sz="0" w:space="0" w:color="auto"/>
            <w:right w:val="none" w:sz="0" w:space="0" w:color="auto"/>
          </w:divBdr>
        </w:div>
        <w:div w:id="160053037">
          <w:marLeft w:val="0"/>
          <w:marRight w:val="0"/>
          <w:marTop w:val="0"/>
          <w:marBottom w:val="0"/>
          <w:divBdr>
            <w:top w:val="none" w:sz="0" w:space="0" w:color="auto"/>
            <w:left w:val="none" w:sz="0" w:space="0" w:color="auto"/>
            <w:bottom w:val="none" w:sz="0" w:space="0" w:color="auto"/>
            <w:right w:val="none" w:sz="0" w:space="0" w:color="auto"/>
          </w:divBdr>
        </w:div>
        <w:div w:id="1343893652">
          <w:marLeft w:val="0"/>
          <w:marRight w:val="0"/>
          <w:marTop w:val="0"/>
          <w:marBottom w:val="0"/>
          <w:divBdr>
            <w:top w:val="none" w:sz="0" w:space="0" w:color="auto"/>
            <w:left w:val="none" w:sz="0" w:space="0" w:color="auto"/>
            <w:bottom w:val="none" w:sz="0" w:space="0" w:color="auto"/>
            <w:right w:val="none" w:sz="0" w:space="0" w:color="auto"/>
          </w:divBdr>
        </w:div>
        <w:div w:id="640623405">
          <w:marLeft w:val="0"/>
          <w:marRight w:val="0"/>
          <w:marTop w:val="0"/>
          <w:marBottom w:val="0"/>
          <w:divBdr>
            <w:top w:val="none" w:sz="0" w:space="0" w:color="auto"/>
            <w:left w:val="none" w:sz="0" w:space="0" w:color="auto"/>
            <w:bottom w:val="none" w:sz="0" w:space="0" w:color="auto"/>
            <w:right w:val="none" w:sz="0" w:space="0" w:color="auto"/>
          </w:divBdr>
        </w:div>
        <w:div w:id="271085252">
          <w:marLeft w:val="0"/>
          <w:marRight w:val="0"/>
          <w:marTop w:val="0"/>
          <w:marBottom w:val="0"/>
          <w:divBdr>
            <w:top w:val="none" w:sz="0" w:space="0" w:color="auto"/>
            <w:left w:val="none" w:sz="0" w:space="0" w:color="auto"/>
            <w:bottom w:val="none" w:sz="0" w:space="0" w:color="auto"/>
            <w:right w:val="none" w:sz="0" w:space="0" w:color="auto"/>
          </w:divBdr>
        </w:div>
        <w:div w:id="148526091">
          <w:marLeft w:val="0"/>
          <w:marRight w:val="0"/>
          <w:marTop w:val="0"/>
          <w:marBottom w:val="0"/>
          <w:divBdr>
            <w:top w:val="none" w:sz="0" w:space="0" w:color="auto"/>
            <w:left w:val="none" w:sz="0" w:space="0" w:color="auto"/>
            <w:bottom w:val="none" w:sz="0" w:space="0" w:color="auto"/>
            <w:right w:val="none" w:sz="0" w:space="0" w:color="auto"/>
          </w:divBdr>
        </w:div>
        <w:div w:id="1364400137">
          <w:marLeft w:val="0"/>
          <w:marRight w:val="0"/>
          <w:marTop w:val="0"/>
          <w:marBottom w:val="0"/>
          <w:divBdr>
            <w:top w:val="none" w:sz="0" w:space="0" w:color="auto"/>
            <w:left w:val="none" w:sz="0" w:space="0" w:color="auto"/>
            <w:bottom w:val="none" w:sz="0" w:space="0" w:color="auto"/>
            <w:right w:val="none" w:sz="0" w:space="0" w:color="auto"/>
          </w:divBdr>
        </w:div>
        <w:div w:id="423380049">
          <w:marLeft w:val="0"/>
          <w:marRight w:val="0"/>
          <w:marTop w:val="0"/>
          <w:marBottom w:val="0"/>
          <w:divBdr>
            <w:top w:val="none" w:sz="0" w:space="0" w:color="auto"/>
            <w:left w:val="none" w:sz="0" w:space="0" w:color="auto"/>
            <w:bottom w:val="none" w:sz="0" w:space="0" w:color="auto"/>
            <w:right w:val="none" w:sz="0" w:space="0" w:color="auto"/>
          </w:divBdr>
        </w:div>
        <w:div w:id="1721127538">
          <w:marLeft w:val="0"/>
          <w:marRight w:val="0"/>
          <w:marTop w:val="0"/>
          <w:marBottom w:val="0"/>
          <w:divBdr>
            <w:top w:val="none" w:sz="0" w:space="0" w:color="auto"/>
            <w:left w:val="none" w:sz="0" w:space="0" w:color="auto"/>
            <w:bottom w:val="none" w:sz="0" w:space="0" w:color="auto"/>
            <w:right w:val="none" w:sz="0" w:space="0" w:color="auto"/>
          </w:divBdr>
        </w:div>
        <w:div w:id="2091536461">
          <w:marLeft w:val="0"/>
          <w:marRight w:val="0"/>
          <w:marTop w:val="0"/>
          <w:marBottom w:val="0"/>
          <w:divBdr>
            <w:top w:val="none" w:sz="0" w:space="0" w:color="auto"/>
            <w:left w:val="none" w:sz="0" w:space="0" w:color="auto"/>
            <w:bottom w:val="none" w:sz="0" w:space="0" w:color="auto"/>
            <w:right w:val="none" w:sz="0" w:space="0" w:color="auto"/>
          </w:divBdr>
        </w:div>
        <w:div w:id="964046680">
          <w:marLeft w:val="0"/>
          <w:marRight w:val="0"/>
          <w:marTop w:val="0"/>
          <w:marBottom w:val="0"/>
          <w:divBdr>
            <w:top w:val="none" w:sz="0" w:space="0" w:color="auto"/>
            <w:left w:val="none" w:sz="0" w:space="0" w:color="auto"/>
            <w:bottom w:val="none" w:sz="0" w:space="0" w:color="auto"/>
            <w:right w:val="none" w:sz="0" w:space="0" w:color="auto"/>
          </w:divBdr>
        </w:div>
        <w:div w:id="1386493302">
          <w:marLeft w:val="0"/>
          <w:marRight w:val="0"/>
          <w:marTop w:val="0"/>
          <w:marBottom w:val="0"/>
          <w:divBdr>
            <w:top w:val="none" w:sz="0" w:space="0" w:color="auto"/>
            <w:left w:val="none" w:sz="0" w:space="0" w:color="auto"/>
            <w:bottom w:val="none" w:sz="0" w:space="0" w:color="auto"/>
            <w:right w:val="none" w:sz="0" w:space="0" w:color="auto"/>
          </w:divBdr>
        </w:div>
        <w:div w:id="1976905274">
          <w:marLeft w:val="0"/>
          <w:marRight w:val="0"/>
          <w:marTop w:val="0"/>
          <w:marBottom w:val="0"/>
          <w:divBdr>
            <w:top w:val="none" w:sz="0" w:space="0" w:color="auto"/>
            <w:left w:val="none" w:sz="0" w:space="0" w:color="auto"/>
            <w:bottom w:val="none" w:sz="0" w:space="0" w:color="auto"/>
            <w:right w:val="none" w:sz="0" w:space="0" w:color="auto"/>
          </w:divBdr>
        </w:div>
        <w:div w:id="222256625">
          <w:marLeft w:val="0"/>
          <w:marRight w:val="0"/>
          <w:marTop w:val="0"/>
          <w:marBottom w:val="0"/>
          <w:divBdr>
            <w:top w:val="none" w:sz="0" w:space="0" w:color="auto"/>
            <w:left w:val="none" w:sz="0" w:space="0" w:color="auto"/>
            <w:bottom w:val="none" w:sz="0" w:space="0" w:color="auto"/>
            <w:right w:val="none" w:sz="0" w:space="0" w:color="auto"/>
          </w:divBdr>
        </w:div>
        <w:div w:id="93325456">
          <w:marLeft w:val="0"/>
          <w:marRight w:val="0"/>
          <w:marTop w:val="0"/>
          <w:marBottom w:val="0"/>
          <w:divBdr>
            <w:top w:val="none" w:sz="0" w:space="0" w:color="auto"/>
            <w:left w:val="none" w:sz="0" w:space="0" w:color="auto"/>
            <w:bottom w:val="none" w:sz="0" w:space="0" w:color="auto"/>
            <w:right w:val="none" w:sz="0" w:space="0" w:color="auto"/>
          </w:divBdr>
        </w:div>
        <w:div w:id="1950425403">
          <w:marLeft w:val="0"/>
          <w:marRight w:val="0"/>
          <w:marTop w:val="0"/>
          <w:marBottom w:val="0"/>
          <w:divBdr>
            <w:top w:val="none" w:sz="0" w:space="0" w:color="auto"/>
            <w:left w:val="none" w:sz="0" w:space="0" w:color="auto"/>
            <w:bottom w:val="none" w:sz="0" w:space="0" w:color="auto"/>
            <w:right w:val="none" w:sz="0" w:space="0" w:color="auto"/>
          </w:divBdr>
        </w:div>
        <w:div w:id="1846936508">
          <w:marLeft w:val="0"/>
          <w:marRight w:val="0"/>
          <w:marTop w:val="0"/>
          <w:marBottom w:val="0"/>
          <w:divBdr>
            <w:top w:val="none" w:sz="0" w:space="0" w:color="auto"/>
            <w:left w:val="none" w:sz="0" w:space="0" w:color="auto"/>
            <w:bottom w:val="none" w:sz="0" w:space="0" w:color="auto"/>
            <w:right w:val="none" w:sz="0" w:space="0" w:color="auto"/>
          </w:divBdr>
        </w:div>
        <w:div w:id="1118526339">
          <w:marLeft w:val="0"/>
          <w:marRight w:val="0"/>
          <w:marTop w:val="0"/>
          <w:marBottom w:val="0"/>
          <w:divBdr>
            <w:top w:val="none" w:sz="0" w:space="0" w:color="auto"/>
            <w:left w:val="none" w:sz="0" w:space="0" w:color="auto"/>
            <w:bottom w:val="none" w:sz="0" w:space="0" w:color="auto"/>
            <w:right w:val="none" w:sz="0" w:space="0" w:color="auto"/>
          </w:divBdr>
        </w:div>
        <w:div w:id="1616979770">
          <w:marLeft w:val="0"/>
          <w:marRight w:val="0"/>
          <w:marTop w:val="0"/>
          <w:marBottom w:val="0"/>
          <w:divBdr>
            <w:top w:val="none" w:sz="0" w:space="0" w:color="auto"/>
            <w:left w:val="none" w:sz="0" w:space="0" w:color="auto"/>
            <w:bottom w:val="none" w:sz="0" w:space="0" w:color="auto"/>
            <w:right w:val="none" w:sz="0" w:space="0" w:color="auto"/>
          </w:divBdr>
        </w:div>
        <w:div w:id="1825929236">
          <w:marLeft w:val="0"/>
          <w:marRight w:val="0"/>
          <w:marTop w:val="0"/>
          <w:marBottom w:val="0"/>
          <w:divBdr>
            <w:top w:val="none" w:sz="0" w:space="0" w:color="auto"/>
            <w:left w:val="none" w:sz="0" w:space="0" w:color="auto"/>
            <w:bottom w:val="none" w:sz="0" w:space="0" w:color="auto"/>
            <w:right w:val="none" w:sz="0" w:space="0" w:color="auto"/>
          </w:divBdr>
        </w:div>
        <w:div w:id="986278467">
          <w:marLeft w:val="0"/>
          <w:marRight w:val="0"/>
          <w:marTop w:val="0"/>
          <w:marBottom w:val="0"/>
          <w:divBdr>
            <w:top w:val="none" w:sz="0" w:space="0" w:color="auto"/>
            <w:left w:val="none" w:sz="0" w:space="0" w:color="auto"/>
            <w:bottom w:val="none" w:sz="0" w:space="0" w:color="auto"/>
            <w:right w:val="none" w:sz="0" w:space="0" w:color="auto"/>
          </w:divBdr>
        </w:div>
        <w:div w:id="1173686829">
          <w:marLeft w:val="0"/>
          <w:marRight w:val="0"/>
          <w:marTop w:val="0"/>
          <w:marBottom w:val="0"/>
          <w:divBdr>
            <w:top w:val="none" w:sz="0" w:space="0" w:color="auto"/>
            <w:left w:val="none" w:sz="0" w:space="0" w:color="auto"/>
            <w:bottom w:val="none" w:sz="0" w:space="0" w:color="auto"/>
            <w:right w:val="none" w:sz="0" w:space="0" w:color="auto"/>
          </w:divBdr>
        </w:div>
        <w:div w:id="1789930948">
          <w:marLeft w:val="0"/>
          <w:marRight w:val="0"/>
          <w:marTop w:val="0"/>
          <w:marBottom w:val="0"/>
          <w:divBdr>
            <w:top w:val="none" w:sz="0" w:space="0" w:color="auto"/>
            <w:left w:val="none" w:sz="0" w:space="0" w:color="auto"/>
            <w:bottom w:val="none" w:sz="0" w:space="0" w:color="auto"/>
            <w:right w:val="none" w:sz="0" w:space="0" w:color="auto"/>
          </w:divBdr>
        </w:div>
        <w:div w:id="1140153043">
          <w:marLeft w:val="0"/>
          <w:marRight w:val="0"/>
          <w:marTop w:val="0"/>
          <w:marBottom w:val="0"/>
          <w:divBdr>
            <w:top w:val="none" w:sz="0" w:space="0" w:color="auto"/>
            <w:left w:val="none" w:sz="0" w:space="0" w:color="auto"/>
            <w:bottom w:val="none" w:sz="0" w:space="0" w:color="auto"/>
            <w:right w:val="none" w:sz="0" w:space="0" w:color="auto"/>
          </w:divBdr>
        </w:div>
        <w:div w:id="2126339561">
          <w:marLeft w:val="0"/>
          <w:marRight w:val="0"/>
          <w:marTop w:val="0"/>
          <w:marBottom w:val="0"/>
          <w:divBdr>
            <w:top w:val="none" w:sz="0" w:space="0" w:color="auto"/>
            <w:left w:val="none" w:sz="0" w:space="0" w:color="auto"/>
            <w:bottom w:val="none" w:sz="0" w:space="0" w:color="auto"/>
            <w:right w:val="none" w:sz="0" w:space="0" w:color="auto"/>
          </w:divBdr>
        </w:div>
        <w:div w:id="1200627962">
          <w:marLeft w:val="0"/>
          <w:marRight w:val="0"/>
          <w:marTop w:val="0"/>
          <w:marBottom w:val="0"/>
          <w:divBdr>
            <w:top w:val="none" w:sz="0" w:space="0" w:color="auto"/>
            <w:left w:val="none" w:sz="0" w:space="0" w:color="auto"/>
            <w:bottom w:val="none" w:sz="0" w:space="0" w:color="auto"/>
            <w:right w:val="none" w:sz="0" w:space="0" w:color="auto"/>
          </w:divBdr>
        </w:div>
        <w:div w:id="864370277">
          <w:marLeft w:val="0"/>
          <w:marRight w:val="0"/>
          <w:marTop w:val="0"/>
          <w:marBottom w:val="0"/>
          <w:divBdr>
            <w:top w:val="none" w:sz="0" w:space="0" w:color="auto"/>
            <w:left w:val="none" w:sz="0" w:space="0" w:color="auto"/>
            <w:bottom w:val="none" w:sz="0" w:space="0" w:color="auto"/>
            <w:right w:val="none" w:sz="0" w:space="0" w:color="auto"/>
          </w:divBdr>
        </w:div>
        <w:div w:id="1408072242">
          <w:marLeft w:val="0"/>
          <w:marRight w:val="0"/>
          <w:marTop w:val="0"/>
          <w:marBottom w:val="0"/>
          <w:divBdr>
            <w:top w:val="none" w:sz="0" w:space="0" w:color="auto"/>
            <w:left w:val="none" w:sz="0" w:space="0" w:color="auto"/>
            <w:bottom w:val="none" w:sz="0" w:space="0" w:color="auto"/>
            <w:right w:val="none" w:sz="0" w:space="0" w:color="auto"/>
          </w:divBdr>
        </w:div>
        <w:div w:id="2102869509">
          <w:marLeft w:val="0"/>
          <w:marRight w:val="0"/>
          <w:marTop w:val="0"/>
          <w:marBottom w:val="0"/>
          <w:divBdr>
            <w:top w:val="none" w:sz="0" w:space="0" w:color="auto"/>
            <w:left w:val="none" w:sz="0" w:space="0" w:color="auto"/>
            <w:bottom w:val="none" w:sz="0" w:space="0" w:color="auto"/>
            <w:right w:val="none" w:sz="0" w:space="0" w:color="auto"/>
          </w:divBdr>
        </w:div>
        <w:div w:id="1347752078">
          <w:marLeft w:val="0"/>
          <w:marRight w:val="0"/>
          <w:marTop w:val="0"/>
          <w:marBottom w:val="0"/>
          <w:divBdr>
            <w:top w:val="none" w:sz="0" w:space="0" w:color="auto"/>
            <w:left w:val="none" w:sz="0" w:space="0" w:color="auto"/>
            <w:bottom w:val="none" w:sz="0" w:space="0" w:color="auto"/>
            <w:right w:val="none" w:sz="0" w:space="0" w:color="auto"/>
          </w:divBdr>
        </w:div>
        <w:div w:id="639270027">
          <w:marLeft w:val="0"/>
          <w:marRight w:val="0"/>
          <w:marTop w:val="0"/>
          <w:marBottom w:val="0"/>
          <w:divBdr>
            <w:top w:val="none" w:sz="0" w:space="0" w:color="auto"/>
            <w:left w:val="none" w:sz="0" w:space="0" w:color="auto"/>
            <w:bottom w:val="none" w:sz="0" w:space="0" w:color="auto"/>
            <w:right w:val="none" w:sz="0" w:space="0" w:color="auto"/>
          </w:divBdr>
        </w:div>
        <w:div w:id="414473095">
          <w:marLeft w:val="0"/>
          <w:marRight w:val="0"/>
          <w:marTop w:val="0"/>
          <w:marBottom w:val="0"/>
          <w:divBdr>
            <w:top w:val="none" w:sz="0" w:space="0" w:color="auto"/>
            <w:left w:val="none" w:sz="0" w:space="0" w:color="auto"/>
            <w:bottom w:val="none" w:sz="0" w:space="0" w:color="auto"/>
            <w:right w:val="none" w:sz="0" w:space="0" w:color="auto"/>
          </w:divBdr>
        </w:div>
        <w:div w:id="1924752107">
          <w:marLeft w:val="0"/>
          <w:marRight w:val="0"/>
          <w:marTop w:val="0"/>
          <w:marBottom w:val="0"/>
          <w:divBdr>
            <w:top w:val="none" w:sz="0" w:space="0" w:color="auto"/>
            <w:left w:val="none" w:sz="0" w:space="0" w:color="auto"/>
            <w:bottom w:val="none" w:sz="0" w:space="0" w:color="auto"/>
            <w:right w:val="none" w:sz="0" w:space="0" w:color="auto"/>
          </w:divBdr>
        </w:div>
        <w:div w:id="2038307443">
          <w:marLeft w:val="0"/>
          <w:marRight w:val="0"/>
          <w:marTop w:val="0"/>
          <w:marBottom w:val="0"/>
          <w:divBdr>
            <w:top w:val="none" w:sz="0" w:space="0" w:color="auto"/>
            <w:left w:val="none" w:sz="0" w:space="0" w:color="auto"/>
            <w:bottom w:val="none" w:sz="0" w:space="0" w:color="auto"/>
            <w:right w:val="none" w:sz="0" w:space="0" w:color="auto"/>
          </w:divBdr>
        </w:div>
        <w:div w:id="967509500">
          <w:marLeft w:val="0"/>
          <w:marRight w:val="0"/>
          <w:marTop w:val="0"/>
          <w:marBottom w:val="0"/>
          <w:divBdr>
            <w:top w:val="none" w:sz="0" w:space="0" w:color="auto"/>
            <w:left w:val="none" w:sz="0" w:space="0" w:color="auto"/>
            <w:bottom w:val="none" w:sz="0" w:space="0" w:color="auto"/>
            <w:right w:val="none" w:sz="0" w:space="0" w:color="auto"/>
          </w:divBdr>
        </w:div>
        <w:div w:id="778765176">
          <w:marLeft w:val="0"/>
          <w:marRight w:val="0"/>
          <w:marTop w:val="0"/>
          <w:marBottom w:val="0"/>
          <w:divBdr>
            <w:top w:val="none" w:sz="0" w:space="0" w:color="auto"/>
            <w:left w:val="none" w:sz="0" w:space="0" w:color="auto"/>
            <w:bottom w:val="none" w:sz="0" w:space="0" w:color="auto"/>
            <w:right w:val="none" w:sz="0" w:space="0" w:color="auto"/>
          </w:divBdr>
        </w:div>
        <w:div w:id="440302346">
          <w:marLeft w:val="0"/>
          <w:marRight w:val="0"/>
          <w:marTop w:val="0"/>
          <w:marBottom w:val="0"/>
          <w:divBdr>
            <w:top w:val="none" w:sz="0" w:space="0" w:color="auto"/>
            <w:left w:val="none" w:sz="0" w:space="0" w:color="auto"/>
            <w:bottom w:val="none" w:sz="0" w:space="0" w:color="auto"/>
            <w:right w:val="none" w:sz="0" w:space="0" w:color="auto"/>
          </w:divBdr>
        </w:div>
        <w:div w:id="1420247018">
          <w:marLeft w:val="0"/>
          <w:marRight w:val="0"/>
          <w:marTop w:val="0"/>
          <w:marBottom w:val="0"/>
          <w:divBdr>
            <w:top w:val="none" w:sz="0" w:space="0" w:color="auto"/>
            <w:left w:val="none" w:sz="0" w:space="0" w:color="auto"/>
            <w:bottom w:val="none" w:sz="0" w:space="0" w:color="auto"/>
            <w:right w:val="none" w:sz="0" w:space="0" w:color="auto"/>
          </w:divBdr>
        </w:div>
        <w:div w:id="149491423">
          <w:marLeft w:val="0"/>
          <w:marRight w:val="0"/>
          <w:marTop w:val="0"/>
          <w:marBottom w:val="0"/>
          <w:divBdr>
            <w:top w:val="none" w:sz="0" w:space="0" w:color="auto"/>
            <w:left w:val="none" w:sz="0" w:space="0" w:color="auto"/>
            <w:bottom w:val="none" w:sz="0" w:space="0" w:color="auto"/>
            <w:right w:val="none" w:sz="0" w:space="0" w:color="auto"/>
          </w:divBdr>
        </w:div>
        <w:div w:id="446243566">
          <w:marLeft w:val="0"/>
          <w:marRight w:val="0"/>
          <w:marTop w:val="0"/>
          <w:marBottom w:val="0"/>
          <w:divBdr>
            <w:top w:val="none" w:sz="0" w:space="0" w:color="auto"/>
            <w:left w:val="none" w:sz="0" w:space="0" w:color="auto"/>
            <w:bottom w:val="none" w:sz="0" w:space="0" w:color="auto"/>
            <w:right w:val="none" w:sz="0" w:space="0" w:color="auto"/>
          </w:divBdr>
        </w:div>
        <w:div w:id="479226331">
          <w:marLeft w:val="0"/>
          <w:marRight w:val="0"/>
          <w:marTop w:val="0"/>
          <w:marBottom w:val="0"/>
          <w:divBdr>
            <w:top w:val="none" w:sz="0" w:space="0" w:color="auto"/>
            <w:left w:val="none" w:sz="0" w:space="0" w:color="auto"/>
            <w:bottom w:val="none" w:sz="0" w:space="0" w:color="auto"/>
            <w:right w:val="none" w:sz="0" w:space="0" w:color="auto"/>
          </w:divBdr>
        </w:div>
        <w:div w:id="753818629">
          <w:marLeft w:val="0"/>
          <w:marRight w:val="0"/>
          <w:marTop w:val="0"/>
          <w:marBottom w:val="0"/>
          <w:divBdr>
            <w:top w:val="none" w:sz="0" w:space="0" w:color="auto"/>
            <w:left w:val="none" w:sz="0" w:space="0" w:color="auto"/>
            <w:bottom w:val="none" w:sz="0" w:space="0" w:color="auto"/>
            <w:right w:val="none" w:sz="0" w:space="0" w:color="auto"/>
          </w:divBdr>
        </w:div>
        <w:div w:id="1307320187">
          <w:marLeft w:val="0"/>
          <w:marRight w:val="0"/>
          <w:marTop w:val="0"/>
          <w:marBottom w:val="0"/>
          <w:divBdr>
            <w:top w:val="none" w:sz="0" w:space="0" w:color="auto"/>
            <w:left w:val="none" w:sz="0" w:space="0" w:color="auto"/>
            <w:bottom w:val="none" w:sz="0" w:space="0" w:color="auto"/>
            <w:right w:val="none" w:sz="0" w:space="0" w:color="auto"/>
          </w:divBdr>
        </w:div>
        <w:div w:id="987784129">
          <w:marLeft w:val="0"/>
          <w:marRight w:val="0"/>
          <w:marTop w:val="0"/>
          <w:marBottom w:val="0"/>
          <w:divBdr>
            <w:top w:val="none" w:sz="0" w:space="0" w:color="auto"/>
            <w:left w:val="none" w:sz="0" w:space="0" w:color="auto"/>
            <w:bottom w:val="none" w:sz="0" w:space="0" w:color="auto"/>
            <w:right w:val="none" w:sz="0" w:space="0" w:color="auto"/>
          </w:divBdr>
        </w:div>
        <w:div w:id="7148331">
          <w:marLeft w:val="0"/>
          <w:marRight w:val="0"/>
          <w:marTop w:val="0"/>
          <w:marBottom w:val="0"/>
          <w:divBdr>
            <w:top w:val="none" w:sz="0" w:space="0" w:color="auto"/>
            <w:left w:val="none" w:sz="0" w:space="0" w:color="auto"/>
            <w:bottom w:val="none" w:sz="0" w:space="0" w:color="auto"/>
            <w:right w:val="none" w:sz="0" w:space="0" w:color="auto"/>
          </w:divBdr>
        </w:div>
        <w:div w:id="1511750424">
          <w:marLeft w:val="0"/>
          <w:marRight w:val="0"/>
          <w:marTop w:val="0"/>
          <w:marBottom w:val="0"/>
          <w:divBdr>
            <w:top w:val="none" w:sz="0" w:space="0" w:color="auto"/>
            <w:left w:val="none" w:sz="0" w:space="0" w:color="auto"/>
            <w:bottom w:val="none" w:sz="0" w:space="0" w:color="auto"/>
            <w:right w:val="none" w:sz="0" w:space="0" w:color="auto"/>
          </w:divBdr>
        </w:div>
        <w:div w:id="1741906207">
          <w:marLeft w:val="0"/>
          <w:marRight w:val="0"/>
          <w:marTop w:val="0"/>
          <w:marBottom w:val="0"/>
          <w:divBdr>
            <w:top w:val="none" w:sz="0" w:space="0" w:color="auto"/>
            <w:left w:val="none" w:sz="0" w:space="0" w:color="auto"/>
            <w:bottom w:val="none" w:sz="0" w:space="0" w:color="auto"/>
            <w:right w:val="none" w:sz="0" w:space="0" w:color="auto"/>
          </w:divBdr>
        </w:div>
        <w:div w:id="7485989">
          <w:marLeft w:val="0"/>
          <w:marRight w:val="0"/>
          <w:marTop w:val="0"/>
          <w:marBottom w:val="0"/>
          <w:divBdr>
            <w:top w:val="none" w:sz="0" w:space="0" w:color="auto"/>
            <w:left w:val="none" w:sz="0" w:space="0" w:color="auto"/>
            <w:bottom w:val="none" w:sz="0" w:space="0" w:color="auto"/>
            <w:right w:val="none" w:sz="0" w:space="0" w:color="auto"/>
          </w:divBdr>
        </w:div>
        <w:div w:id="1143497603">
          <w:marLeft w:val="0"/>
          <w:marRight w:val="0"/>
          <w:marTop w:val="0"/>
          <w:marBottom w:val="0"/>
          <w:divBdr>
            <w:top w:val="none" w:sz="0" w:space="0" w:color="auto"/>
            <w:left w:val="none" w:sz="0" w:space="0" w:color="auto"/>
            <w:bottom w:val="none" w:sz="0" w:space="0" w:color="auto"/>
            <w:right w:val="none" w:sz="0" w:space="0" w:color="auto"/>
          </w:divBdr>
        </w:div>
        <w:div w:id="849608888">
          <w:marLeft w:val="0"/>
          <w:marRight w:val="0"/>
          <w:marTop w:val="0"/>
          <w:marBottom w:val="0"/>
          <w:divBdr>
            <w:top w:val="none" w:sz="0" w:space="0" w:color="auto"/>
            <w:left w:val="none" w:sz="0" w:space="0" w:color="auto"/>
            <w:bottom w:val="none" w:sz="0" w:space="0" w:color="auto"/>
            <w:right w:val="none" w:sz="0" w:space="0" w:color="auto"/>
          </w:divBdr>
        </w:div>
        <w:div w:id="714621159">
          <w:marLeft w:val="0"/>
          <w:marRight w:val="0"/>
          <w:marTop w:val="0"/>
          <w:marBottom w:val="0"/>
          <w:divBdr>
            <w:top w:val="none" w:sz="0" w:space="0" w:color="auto"/>
            <w:left w:val="none" w:sz="0" w:space="0" w:color="auto"/>
            <w:bottom w:val="none" w:sz="0" w:space="0" w:color="auto"/>
            <w:right w:val="none" w:sz="0" w:space="0" w:color="auto"/>
          </w:divBdr>
        </w:div>
        <w:div w:id="1894804575">
          <w:marLeft w:val="0"/>
          <w:marRight w:val="0"/>
          <w:marTop w:val="0"/>
          <w:marBottom w:val="0"/>
          <w:divBdr>
            <w:top w:val="none" w:sz="0" w:space="0" w:color="auto"/>
            <w:left w:val="none" w:sz="0" w:space="0" w:color="auto"/>
            <w:bottom w:val="none" w:sz="0" w:space="0" w:color="auto"/>
            <w:right w:val="none" w:sz="0" w:space="0" w:color="auto"/>
          </w:divBdr>
        </w:div>
        <w:div w:id="602499444">
          <w:marLeft w:val="0"/>
          <w:marRight w:val="0"/>
          <w:marTop w:val="0"/>
          <w:marBottom w:val="0"/>
          <w:divBdr>
            <w:top w:val="none" w:sz="0" w:space="0" w:color="auto"/>
            <w:left w:val="none" w:sz="0" w:space="0" w:color="auto"/>
            <w:bottom w:val="none" w:sz="0" w:space="0" w:color="auto"/>
            <w:right w:val="none" w:sz="0" w:space="0" w:color="auto"/>
          </w:divBdr>
        </w:div>
        <w:div w:id="772481590">
          <w:marLeft w:val="0"/>
          <w:marRight w:val="0"/>
          <w:marTop w:val="0"/>
          <w:marBottom w:val="0"/>
          <w:divBdr>
            <w:top w:val="none" w:sz="0" w:space="0" w:color="auto"/>
            <w:left w:val="none" w:sz="0" w:space="0" w:color="auto"/>
            <w:bottom w:val="none" w:sz="0" w:space="0" w:color="auto"/>
            <w:right w:val="none" w:sz="0" w:space="0" w:color="auto"/>
          </w:divBdr>
        </w:div>
        <w:div w:id="293678117">
          <w:marLeft w:val="0"/>
          <w:marRight w:val="0"/>
          <w:marTop w:val="0"/>
          <w:marBottom w:val="0"/>
          <w:divBdr>
            <w:top w:val="none" w:sz="0" w:space="0" w:color="auto"/>
            <w:left w:val="none" w:sz="0" w:space="0" w:color="auto"/>
            <w:bottom w:val="none" w:sz="0" w:space="0" w:color="auto"/>
            <w:right w:val="none" w:sz="0" w:space="0" w:color="auto"/>
          </w:divBdr>
        </w:div>
        <w:div w:id="591819480">
          <w:marLeft w:val="0"/>
          <w:marRight w:val="0"/>
          <w:marTop w:val="0"/>
          <w:marBottom w:val="0"/>
          <w:divBdr>
            <w:top w:val="none" w:sz="0" w:space="0" w:color="auto"/>
            <w:left w:val="none" w:sz="0" w:space="0" w:color="auto"/>
            <w:bottom w:val="none" w:sz="0" w:space="0" w:color="auto"/>
            <w:right w:val="none" w:sz="0" w:space="0" w:color="auto"/>
          </w:divBdr>
        </w:div>
        <w:div w:id="1957786020">
          <w:marLeft w:val="0"/>
          <w:marRight w:val="0"/>
          <w:marTop w:val="0"/>
          <w:marBottom w:val="0"/>
          <w:divBdr>
            <w:top w:val="none" w:sz="0" w:space="0" w:color="auto"/>
            <w:left w:val="none" w:sz="0" w:space="0" w:color="auto"/>
            <w:bottom w:val="none" w:sz="0" w:space="0" w:color="auto"/>
            <w:right w:val="none" w:sz="0" w:space="0" w:color="auto"/>
          </w:divBdr>
        </w:div>
        <w:div w:id="1334913672">
          <w:marLeft w:val="0"/>
          <w:marRight w:val="0"/>
          <w:marTop w:val="0"/>
          <w:marBottom w:val="0"/>
          <w:divBdr>
            <w:top w:val="none" w:sz="0" w:space="0" w:color="auto"/>
            <w:left w:val="none" w:sz="0" w:space="0" w:color="auto"/>
            <w:bottom w:val="none" w:sz="0" w:space="0" w:color="auto"/>
            <w:right w:val="none" w:sz="0" w:space="0" w:color="auto"/>
          </w:divBdr>
        </w:div>
        <w:div w:id="798229222">
          <w:marLeft w:val="0"/>
          <w:marRight w:val="0"/>
          <w:marTop w:val="0"/>
          <w:marBottom w:val="0"/>
          <w:divBdr>
            <w:top w:val="none" w:sz="0" w:space="0" w:color="auto"/>
            <w:left w:val="none" w:sz="0" w:space="0" w:color="auto"/>
            <w:bottom w:val="none" w:sz="0" w:space="0" w:color="auto"/>
            <w:right w:val="none" w:sz="0" w:space="0" w:color="auto"/>
          </w:divBdr>
        </w:div>
        <w:div w:id="831986663">
          <w:marLeft w:val="0"/>
          <w:marRight w:val="0"/>
          <w:marTop w:val="0"/>
          <w:marBottom w:val="0"/>
          <w:divBdr>
            <w:top w:val="none" w:sz="0" w:space="0" w:color="auto"/>
            <w:left w:val="none" w:sz="0" w:space="0" w:color="auto"/>
            <w:bottom w:val="none" w:sz="0" w:space="0" w:color="auto"/>
            <w:right w:val="none" w:sz="0" w:space="0" w:color="auto"/>
          </w:divBdr>
        </w:div>
        <w:div w:id="2034501550">
          <w:marLeft w:val="0"/>
          <w:marRight w:val="0"/>
          <w:marTop w:val="0"/>
          <w:marBottom w:val="0"/>
          <w:divBdr>
            <w:top w:val="none" w:sz="0" w:space="0" w:color="auto"/>
            <w:left w:val="none" w:sz="0" w:space="0" w:color="auto"/>
            <w:bottom w:val="none" w:sz="0" w:space="0" w:color="auto"/>
            <w:right w:val="none" w:sz="0" w:space="0" w:color="auto"/>
          </w:divBdr>
        </w:div>
        <w:div w:id="521940394">
          <w:marLeft w:val="0"/>
          <w:marRight w:val="0"/>
          <w:marTop w:val="0"/>
          <w:marBottom w:val="0"/>
          <w:divBdr>
            <w:top w:val="none" w:sz="0" w:space="0" w:color="auto"/>
            <w:left w:val="none" w:sz="0" w:space="0" w:color="auto"/>
            <w:bottom w:val="none" w:sz="0" w:space="0" w:color="auto"/>
            <w:right w:val="none" w:sz="0" w:space="0" w:color="auto"/>
          </w:divBdr>
        </w:div>
        <w:div w:id="1730810600">
          <w:marLeft w:val="0"/>
          <w:marRight w:val="0"/>
          <w:marTop w:val="0"/>
          <w:marBottom w:val="0"/>
          <w:divBdr>
            <w:top w:val="none" w:sz="0" w:space="0" w:color="auto"/>
            <w:left w:val="none" w:sz="0" w:space="0" w:color="auto"/>
            <w:bottom w:val="none" w:sz="0" w:space="0" w:color="auto"/>
            <w:right w:val="none" w:sz="0" w:space="0" w:color="auto"/>
          </w:divBdr>
        </w:div>
        <w:div w:id="1335693015">
          <w:marLeft w:val="0"/>
          <w:marRight w:val="0"/>
          <w:marTop w:val="0"/>
          <w:marBottom w:val="0"/>
          <w:divBdr>
            <w:top w:val="none" w:sz="0" w:space="0" w:color="auto"/>
            <w:left w:val="none" w:sz="0" w:space="0" w:color="auto"/>
            <w:bottom w:val="none" w:sz="0" w:space="0" w:color="auto"/>
            <w:right w:val="none" w:sz="0" w:space="0" w:color="auto"/>
          </w:divBdr>
        </w:div>
        <w:div w:id="1421634213">
          <w:marLeft w:val="0"/>
          <w:marRight w:val="0"/>
          <w:marTop w:val="0"/>
          <w:marBottom w:val="0"/>
          <w:divBdr>
            <w:top w:val="none" w:sz="0" w:space="0" w:color="auto"/>
            <w:left w:val="none" w:sz="0" w:space="0" w:color="auto"/>
            <w:bottom w:val="none" w:sz="0" w:space="0" w:color="auto"/>
            <w:right w:val="none" w:sz="0" w:space="0" w:color="auto"/>
          </w:divBdr>
        </w:div>
        <w:div w:id="1432623704">
          <w:marLeft w:val="0"/>
          <w:marRight w:val="0"/>
          <w:marTop w:val="0"/>
          <w:marBottom w:val="0"/>
          <w:divBdr>
            <w:top w:val="none" w:sz="0" w:space="0" w:color="auto"/>
            <w:left w:val="none" w:sz="0" w:space="0" w:color="auto"/>
            <w:bottom w:val="none" w:sz="0" w:space="0" w:color="auto"/>
            <w:right w:val="none" w:sz="0" w:space="0" w:color="auto"/>
          </w:divBdr>
        </w:div>
        <w:div w:id="858203757">
          <w:marLeft w:val="0"/>
          <w:marRight w:val="0"/>
          <w:marTop w:val="0"/>
          <w:marBottom w:val="0"/>
          <w:divBdr>
            <w:top w:val="none" w:sz="0" w:space="0" w:color="auto"/>
            <w:left w:val="none" w:sz="0" w:space="0" w:color="auto"/>
            <w:bottom w:val="none" w:sz="0" w:space="0" w:color="auto"/>
            <w:right w:val="none" w:sz="0" w:space="0" w:color="auto"/>
          </w:divBdr>
        </w:div>
        <w:div w:id="1204253037">
          <w:marLeft w:val="0"/>
          <w:marRight w:val="0"/>
          <w:marTop w:val="0"/>
          <w:marBottom w:val="0"/>
          <w:divBdr>
            <w:top w:val="none" w:sz="0" w:space="0" w:color="auto"/>
            <w:left w:val="none" w:sz="0" w:space="0" w:color="auto"/>
            <w:bottom w:val="none" w:sz="0" w:space="0" w:color="auto"/>
            <w:right w:val="none" w:sz="0" w:space="0" w:color="auto"/>
          </w:divBdr>
        </w:div>
        <w:div w:id="2039574334">
          <w:marLeft w:val="0"/>
          <w:marRight w:val="0"/>
          <w:marTop w:val="0"/>
          <w:marBottom w:val="0"/>
          <w:divBdr>
            <w:top w:val="none" w:sz="0" w:space="0" w:color="auto"/>
            <w:left w:val="none" w:sz="0" w:space="0" w:color="auto"/>
            <w:bottom w:val="none" w:sz="0" w:space="0" w:color="auto"/>
            <w:right w:val="none" w:sz="0" w:space="0" w:color="auto"/>
          </w:divBdr>
        </w:div>
        <w:div w:id="875389465">
          <w:marLeft w:val="0"/>
          <w:marRight w:val="0"/>
          <w:marTop w:val="0"/>
          <w:marBottom w:val="0"/>
          <w:divBdr>
            <w:top w:val="none" w:sz="0" w:space="0" w:color="auto"/>
            <w:left w:val="none" w:sz="0" w:space="0" w:color="auto"/>
            <w:bottom w:val="none" w:sz="0" w:space="0" w:color="auto"/>
            <w:right w:val="none" w:sz="0" w:space="0" w:color="auto"/>
          </w:divBdr>
        </w:div>
        <w:div w:id="240258160">
          <w:marLeft w:val="0"/>
          <w:marRight w:val="0"/>
          <w:marTop w:val="0"/>
          <w:marBottom w:val="0"/>
          <w:divBdr>
            <w:top w:val="none" w:sz="0" w:space="0" w:color="auto"/>
            <w:left w:val="none" w:sz="0" w:space="0" w:color="auto"/>
            <w:bottom w:val="none" w:sz="0" w:space="0" w:color="auto"/>
            <w:right w:val="none" w:sz="0" w:space="0" w:color="auto"/>
          </w:divBdr>
        </w:div>
        <w:div w:id="505292530">
          <w:marLeft w:val="0"/>
          <w:marRight w:val="0"/>
          <w:marTop w:val="0"/>
          <w:marBottom w:val="0"/>
          <w:divBdr>
            <w:top w:val="none" w:sz="0" w:space="0" w:color="auto"/>
            <w:left w:val="none" w:sz="0" w:space="0" w:color="auto"/>
            <w:bottom w:val="none" w:sz="0" w:space="0" w:color="auto"/>
            <w:right w:val="none" w:sz="0" w:space="0" w:color="auto"/>
          </w:divBdr>
        </w:div>
        <w:div w:id="513111975">
          <w:marLeft w:val="0"/>
          <w:marRight w:val="0"/>
          <w:marTop w:val="0"/>
          <w:marBottom w:val="0"/>
          <w:divBdr>
            <w:top w:val="none" w:sz="0" w:space="0" w:color="auto"/>
            <w:left w:val="none" w:sz="0" w:space="0" w:color="auto"/>
            <w:bottom w:val="none" w:sz="0" w:space="0" w:color="auto"/>
            <w:right w:val="none" w:sz="0" w:space="0" w:color="auto"/>
          </w:divBdr>
        </w:div>
        <w:div w:id="1588734892">
          <w:marLeft w:val="0"/>
          <w:marRight w:val="0"/>
          <w:marTop w:val="0"/>
          <w:marBottom w:val="0"/>
          <w:divBdr>
            <w:top w:val="none" w:sz="0" w:space="0" w:color="auto"/>
            <w:left w:val="none" w:sz="0" w:space="0" w:color="auto"/>
            <w:bottom w:val="none" w:sz="0" w:space="0" w:color="auto"/>
            <w:right w:val="none" w:sz="0" w:space="0" w:color="auto"/>
          </w:divBdr>
        </w:div>
        <w:div w:id="71239425">
          <w:marLeft w:val="0"/>
          <w:marRight w:val="0"/>
          <w:marTop w:val="0"/>
          <w:marBottom w:val="0"/>
          <w:divBdr>
            <w:top w:val="none" w:sz="0" w:space="0" w:color="auto"/>
            <w:left w:val="none" w:sz="0" w:space="0" w:color="auto"/>
            <w:bottom w:val="none" w:sz="0" w:space="0" w:color="auto"/>
            <w:right w:val="none" w:sz="0" w:space="0" w:color="auto"/>
          </w:divBdr>
        </w:div>
        <w:div w:id="1265530345">
          <w:marLeft w:val="0"/>
          <w:marRight w:val="0"/>
          <w:marTop w:val="0"/>
          <w:marBottom w:val="0"/>
          <w:divBdr>
            <w:top w:val="none" w:sz="0" w:space="0" w:color="auto"/>
            <w:left w:val="none" w:sz="0" w:space="0" w:color="auto"/>
            <w:bottom w:val="none" w:sz="0" w:space="0" w:color="auto"/>
            <w:right w:val="none" w:sz="0" w:space="0" w:color="auto"/>
          </w:divBdr>
        </w:div>
        <w:div w:id="275454022">
          <w:marLeft w:val="0"/>
          <w:marRight w:val="0"/>
          <w:marTop w:val="0"/>
          <w:marBottom w:val="0"/>
          <w:divBdr>
            <w:top w:val="none" w:sz="0" w:space="0" w:color="auto"/>
            <w:left w:val="none" w:sz="0" w:space="0" w:color="auto"/>
            <w:bottom w:val="none" w:sz="0" w:space="0" w:color="auto"/>
            <w:right w:val="none" w:sz="0" w:space="0" w:color="auto"/>
          </w:divBdr>
        </w:div>
        <w:div w:id="1253734847">
          <w:marLeft w:val="0"/>
          <w:marRight w:val="0"/>
          <w:marTop w:val="0"/>
          <w:marBottom w:val="0"/>
          <w:divBdr>
            <w:top w:val="none" w:sz="0" w:space="0" w:color="auto"/>
            <w:left w:val="none" w:sz="0" w:space="0" w:color="auto"/>
            <w:bottom w:val="none" w:sz="0" w:space="0" w:color="auto"/>
            <w:right w:val="none" w:sz="0" w:space="0" w:color="auto"/>
          </w:divBdr>
        </w:div>
        <w:div w:id="1000887671">
          <w:marLeft w:val="0"/>
          <w:marRight w:val="0"/>
          <w:marTop w:val="0"/>
          <w:marBottom w:val="0"/>
          <w:divBdr>
            <w:top w:val="none" w:sz="0" w:space="0" w:color="auto"/>
            <w:left w:val="none" w:sz="0" w:space="0" w:color="auto"/>
            <w:bottom w:val="none" w:sz="0" w:space="0" w:color="auto"/>
            <w:right w:val="none" w:sz="0" w:space="0" w:color="auto"/>
          </w:divBdr>
        </w:div>
        <w:div w:id="1175457421">
          <w:marLeft w:val="0"/>
          <w:marRight w:val="0"/>
          <w:marTop w:val="0"/>
          <w:marBottom w:val="0"/>
          <w:divBdr>
            <w:top w:val="none" w:sz="0" w:space="0" w:color="auto"/>
            <w:left w:val="none" w:sz="0" w:space="0" w:color="auto"/>
            <w:bottom w:val="none" w:sz="0" w:space="0" w:color="auto"/>
            <w:right w:val="none" w:sz="0" w:space="0" w:color="auto"/>
          </w:divBdr>
        </w:div>
        <w:div w:id="975373735">
          <w:marLeft w:val="0"/>
          <w:marRight w:val="0"/>
          <w:marTop w:val="0"/>
          <w:marBottom w:val="0"/>
          <w:divBdr>
            <w:top w:val="none" w:sz="0" w:space="0" w:color="auto"/>
            <w:left w:val="none" w:sz="0" w:space="0" w:color="auto"/>
            <w:bottom w:val="none" w:sz="0" w:space="0" w:color="auto"/>
            <w:right w:val="none" w:sz="0" w:space="0" w:color="auto"/>
          </w:divBdr>
        </w:div>
        <w:div w:id="1440904834">
          <w:marLeft w:val="0"/>
          <w:marRight w:val="0"/>
          <w:marTop w:val="0"/>
          <w:marBottom w:val="0"/>
          <w:divBdr>
            <w:top w:val="none" w:sz="0" w:space="0" w:color="auto"/>
            <w:left w:val="none" w:sz="0" w:space="0" w:color="auto"/>
            <w:bottom w:val="none" w:sz="0" w:space="0" w:color="auto"/>
            <w:right w:val="none" w:sz="0" w:space="0" w:color="auto"/>
          </w:divBdr>
        </w:div>
        <w:div w:id="2117753749">
          <w:marLeft w:val="0"/>
          <w:marRight w:val="0"/>
          <w:marTop w:val="0"/>
          <w:marBottom w:val="0"/>
          <w:divBdr>
            <w:top w:val="none" w:sz="0" w:space="0" w:color="auto"/>
            <w:left w:val="none" w:sz="0" w:space="0" w:color="auto"/>
            <w:bottom w:val="none" w:sz="0" w:space="0" w:color="auto"/>
            <w:right w:val="none" w:sz="0" w:space="0" w:color="auto"/>
          </w:divBdr>
        </w:div>
        <w:div w:id="337974026">
          <w:marLeft w:val="0"/>
          <w:marRight w:val="0"/>
          <w:marTop w:val="0"/>
          <w:marBottom w:val="0"/>
          <w:divBdr>
            <w:top w:val="none" w:sz="0" w:space="0" w:color="auto"/>
            <w:left w:val="none" w:sz="0" w:space="0" w:color="auto"/>
            <w:bottom w:val="none" w:sz="0" w:space="0" w:color="auto"/>
            <w:right w:val="none" w:sz="0" w:space="0" w:color="auto"/>
          </w:divBdr>
        </w:div>
        <w:div w:id="1864857034">
          <w:marLeft w:val="0"/>
          <w:marRight w:val="0"/>
          <w:marTop w:val="0"/>
          <w:marBottom w:val="0"/>
          <w:divBdr>
            <w:top w:val="none" w:sz="0" w:space="0" w:color="auto"/>
            <w:left w:val="none" w:sz="0" w:space="0" w:color="auto"/>
            <w:bottom w:val="none" w:sz="0" w:space="0" w:color="auto"/>
            <w:right w:val="none" w:sz="0" w:space="0" w:color="auto"/>
          </w:divBdr>
        </w:div>
        <w:div w:id="1856263047">
          <w:marLeft w:val="0"/>
          <w:marRight w:val="0"/>
          <w:marTop w:val="0"/>
          <w:marBottom w:val="0"/>
          <w:divBdr>
            <w:top w:val="none" w:sz="0" w:space="0" w:color="auto"/>
            <w:left w:val="none" w:sz="0" w:space="0" w:color="auto"/>
            <w:bottom w:val="none" w:sz="0" w:space="0" w:color="auto"/>
            <w:right w:val="none" w:sz="0" w:space="0" w:color="auto"/>
          </w:divBdr>
        </w:div>
        <w:div w:id="217013995">
          <w:marLeft w:val="0"/>
          <w:marRight w:val="0"/>
          <w:marTop w:val="0"/>
          <w:marBottom w:val="0"/>
          <w:divBdr>
            <w:top w:val="none" w:sz="0" w:space="0" w:color="auto"/>
            <w:left w:val="none" w:sz="0" w:space="0" w:color="auto"/>
            <w:bottom w:val="none" w:sz="0" w:space="0" w:color="auto"/>
            <w:right w:val="none" w:sz="0" w:space="0" w:color="auto"/>
          </w:divBdr>
        </w:div>
        <w:div w:id="2126539802">
          <w:marLeft w:val="0"/>
          <w:marRight w:val="0"/>
          <w:marTop w:val="0"/>
          <w:marBottom w:val="0"/>
          <w:divBdr>
            <w:top w:val="none" w:sz="0" w:space="0" w:color="auto"/>
            <w:left w:val="none" w:sz="0" w:space="0" w:color="auto"/>
            <w:bottom w:val="none" w:sz="0" w:space="0" w:color="auto"/>
            <w:right w:val="none" w:sz="0" w:space="0" w:color="auto"/>
          </w:divBdr>
        </w:div>
        <w:div w:id="1421952313">
          <w:marLeft w:val="0"/>
          <w:marRight w:val="0"/>
          <w:marTop w:val="0"/>
          <w:marBottom w:val="0"/>
          <w:divBdr>
            <w:top w:val="none" w:sz="0" w:space="0" w:color="auto"/>
            <w:left w:val="none" w:sz="0" w:space="0" w:color="auto"/>
            <w:bottom w:val="none" w:sz="0" w:space="0" w:color="auto"/>
            <w:right w:val="none" w:sz="0" w:space="0" w:color="auto"/>
          </w:divBdr>
        </w:div>
        <w:div w:id="642076399">
          <w:marLeft w:val="0"/>
          <w:marRight w:val="0"/>
          <w:marTop w:val="0"/>
          <w:marBottom w:val="0"/>
          <w:divBdr>
            <w:top w:val="none" w:sz="0" w:space="0" w:color="auto"/>
            <w:left w:val="none" w:sz="0" w:space="0" w:color="auto"/>
            <w:bottom w:val="none" w:sz="0" w:space="0" w:color="auto"/>
            <w:right w:val="none" w:sz="0" w:space="0" w:color="auto"/>
          </w:divBdr>
        </w:div>
        <w:div w:id="1425301944">
          <w:marLeft w:val="0"/>
          <w:marRight w:val="0"/>
          <w:marTop w:val="0"/>
          <w:marBottom w:val="0"/>
          <w:divBdr>
            <w:top w:val="none" w:sz="0" w:space="0" w:color="auto"/>
            <w:left w:val="none" w:sz="0" w:space="0" w:color="auto"/>
            <w:bottom w:val="none" w:sz="0" w:space="0" w:color="auto"/>
            <w:right w:val="none" w:sz="0" w:space="0" w:color="auto"/>
          </w:divBdr>
        </w:div>
        <w:div w:id="2099600140">
          <w:marLeft w:val="0"/>
          <w:marRight w:val="0"/>
          <w:marTop w:val="0"/>
          <w:marBottom w:val="0"/>
          <w:divBdr>
            <w:top w:val="none" w:sz="0" w:space="0" w:color="auto"/>
            <w:left w:val="none" w:sz="0" w:space="0" w:color="auto"/>
            <w:bottom w:val="none" w:sz="0" w:space="0" w:color="auto"/>
            <w:right w:val="none" w:sz="0" w:space="0" w:color="auto"/>
          </w:divBdr>
        </w:div>
        <w:div w:id="1979141404">
          <w:marLeft w:val="0"/>
          <w:marRight w:val="0"/>
          <w:marTop w:val="0"/>
          <w:marBottom w:val="0"/>
          <w:divBdr>
            <w:top w:val="none" w:sz="0" w:space="0" w:color="auto"/>
            <w:left w:val="none" w:sz="0" w:space="0" w:color="auto"/>
            <w:bottom w:val="none" w:sz="0" w:space="0" w:color="auto"/>
            <w:right w:val="none" w:sz="0" w:space="0" w:color="auto"/>
          </w:divBdr>
        </w:div>
        <w:div w:id="1555847854">
          <w:marLeft w:val="0"/>
          <w:marRight w:val="0"/>
          <w:marTop w:val="0"/>
          <w:marBottom w:val="0"/>
          <w:divBdr>
            <w:top w:val="none" w:sz="0" w:space="0" w:color="auto"/>
            <w:left w:val="none" w:sz="0" w:space="0" w:color="auto"/>
            <w:bottom w:val="none" w:sz="0" w:space="0" w:color="auto"/>
            <w:right w:val="none" w:sz="0" w:space="0" w:color="auto"/>
          </w:divBdr>
        </w:div>
        <w:div w:id="1571383710">
          <w:marLeft w:val="0"/>
          <w:marRight w:val="0"/>
          <w:marTop w:val="0"/>
          <w:marBottom w:val="0"/>
          <w:divBdr>
            <w:top w:val="none" w:sz="0" w:space="0" w:color="auto"/>
            <w:left w:val="none" w:sz="0" w:space="0" w:color="auto"/>
            <w:bottom w:val="none" w:sz="0" w:space="0" w:color="auto"/>
            <w:right w:val="none" w:sz="0" w:space="0" w:color="auto"/>
          </w:divBdr>
        </w:div>
        <w:div w:id="86773022">
          <w:marLeft w:val="0"/>
          <w:marRight w:val="0"/>
          <w:marTop w:val="0"/>
          <w:marBottom w:val="0"/>
          <w:divBdr>
            <w:top w:val="none" w:sz="0" w:space="0" w:color="auto"/>
            <w:left w:val="none" w:sz="0" w:space="0" w:color="auto"/>
            <w:bottom w:val="none" w:sz="0" w:space="0" w:color="auto"/>
            <w:right w:val="none" w:sz="0" w:space="0" w:color="auto"/>
          </w:divBdr>
        </w:div>
        <w:div w:id="1220901074">
          <w:marLeft w:val="0"/>
          <w:marRight w:val="0"/>
          <w:marTop w:val="0"/>
          <w:marBottom w:val="0"/>
          <w:divBdr>
            <w:top w:val="none" w:sz="0" w:space="0" w:color="auto"/>
            <w:left w:val="none" w:sz="0" w:space="0" w:color="auto"/>
            <w:bottom w:val="none" w:sz="0" w:space="0" w:color="auto"/>
            <w:right w:val="none" w:sz="0" w:space="0" w:color="auto"/>
          </w:divBdr>
        </w:div>
        <w:div w:id="1137643123">
          <w:marLeft w:val="0"/>
          <w:marRight w:val="0"/>
          <w:marTop w:val="0"/>
          <w:marBottom w:val="0"/>
          <w:divBdr>
            <w:top w:val="none" w:sz="0" w:space="0" w:color="auto"/>
            <w:left w:val="none" w:sz="0" w:space="0" w:color="auto"/>
            <w:bottom w:val="none" w:sz="0" w:space="0" w:color="auto"/>
            <w:right w:val="none" w:sz="0" w:space="0" w:color="auto"/>
          </w:divBdr>
        </w:div>
        <w:div w:id="1783767524">
          <w:marLeft w:val="0"/>
          <w:marRight w:val="0"/>
          <w:marTop w:val="0"/>
          <w:marBottom w:val="0"/>
          <w:divBdr>
            <w:top w:val="none" w:sz="0" w:space="0" w:color="auto"/>
            <w:left w:val="none" w:sz="0" w:space="0" w:color="auto"/>
            <w:bottom w:val="none" w:sz="0" w:space="0" w:color="auto"/>
            <w:right w:val="none" w:sz="0" w:space="0" w:color="auto"/>
          </w:divBdr>
        </w:div>
        <w:div w:id="1231497792">
          <w:marLeft w:val="0"/>
          <w:marRight w:val="0"/>
          <w:marTop w:val="0"/>
          <w:marBottom w:val="0"/>
          <w:divBdr>
            <w:top w:val="none" w:sz="0" w:space="0" w:color="auto"/>
            <w:left w:val="none" w:sz="0" w:space="0" w:color="auto"/>
            <w:bottom w:val="none" w:sz="0" w:space="0" w:color="auto"/>
            <w:right w:val="none" w:sz="0" w:space="0" w:color="auto"/>
          </w:divBdr>
        </w:div>
        <w:div w:id="1867984339">
          <w:marLeft w:val="0"/>
          <w:marRight w:val="0"/>
          <w:marTop w:val="0"/>
          <w:marBottom w:val="0"/>
          <w:divBdr>
            <w:top w:val="none" w:sz="0" w:space="0" w:color="auto"/>
            <w:left w:val="none" w:sz="0" w:space="0" w:color="auto"/>
            <w:bottom w:val="none" w:sz="0" w:space="0" w:color="auto"/>
            <w:right w:val="none" w:sz="0" w:space="0" w:color="auto"/>
          </w:divBdr>
        </w:div>
        <w:div w:id="194656696">
          <w:marLeft w:val="0"/>
          <w:marRight w:val="0"/>
          <w:marTop w:val="0"/>
          <w:marBottom w:val="0"/>
          <w:divBdr>
            <w:top w:val="none" w:sz="0" w:space="0" w:color="auto"/>
            <w:left w:val="none" w:sz="0" w:space="0" w:color="auto"/>
            <w:bottom w:val="none" w:sz="0" w:space="0" w:color="auto"/>
            <w:right w:val="none" w:sz="0" w:space="0" w:color="auto"/>
          </w:divBdr>
        </w:div>
        <w:div w:id="1784572524">
          <w:marLeft w:val="0"/>
          <w:marRight w:val="0"/>
          <w:marTop w:val="0"/>
          <w:marBottom w:val="0"/>
          <w:divBdr>
            <w:top w:val="none" w:sz="0" w:space="0" w:color="auto"/>
            <w:left w:val="none" w:sz="0" w:space="0" w:color="auto"/>
            <w:bottom w:val="none" w:sz="0" w:space="0" w:color="auto"/>
            <w:right w:val="none" w:sz="0" w:space="0" w:color="auto"/>
          </w:divBdr>
        </w:div>
        <w:div w:id="1472405950">
          <w:marLeft w:val="0"/>
          <w:marRight w:val="0"/>
          <w:marTop w:val="0"/>
          <w:marBottom w:val="0"/>
          <w:divBdr>
            <w:top w:val="none" w:sz="0" w:space="0" w:color="auto"/>
            <w:left w:val="none" w:sz="0" w:space="0" w:color="auto"/>
            <w:bottom w:val="none" w:sz="0" w:space="0" w:color="auto"/>
            <w:right w:val="none" w:sz="0" w:space="0" w:color="auto"/>
          </w:divBdr>
        </w:div>
        <w:div w:id="351302961">
          <w:marLeft w:val="0"/>
          <w:marRight w:val="0"/>
          <w:marTop w:val="0"/>
          <w:marBottom w:val="0"/>
          <w:divBdr>
            <w:top w:val="none" w:sz="0" w:space="0" w:color="auto"/>
            <w:left w:val="none" w:sz="0" w:space="0" w:color="auto"/>
            <w:bottom w:val="none" w:sz="0" w:space="0" w:color="auto"/>
            <w:right w:val="none" w:sz="0" w:space="0" w:color="auto"/>
          </w:divBdr>
        </w:div>
        <w:div w:id="253634747">
          <w:marLeft w:val="0"/>
          <w:marRight w:val="0"/>
          <w:marTop w:val="0"/>
          <w:marBottom w:val="0"/>
          <w:divBdr>
            <w:top w:val="none" w:sz="0" w:space="0" w:color="auto"/>
            <w:left w:val="none" w:sz="0" w:space="0" w:color="auto"/>
            <w:bottom w:val="none" w:sz="0" w:space="0" w:color="auto"/>
            <w:right w:val="none" w:sz="0" w:space="0" w:color="auto"/>
          </w:divBdr>
        </w:div>
        <w:div w:id="794370813">
          <w:marLeft w:val="0"/>
          <w:marRight w:val="0"/>
          <w:marTop w:val="0"/>
          <w:marBottom w:val="0"/>
          <w:divBdr>
            <w:top w:val="none" w:sz="0" w:space="0" w:color="auto"/>
            <w:left w:val="none" w:sz="0" w:space="0" w:color="auto"/>
            <w:bottom w:val="none" w:sz="0" w:space="0" w:color="auto"/>
            <w:right w:val="none" w:sz="0" w:space="0" w:color="auto"/>
          </w:divBdr>
        </w:div>
        <w:div w:id="1570338822">
          <w:marLeft w:val="0"/>
          <w:marRight w:val="0"/>
          <w:marTop w:val="0"/>
          <w:marBottom w:val="0"/>
          <w:divBdr>
            <w:top w:val="none" w:sz="0" w:space="0" w:color="auto"/>
            <w:left w:val="none" w:sz="0" w:space="0" w:color="auto"/>
            <w:bottom w:val="none" w:sz="0" w:space="0" w:color="auto"/>
            <w:right w:val="none" w:sz="0" w:space="0" w:color="auto"/>
          </w:divBdr>
        </w:div>
        <w:div w:id="669722723">
          <w:marLeft w:val="0"/>
          <w:marRight w:val="0"/>
          <w:marTop w:val="0"/>
          <w:marBottom w:val="0"/>
          <w:divBdr>
            <w:top w:val="none" w:sz="0" w:space="0" w:color="auto"/>
            <w:left w:val="none" w:sz="0" w:space="0" w:color="auto"/>
            <w:bottom w:val="none" w:sz="0" w:space="0" w:color="auto"/>
            <w:right w:val="none" w:sz="0" w:space="0" w:color="auto"/>
          </w:divBdr>
        </w:div>
        <w:div w:id="1909537723">
          <w:marLeft w:val="0"/>
          <w:marRight w:val="0"/>
          <w:marTop w:val="0"/>
          <w:marBottom w:val="0"/>
          <w:divBdr>
            <w:top w:val="none" w:sz="0" w:space="0" w:color="auto"/>
            <w:left w:val="none" w:sz="0" w:space="0" w:color="auto"/>
            <w:bottom w:val="none" w:sz="0" w:space="0" w:color="auto"/>
            <w:right w:val="none" w:sz="0" w:space="0" w:color="auto"/>
          </w:divBdr>
        </w:div>
        <w:div w:id="454065494">
          <w:marLeft w:val="0"/>
          <w:marRight w:val="0"/>
          <w:marTop w:val="0"/>
          <w:marBottom w:val="0"/>
          <w:divBdr>
            <w:top w:val="none" w:sz="0" w:space="0" w:color="auto"/>
            <w:left w:val="none" w:sz="0" w:space="0" w:color="auto"/>
            <w:bottom w:val="none" w:sz="0" w:space="0" w:color="auto"/>
            <w:right w:val="none" w:sz="0" w:space="0" w:color="auto"/>
          </w:divBdr>
        </w:div>
        <w:div w:id="160972687">
          <w:marLeft w:val="0"/>
          <w:marRight w:val="0"/>
          <w:marTop w:val="0"/>
          <w:marBottom w:val="0"/>
          <w:divBdr>
            <w:top w:val="none" w:sz="0" w:space="0" w:color="auto"/>
            <w:left w:val="none" w:sz="0" w:space="0" w:color="auto"/>
            <w:bottom w:val="none" w:sz="0" w:space="0" w:color="auto"/>
            <w:right w:val="none" w:sz="0" w:space="0" w:color="auto"/>
          </w:divBdr>
        </w:div>
        <w:div w:id="1525829611">
          <w:marLeft w:val="0"/>
          <w:marRight w:val="0"/>
          <w:marTop w:val="0"/>
          <w:marBottom w:val="0"/>
          <w:divBdr>
            <w:top w:val="none" w:sz="0" w:space="0" w:color="auto"/>
            <w:left w:val="none" w:sz="0" w:space="0" w:color="auto"/>
            <w:bottom w:val="none" w:sz="0" w:space="0" w:color="auto"/>
            <w:right w:val="none" w:sz="0" w:space="0" w:color="auto"/>
          </w:divBdr>
        </w:div>
        <w:div w:id="477768103">
          <w:marLeft w:val="0"/>
          <w:marRight w:val="0"/>
          <w:marTop w:val="0"/>
          <w:marBottom w:val="0"/>
          <w:divBdr>
            <w:top w:val="none" w:sz="0" w:space="0" w:color="auto"/>
            <w:left w:val="none" w:sz="0" w:space="0" w:color="auto"/>
            <w:bottom w:val="none" w:sz="0" w:space="0" w:color="auto"/>
            <w:right w:val="none" w:sz="0" w:space="0" w:color="auto"/>
          </w:divBdr>
        </w:div>
        <w:div w:id="1926256494">
          <w:marLeft w:val="0"/>
          <w:marRight w:val="0"/>
          <w:marTop w:val="0"/>
          <w:marBottom w:val="0"/>
          <w:divBdr>
            <w:top w:val="none" w:sz="0" w:space="0" w:color="auto"/>
            <w:left w:val="none" w:sz="0" w:space="0" w:color="auto"/>
            <w:bottom w:val="none" w:sz="0" w:space="0" w:color="auto"/>
            <w:right w:val="none" w:sz="0" w:space="0" w:color="auto"/>
          </w:divBdr>
        </w:div>
        <w:div w:id="944309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image" Target="media/image19.png"/><Relationship Id="rId42" Type="http://schemas.openxmlformats.org/officeDocument/2006/relationships/diagramQuickStyle" Target="diagrams/quickStyle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javascript:open_links('600032,634826')"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chart" Target="charts/chart4.xml"/><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www.muredatabase.org" TargetMode="External"/><Relationship Id="rId37" Type="http://schemas.openxmlformats.org/officeDocument/2006/relationships/image" Target="media/image22.emf"/><Relationship Id="rId40" Type="http://schemas.openxmlformats.org/officeDocument/2006/relationships/diagramData" Target="diagrams/data1.xm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4"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diagramColors" Target="diagrams/colors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url?sa=t&amp;rct=j&amp;q=&amp;esrc=s&amp;source=web&amp;cd=1&amp;ved=2ahUKEwiJy-Kh_oLoAhXHw6YKHeVhCDUQFjAAegQIAhAB&amp;url=http%3A%2F%2Fwww.statistics.gr%2Fdocuments%2F20181%2Faa81f3c3-452e-170b-9753-1274858a6033&amp;usg=AOvVaw0OBK1Az_1eg8UbFyi81R3f" TargetMode="External"/><Relationship Id="rId3" Type="http://schemas.openxmlformats.org/officeDocument/2006/relationships/hyperlink" Target="http://iobe.gr/research_dtl.asp?RID=182" TargetMode="External"/><Relationship Id="rId7" Type="http://schemas.openxmlformats.org/officeDocument/2006/relationships/hyperlink" Target="https://www.bankofgreece.gr/RelatedDocuments/%CE%91%CE%BD%CE%AC%CE%BB%CF%85%CF%83%CE%B7_%CE%A7%CF%81%CE%B7%CE%BC%CE%B1%CF%84%CE%BF%CE%B4%CF%8C%CF%84%CE%B7%CF%83%CE%B7%CF%82_%CE%BA%CE%B1%CF%84%CE%BF%CE%AF%CE%BA%CF%89%CE%BD_%CE%B5%CF%83%CF%89%CF%84%CE%B5%CF%81%CE%B9%CE%BA%CE%BF%CF%8D_%CF%80%CE%BB%CE%B7%CE%BD_%CE%9D%CE%A7%CE%99_%CE%B1%CF%80%CF%8C_%CF%84%CE%B1_%CE%B5%CE%B3%CF%87%CF%8E%CF%81%CE%B9%CE%B1_%CE%9D%CE%A7%CE%99.xls" TargetMode="External"/><Relationship Id="rId2" Type="http://schemas.openxmlformats.org/officeDocument/2006/relationships/hyperlink" Target="http://ec.europa.eu/regional_policy/en/information/legislation/guidance/" TargetMode="External"/><Relationship Id="rId1" Type="http://schemas.openxmlformats.org/officeDocument/2006/relationships/hyperlink" Target="http://ec.europa.eu/regional_policy/el/information/legislation/guidance" TargetMode="External"/><Relationship Id="rId6" Type="http://schemas.openxmlformats.org/officeDocument/2006/relationships/hyperlink" Target="https://www.google.com/url?sa=t&amp;rct=j&amp;q=&amp;esrc=s&amp;source=web&amp;cd=1&amp;ved=2ahUKEwii8Pev5oLoAhWM_KQKHTVcBksQFjAAegQIAhAB&amp;url=https%3A%2F%2Fwww.statistics.gr%2Fdocuments%2F20181%2F7243815%2F%25CE%2588%25CF%2581%25CE%25B5%25CF%2585%25CE%25BD%25CE%25B1%2B%25CE%259F%25CE%25B9%25CE%25BA%25CE%25BF%25CE%25B3%25CE%25B5%25CE%25BD%25CE%25B5%25CE%25B9%25CE%25B1%25CE%25BA%25CF%258E%25CE%25BD%2B%25CE%25A0%25CF%2581%25CE%25BF%25CF%258B%25CF%2580%25CE%25BF%25CE%25BB%25CE%25BF%25CE%25B3%25CE%25B9%25CF%2583%25CE%25BC%25CF%258E%25CE%25BD%2B%2528%2B2018%2B%2529.pdf%2F8fbe7213-0a82-3aac-2380-44377cb0e01a%3Fversion%3D1.0%26t%3D1569833886264%26download%3Dtrue&amp;usg=AOvVaw0djlFLTNfeeo6suArq-y5u" TargetMode="External"/><Relationship Id="rId5" Type="http://schemas.openxmlformats.org/officeDocument/2006/relationships/hyperlink" Target="http://tinyurl.com/jzlrjap" TargetMode="External"/><Relationship Id="rId4" Type="http://schemas.openxmlformats.org/officeDocument/2006/relationships/hyperlink" Target="https://ec.europa.eu/energy/en/topics/energy-efficiency/energy-performance-of-buildings/factsheets-country-eu-buildings-2016-pdfs" TargetMode="External"/><Relationship Id="rId9"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138590&amp;_documents_WAR_publicationsportlet_INSTANCE_qDQ8fBKKo4lN_locale=e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utroukis\AppData\Local\Temp\&#913;&#957;&#940;&#955;&#965;&#963;&#951;_&#935;&#961;&#951;&#956;&#945;&#964;&#959;&#948;&#972;&#964;&#951;&#963;&#951;&#962;_&#954;&#945;&#964;&#959;&#943;&#954;&#969;&#957;_&#949;&#963;&#969;&#964;&#949;&#961;&#953;&#954;&#959;&#973;_&#960;&#955;&#951;&#957;_&#925;&#935;&#921;_&#945;&#960;&#972;_&#964;&#945;_&#949;&#947;&#967;&#974;&#961;&#953;&#945;_&#925;&#935;&#9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EXOIK_II\Copy%20of%20&#913;&#957;&#940;&#955;&#965;&#963;&#951;_&#935;&#961;&#951;&#956;&#945;&#964;&#959;&#948;&#972;&#964;&#951;&#963;&#951;&#962;_&#954;&#945;&#964;&#959;&#943;&#954;&#969;&#957;_&#949;&#963;&#969;&#964;&#949;&#961;&#953;&#954;&#959;&#973;_&#960;&#955;&#951;&#957;_&#925;&#935;&#921;_&#945;&#960;&#972;_&#964;&#945;_&#949;&#947;&#967;&#974;&#961;&#953;&#945;_&#925;&#935;&#921;.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utroukis\AppData\Local\Temp\epixeiriseis_mitrwou_eey_191129_1154.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Χρηματοδότηση</a:t>
            </a:r>
            <a:r>
              <a:rPr lang="en-US"/>
              <a:t> </a:t>
            </a:r>
            <a:r>
              <a:rPr lang="el-GR"/>
              <a:t>στεγαστικών</a:t>
            </a:r>
            <a:r>
              <a:rPr lang="el-GR" baseline="0"/>
              <a:t> δανείων </a:t>
            </a:r>
            <a:r>
              <a:rPr lang="el-GR"/>
              <a:t>από τα εγχώρια ΝΧΙ</a:t>
            </a:r>
            <a:endParaRPr lang="en-US"/>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[Ανάλυση_Χρηματοδότησης_κατοίκων_εσωτερικού_πλην_ΝΧΙ_από_τα_εγχώρια_ΝΧΙ.xls]Sheet1!$C$1:$HW$1</c:f>
              <c:numCache>
                <c:formatCode>mmm\-yy</c:formatCode>
                <c:ptCount val="22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numCache>
            </c:numRef>
          </c:cat>
          <c:val>
            <c:numRef>
              <c:f>[Ανάλυση_Χρηματοδότησης_κατοίκων_εσωτερικού_πλην_ΝΧΙ_από_τα_εγχώρια_ΝΧΙ.xls]Sheet1!$C$2:$HW$2</c:f>
              <c:numCache>
                <c:formatCode>#,##0</c:formatCode>
                <c:ptCount val="229"/>
                <c:pt idx="0">
                  <c:v>11428</c:v>
                </c:pt>
                <c:pt idx="1">
                  <c:v>11658</c:v>
                </c:pt>
                <c:pt idx="2">
                  <c:v>11949</c:v>
                </c:pt>
                <c:pt idx="3">
                  <c:v>12208</c:v>
                </c:pt>
                <c:pt idx="4">
                  <c:v>12632</c:v>
                </c:pt>
                <c:pt idx="5">
                  <c:v>12929</c:v>
                </c:pt>
                <c:pt idx="6">
                  <c:v>13408</c:v>
                </c:pt>
                <c:pt idx="7">
                  <c:v>13733</c:v>
                </c:pt>
                <c:pt idx="8">
                  <c:v>14120</c:v>
                </c:pt>
                <c:pt idx="9">
                  <c:v>14565</c:v>
                </c:pt>
                <c:pt idx="10">
                  <c:v>15055</c:v>
                </c:pt>
                <c:pt idx="11">
                  <c:v>15516</c:v>
                </c:pt>
                <c:pt idx="12">
                  <c:v>15883</c:v>
                </c:pt>
                <c:pt idx="13">
                  <c:v>16271</c:v>
                </c:pt>
                <c:pt idx="14">
                  <c:v>16742</c:v>
                </c:pt>
                <c:pt idx="15">
                  <c:v>17210</c:v>
                </c:pt>
                <c:pt idx="16">
                  <c:v>17567</c:v>
                </c:pt>
                <c:pt idx="17">
                  <c:v>18037</c:v>
                </c:pt>
                <c:pt idx="18">
                  <c:v>18599</c:v>
                </c:pt>
                <c:pt idx="19">
                  <c:v>19144</c:v>
                </c:pt>
                <c:pt idx="20">
                  <c:v>19343</c:v>
                </c:pt>
                <c:pt idx="21">
                  <c:v>19752</c:v>
                </c:pt>
                <c:pt idx="22">
                  <c:v>20252</c:v>
                </c:pt>
                <c:pt idx="23">
                  <c:v>21060</c:v>
                </c:pt>
                <c:pt idx="24">
                  <c:v>21430</c:v>
                </c:pt>
                <c:pt idx="25">
                  <c:v>21891</c:v>
                </c:pt>
                <c:pt idx="26">
                  <c:v>22194</c:v>
                </c:pt>
                <c:pt idx="27">
                  <c:v>22573</c:v>
                </c:pt>
                <c:pt idx="28">
                  <c:v>23006</c:v>
                </c:pt>
                <c:pt idx="29">
                  <c:v>23524</c:v>
                </c:pt>
                <c:pt idx="30">
                  <c:v>24083</c:v>
                </c:pt>
                <c:pt idx="31">
                  <c:v>24388</c:v>
                </c:pt>
                <c:pt idx="32">
                  <c:v>24858</c:v>
                </c:pt>
                <c:pt idx="33">
                  <c:v>25372</c:v>
                </c:pt>
                <c:pt idx="34">
                  <c:v>25871</c:v>
                </c:pt>
                <c:pt idx="35">
                  <c:v>26589</c:v>
                </c:pt>
                <c:pt idx="36">
                  <c:v>26955</c:v>
                </c:pt>
                <c:pt idx="37">
                  <c:v>27385</c:v>
                </c:pt>
                <c:pt idx="38">
                  <c:v>27941</c:v>
                </c:pt>
                <c:pt idx="39">
                  <c:v>28508</c:v>
                </c:pt>
                <c:pt idx="40">
                  <c:v>29120</c:v>
                </c:pt>
                <c:pt idx="41">
                  <c:v>29812</c:v>
                </c:pt>
                <c:pt idx="42">
                  <c:v>30587</c:v>
                </c:pt>
                <c:pt idx="43">
                  <c:v>31000</c:v>
                </c:pt>
                <c:pt idx="44">
                  <c:v>31579</c:v>
                </c:pt>
                <c:pt idx="45">
                  <c:v>32142</c:v>
                </c:pt>
                <c:pt idx="46">
                  <c:v>32865</c:v>
                </c:pt>
                <c:pt idx="47">
                  <c:v>33843</c:v>
                </c:pt>
                <c:pt idx="48">
                  <c:v>34368</c:v>
                </c:pt>
                <c:pt idx="49">
                  <c:v>34965</c:v>
                </c:pt>
                <c:pt idx="50">
                  <c:v>35764</c:v>
                </c:pt>
                <c:pt idx="51">
                  <c:v>36541</c:v>
                </c:pt>
                <c:pt idx="52">
                  <c:v>37261</c:v>
                </c:pt>
                <c:pt idx="53">
                  <c:v>38242</c:v>
                </c:pt>
                <c:pt idx="54">
                  <c:v>39356</c:v>
                </c:pt>
                <c:pt idx="55">
                  <c:v>39951</c:v>
                </c:pt>
                <c:pt idx="56">
                  <c:v>41083</c:v>
                </c:pt>
                <c:pt idx="57">
                  <c:v>42048</c:v>
                </c:pt>
                <c:pt idx="58">
                  <c:v>43252</c:v>
                </c:pt>
                <c:pt idx="59">
                  <c:v>45187</c:v>
                </c:pt>
                <c:pt idx="60">
                  <c:v>45961</c:v>
                </c:pt>
                <c:pt idx="61">
                  <c:v>46784</c:v>
                </c:pt>
                <c:pt idx="62">
                  <c:v>47801</c:v>
                </c:pt>
                <c:pt idx="63">
                  <c:v>48461</c:v>
                </c:pt>
                <c:pt idx="64">
                  <c:v>49376</c:v>
                </c:pt>
                <c:pt idx="65">
                  <c:v>50614</c:v>
                </c:pt>
                <c:pt idx="66">
                  <c:v>51766</c:v>
                </c:pt>
                <c:pt idx="67">
                  <c:v>52551</c:v>
                </c:pt>
                <c:pt idx="68">
                  <c:v>53423</c:v>
                </c:pt>
                <c:pt idx="69">
                  <c:v>54069</c:v>
                </c:pt>
                <c:pt idx="70">
                  <c:v>55285</c:v>
                </c:pt>
                <c:pt idx="71">
                  <c:v>56909</c:v>
                </c:pt>
                <c:pt idx="72">
                  <c:v>57677</c:v>
                </c:pt>
                <c:pt idx="73">
                  <c:v>58594</c:v>
                </c:pt>
                <c:pt idx="74">
                  <c:v>59975</c:v>
                </c:pt>
                <c:pt idx="75">
                  <c:v>60811</c:v>
                </c:pt>
                <c:pt idx="76">
                  <c:v>61725</c:v>
                </c:pt>
                <c:pt idx="77">
                  <c:v>62984</c:v>
                </c:pt>
                <c:pt idx="78">
                  <c:v>64091</c:v>
                </c:pt>
                <c:pt idx="79">
                  <c:v>64862</c:v>
                </c:pt>
                <c:pt idx="80">
                  <c:v>65821</c:v>
                </c:pt>
                <c:pt idx="81">
                  <c:v>66707</c:v>
                </c:pt>
                <c:pt idx="82">
                  <c:v>67735</c:v>
                </c:pt>
                <c:pt idx="83">
                  <c:v>69075</c:v>
                </c:pt>
                <c:pt idx="84">
                  <c:v>69737</c:v>
                </c:pt>
                <c:pt idx="85">
                  <c:v>70537</c:v>
                </c:pt>
                <c:pt idx="86">
                  <c:v>71366</c:v>
                </c:pt>
                <c:pt idx="87">
                  <c:v>71974</c:v>
                </c:pt>
                <c:pt idx="88">
                  <c:v>72710</c:v>
                </c:pt>
                <c:pt idx="89">
                  <c:v>73765</c:v>
                </c:pt>
                <c:pt idx="90">
                  <c:v>74526</c:v>
                </c:pt>
                <c:pt idx="91">
                  <c:v>74898</c:v>
                </c:pt>
                <c:pt idx="92">
                  <c:v>75749</c:v>
                </c:pt>
                <c:pt idx="93">
                  <c:v>76547</c:v>
                </c:pt>
                <c:pt idx="94">
                  <c:v>76696</c:v>
                </c:pt>
                <c:pt idx="95">
                  <c:v>77386</c:v>
                </c:pt>
                <c:pt idx="96">
                  <c:v>77498</c:v>
                </c:pt>
                <c:pt idx="97">
                  <c:v>77688</c:v>
                </c:pt>
                <c:pt idx="98">
                  <c:v>77752</c:v>
                </c:pt>
                <c:pt idx="99">
                  <c:v>77920</c:v>
                </c:pt>
                <c:pt idx="100">
                  <c:v>78079</c:v>
                </c:pt>
                <c:pt idx="101">
                  <c:v>78417</c:v>
                </c:pt>
                <c:pt idx="102">
                  <c:v>78722</c:v>
                </c:pt>
                <c:pt idx="103">
                  <c:v>78825</c:v>
                </c:pt>
                <c:pt idx="104">
                  <c:v>79236</c:v>
                </c:pt>
                <c:pt idx="105">
                  <c:v>79340</c:v>
                </c:pt>
                <c:pt idx="106">
                  <c:v>79626</c:v>
                </c:pt>
                <c:pt idx="107">
                  <c:v>80225</c:v>
                </c:pt>
                <c:pt idx="108">
                  <c:v>80368</c:v>
                </c:pt>
                <c:pt idx="109">
                  <c:v>80541</c:v>
                </c:pt>
                <c:pt idx="110">
                  <c:v>80833</c:v>
                </c:pt>
                <c:pt idx="111">
                  <c:v>80785</c:v>
                </c:pt>
                <c:pt idx="112">
                  <c:v>80771</c:v>
                </c:pt>
                <c:pt idx="113">
                  <c:v>81088</c:v>
                </c:pt>
                <c:pt idx="114">
                  <c:v>80990</c:v>
                </c:pt>
                <c:pt idx="115">
                  <c:v>81107</c:v>
                </c:pt>
                <c:pt idx="116">
                  <c:v>80857</c:v>
                </c:pt>
                <c:pt idx="117">
                  <c:v>79685</c:v>
                </c:pt>
                <c:pt idx="118">
                  <c:v>79952</c:v>
                </c:pt>
                <c:pt idx="119">
                  <c:v>80155</c:v>
                </c:pt>
                <c:pt idx="120">
                  <c:v>79776</c:v>
                </c:pt>
                <c:pt idx="121">
                  <c:v>79674</c:v>
                </c:pt>
                <c:pt idx="122">
                  <c:v>79468</c:v>
                </c:pt>
                <c:pt idx="123">
                  <c:v>79363</c:v>
                </c:pt>
                <c:pt idx="124">
                  <c:v>79437</c:v>
                </c:pt>
                <c:pt idx="125">
                  <c:v>79442</c:v>
                </c:pt>
                <c:pt idx="126">
                  <c:v>79576</c:v>
                </c:pt>
                <c:pt idx="127">
                  <c:v>79214</c:v>
                </c:pt>
                <c:pt idx="128">
                  <c:v>78809</c:v>
                </c:pt>
                <c:pt idx="129">
                  <c:v>78502</c:v>
                </c:pt>
                <c:pt idx="130">
                  <c:v>78140</c:v>
                </c:pt>
                <c:pt idx="131">
                  <c:v>78026</c:v>
                </c:pt>
                <c:pt idx="132">
                  <c:v>77737</c:v>
                </c:pt>
                <c:pt idx="133">
                  <c:v>77495</c:v>
                </c:pt>
                <c:pt idx="134">
                  <c:v>77239</c:v>
                </c:pt>
                <c:pt idx="135">
                  <c:v>77018</c:v>
                </c:pt>
                <c:pt idx="136">
                  <c:v>76761</c:v>
                </c:pt>
                <c:pt idx="137">
                  <c:v>76639</c:v>
                </c:pt>
                <c:pt idx="138">
                  <c:v>75383</c:v>
                </c:pt>
                <c:pt idx="139">
                  <c:v>75115</c:v>
                </c:pt>
                <c:pt idx="140">
                  <c:v>74730</c:v>
                </c:pt>
                <c:pt idx="141">
                  <c:v>74530</c:v>
                </c:pt>
                <c:pt idx="142">
                  <c:v>74316</c:v>
                </c:pt>
                <c:pt idx="143">
                  <c:v>74268</c:v>
                </c:pt>
                <c:pt idx="144">
                  <c:v>73497</c:v>
                </c:pt>
                <c:pt idx="145">
                  <c:v>73296</c:v>
                </c:pt>
                <c:pt idx="146">
                  <c:v>73157</c:v>
                </c:pt>
                <c:pt idx="147">
                  <c:v>72906</c:v>
                </c:pt>
                <c:pt idx="148">
                  <c:v>72353</c:v>
                </c:pt>
                <c:pt idx="149">
                  <c:v>72246</c:v>
                </c:pt>
                <c:pt idx="150">
                  <c:v>71885</c:v>
                </c:pt>
                <c:pt idx="151">
                  <c:v>71674</c:v>
                </c:pt>
                <c:pt idx="152">
                  <c:v>71531</c:v>
                </c:pt>
                <c:pt idx="153">
                  <c:v>71332</c:v>
                </c:pt>
                <c:pt idx="154">
                  <c:v>71124</c:v>
                </c:pt>
                <c:pt idx="155">
                  <c:v>70685</c:v>
                </c:pt>
                <c:pt idx="156">
                  <c:v>70433</c:v>
                </c:pt>
                <c:pt idx="157">
                  <c:v>70753</c:v>
                </c:pt>
                <c:pt idx="158">
                  <c:v>70600</c:v>
                </c:pt>
                <c:pt idx="159">
                  <c:v>70452</c:v>
                </c:pt>
                <c:pt idx="160">
                  <c:v>70349</c:v>
                </c:pt>
                <c:pt idx="161">
                  <c:v>70245</c:v>
                </c:pt>
                <c:pt idx="162">
                  <c:v>69995</c:v>
                </c:pt>
                <c:pt idx="163">
                  <c:v>69736</c:v>
                </c:pt>
                <c:pt idx="164">
                  <c:v>69523</c:v>
                </c:pt>
                <c:pt idx="165">
                  <c:v>69307</c:v>
                </c:pt>
                <c:pt idx="166">
                  <c:v>69227</c:v>
                </c:pt>
                <c:pt idx="167">
                  <c:v>69042</c:v>
                </c:pt>
                <c:pt idx="168">
                  <c:v>69614</c:v>
                </c:pt>
                <c:pt idx="169">
                  <c:v>69285</c:v>
                </c:pt>
                <c:pt idx="170">
                  <c:v>69148</c:v>
                </c:pt>
                <c:pt idx="171">
                  <c:v>68887</c:v>
                </c:pt>
                <c:pt idx="172">
                  <c:v>68762</c:v>
                </c:pt>
                <c:pt idx="173">
                  <c:v>68634</c:v>
                </c:pt>
                <c:pt idx="174">
                  <c:v>68286</c:v>
                </c:pt>
                <c:pt idx="175">
                  <c:v>67922</c:v>
                </c:pt>
                <c:pt idx="176">
                  <c:v>67662</c:v>
                </c:pt>
                <c:pt idx="177">
                  <c:v>67522</c:v>
                </c:pt>
                <c:pt idx="178">
                  <c:v>67278</c:v>
                </c:pt>
                <c:pt idx="179">
                  <c:v>67223</c:v>
                </c:pt>
                <c:pt idx="180">
                  <c:v>66790</c:v>
                </c:pt>
                <c:pt idx="181">
                  <c:v>66468</c:v>
                </c:pt>
                <c:pt idx="182">
                  <c:v>66235</c:v>
                </c:pt>
                <c:pt idx="183">
                  <c:v>66025</c:v>
                </c:pt>
                <c:pt idx="184">
                  <c:v>65762</c:v>
                </c:pt>
                <c:pt idx="185">
                  <c:v>65687</c:v>
                </c:pt>
                <c:pt idx="186">
                  <c:v>65496</c:v>
                </c:pt>
                <c:pt idx="187">
                  <c:v>65183</c:v>
                </c:pt>
                <c:pt idx="188">
                  <c:v>65012</c:v>
                </c:pt>
                <c:pt idx="189">
                  <c:v>64877</c:v>
                </c:pt>
                <c:pt idx="190">
                  <c:v>64636</c:v>
                </c:pt>
                <c:pt idx="191">
                  <c:v>61026</c:v>
                </c:pt>
                <c:pt idx="192">
                  <c:v>60859</c:v>
                </c:pt>
                <c:pt idx="193">
                  <c:v>60713</c:v>
                </c:pt>
                <c:pt idx="194">
                  <c:v>60480</c:v>
                </c:pt>
                <c:pt idx="195">
                  <c:v>60272</c:v>
                </c:pt>
                <c:pt idx="196">
                  <c:v>60074</c:v>
                </c:pt>
                <c:pt idx="197">
                  <c:v>59891</c:v>
                </c:pt>
                <c:pt idx="198">
                  <c:v>59446</c:v>
                </c:pt>
                <c:pt idx="199">
                  <c:v>59220</c:v>
                </c:pt>
                <c:pt idx="200">
                  <c:v>59072</c:v>
                </c:pt>
                <c:pt idx="201">
                  <c:v>58833</c:v>
                </c:pt>
                <c:pt idx="202">
                  <c:v>58620</c:v>
                </c:pt>
                <c:pt idx="203">
                  <c:v>58441</c:v>
                </c:pt>
                <c:pt idx="204">
                  <c:v>58270</c:v>
                </c:pt>
                <c:pt idx="205">
                  <c:v>58185</c:v>
                </c:pt>
                <c:pt idx="206">
                  <c:v>57844</c:v>
                </c:pt>
                <c:pt idx="207">
                  <c:v>57596</c:v>
                </c:pt>
                <c:pt idx="208">
                  <c:v>57650</c:v>
                </c:pt>
                <c:pt idx="209">
                  <c:v>57407</c:v>
                </c:pt>
                <c:pt idx="210">
                  <c:v>57193</c:v>
                </c:pt>
                <c:pt idx="211">
                  <c:v>57218</c:v>
                </c:pt>
                <c:pt idx="212">
                  <c:v>57023</c:v>
                </c:pt>
                <c:pt idx="213">
                  <c:v>56803</c:v>
                </c:pt>
                <c:pt idx="214">
                  <c:v>56644</c:v>
                </c:pt>
                <c:pt idx="215">
                  <c:v>56393</c:v>
                </c:pt>
                <c:pt idx="216">
                  <c:v>56114</c:v>
                </c:pt>
                <c:pt idx="217">
                  <c:v>55963</c:v>
                </c:pt>
                <c:pt idx="218">
                  <c:v>55780</c:v>
                </c:pt>
                <c:pt idx="219">
                  <c:v>55418</c:v>
                </c:pt>
                <c:pt idx="220">
                  <c:v>55261</c:v>
                </c:pt>
                <c:pt idx="221">
                  <c:v>54973</c:v>
                </c:pt>
                <c:pt idx="222">
                  <c:v>54720</c:v>
                </c:pt>
                <c:pt idx="223">
                  <c:v>54573</c:v>
                </c:pt>
                <c:pt idx="224">
                  <c:v>53135</c:v>
                </c:pt>
                <c:pt idx="225">
                  <c:v>52837</c:v>
                </c:pt>
                <c:pt idx="226">
                  <c:v>52582</c:v>
                </c:pt>
                <c:pt idx="227">
                  <c:v>52335</c:v>
                </c:pt>
                <c:pt idx="228">
                  <c:v>52144</c:v>
                </c:pt>
              </c:numCache>
            </c:numRef>
          </c:val>
          <c:smooth val="0"/>
          <c:extLst>
            <c:ext xmlns:c16="http://schemas.microsoft.com/office/drawing/2014/chart" uri="{C3380CC4-5D6E-409C-BE32-E72D297353CC}">
              <c16:uniqueId val="{00000000-53A2-46B7-82E3-5EE7A2BEAEC7}"/>
            </c:ext>
          </c:extLst>
        </c:ser>
        <c:dLbls>
          <c:showLegendKey val="0"/>
          <c:showVal val="0"/>
          <c:showCatName val="0"/>
          <c:showSerName val="0"/>
          <c:showPercent val="0"/>
          <c:showBubbleSize val="0"/>
        </c:dLbls>
        <c:marker val="1"/>
        <c:smooth val="0"/>
        <c:axId val="43787776"/>
        <c:axId val="43789696"/>
      </c:lineChart>
      <c:dateAx>
        <c:axId val="437877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789696"/>
        <c:crosses val="autoZero"/>
        <c:auto val="1"/>
        <c:lblOffset val="100"/>
        <c:baseTimeUnit val="months"/>
      </c:dateAx>
      <c:valAx>
        <c:axId val="4378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78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6.2900626064790688E-2"/>
          <c:w val="0.85729788482322078"/>
          <c:h val="0.83500832855331708"/>
        </c:manualLayout>
      </c:layout>
      <c:lineChart>
        <c:grouping val="standard"/>
        <c:varyColors val="0"/>
        <c:ser>
          <c:idx val="1"/>
          <c:order val="0"/>
          <c:cat>
            <c:numRef>
              <c:f>Sheet1!$D$27:$D$36</c:f>
              <c:numCache>
                <c:formatCode>0</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Sheet1!$E$27:$E$36</c:f>
              <c:numCache>
                <c:formatCode>General</c:formatCode>
                <c:ptCount val="10"/>
                <c:pt idx="0">
                  <c:v>3.4</c:v>
                </c:pt>
                <c:pt idx="1">
                  <c:v>3.6</c:v>
                </c:pt>
                <c:pt idx="2">
                  <c:v>5.3</c:v>
                </c:pt>
                <c:pt idx="3">
                  <c:v>7.4</c:v>
                </c:pt>
                <c:pt idx="4">
                  <c:v>10</c:v>
                </c:pt>
                <c:pt idx="5">
                  <c:v>14.9</c:v>
                </c:pt>
                <c:pt idx="6">
                  <c:v>21.4</c:v>
                </c:pt>
                <c:pt idx="7">
                  <c:v>26.1</c:v>
                </c:pt>
                <c:pt idx="8">
                  <c:v>28.6</c:v>
                </c:pt>
                <c:pt idx="9">
                  <c:v>31.6</c:v>
                </c:pt>
              </c:numCache>
            </c:numRef>
          </c:val>
          <c:smooth val="0"/>
          <c:extLst>
            <c:ext xmlns:c16="http://schemas.microsoft.com/office/drawing/2014/chart" uri="{C3380CC4-5D6E-409C-BE32-E72D297353CC}">
              <c16:uniqueId val="{00000000-A7EF-4066-8806-575C45884138}"/>
            </c:ext>
          </c:extLst>
        </c:ser>
        <c:dLbls>
          <c:showLegendKey val="0"/>
          <c:showVal val="0"/>
          <c:showCatName val="0"/>
          <c:showSerName val="0"/>
          <c:showPercent val="0"/>
          <c:showBubbleSize val="0"/>
        </c:dLbls>
        <c:marker val="1"/>
        <c:smooth val="0"/>
        <c:axId val="43803008"/>
        <c:axId val="43804544"/>
      </c:lineChart>
      <c:catAx>
        <c:axId val="43803008"/>
        <c:scaling>
          <c:orientation val="minMax"/>
        </c:scaling>
        <c:delete val="0"/>
        <c:axPos val="b"/>
        <c:numFmt formatCode="0" sourceLinked="1"/>
        <c:majorTickMark val="out"/>
        <c:minorTickMark val="none"/>
        <c:tickLblPos val="nextTo"/>
        <c:txPr>
          <a:bodyPr/>
          <a:lstStyle/>
          <a:p>
            <a:pPr>
              <a:defRPr sz="800"/>
            </a:pPr>
            <a:endParaRPr lang="el-GR"/>
          </a:p>
        </c:txPr>
        <c:crossAx val="43804544"/>
        <c:crosses val="autoZero"/>
        <c:auto val="1"/>
        <c:lblAlgn val="ctr"/>
        <c:lblOffset val="100"/>
        <c:noMultiLvlLbl val="0"/>
      </c:catAx>
      <c:valAx>
        <c:axId val="43804544"/>
        <c:scaling>
          <c:orientation val="minMax"/>
        </c:scaling>
        <c:delete val="0"/>
        <c:axPos val="l"/>
        <c:majorGridlines/>
        <c:numFmt formatCode="General" sourceLinked="1"/>
        <c:majorTickMark val="out"/>
        <c:minorTickMark val="none"/>
        <c:tickLblPos val="nextTo"/>
        <c:crossAx val="43803008"/>
        <c:crosses val="autoZero"/>
        <c:crossBetween val="between"/>
      </c:valAx>
    </c:plotArea>
    <c:plotVisOnly val="1"/>
    <c:dispBlanksAs val="gap"/>
    <c:showDLblsOverMax val="0"/>
  </c:chart>
  <c:spPr>
    <a:effectLst>
      <a:outerShdw blurRad="50800" dir="5400000" algn="ctr" rotWithShape="0">
        <a:schemeClr val="bg1"/>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Κατανάλωση Πετρελαίου θέρμανσης 2003-2018 (ΥΠΕΝ) </a:t>
            </a:r>
          </a:p>
        </c:rich>
      </c:tx>
      <c:overlay val="0"/>
      <c:spPr>
        <a:noFill/>
        <a:ln>
          <a:noFill/>
        </a:ln>
        <a:effectLst/>
      </c:spPr>
    </c:title>
    <c:autoTitleDeleted val="0"/>
    <c:plotArea>
      <c:layout/>
      <c:lineChart>
        <c:grouping val="standard"/>
        <c:varyColors val="0"/>
        <c:ser>
          <c:idx val="0"/>
          <c:order val="0"/>
          <c:tx>
            <c:strRef>
              <c:f>Sheet1!$A$3</c:f>
              <c:strCache>
                <c:ptCount val="1"/>
                <c:pt idx="0">
                  <c:v>Κατανάλωση Πετρελαίου θέρμανσης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Sheet1!$B$2:$Q$2</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Sheet1!$B$3:$Q$3</c:f>
              <c:numCache>
                <c:formatCode>#,##0</c:formatCode>
                <c:ptCount val="16"/>
                <c:pt idx="0">
                  <c:v>4248403</c:v>
                </c:pt>
                <c:pt idx="1">
                  <c:v>4044205</c:v>
                </c:pt>
                <c:pt idx="2">
                  <c:v>4077264</c:v>
                </c:pt>
                <c:pt idx="3">
                  <c:v>3996447</c:v>
                </c:pt>
                <c:pt idx="4">
                  <c:v>3535749</c:v>
                </c:pt>
                <c:pt idx="5">
                  <c:v>3117485</c:v>
                </c:pt>
                <c:pt idx="6">
                  <c:v>3326596</c:v>
                </c:pt>
                <c:pt idx="7">
                  <c:v>2908247</c:v>
                </c:pt>
                <c:pt idx="8">
                  <c:v>2818939</c:v>
                </c:pt>
                <c:pt idx="9">
                  <c:v>1965436</c:v>
                </c:pt>
                <c:pt idx="10">
                  <c:v>959233</c:v>
                </c:pt>
                <c:pt idx="11">
                  <c:v>967746</c:v>
                </c:pt>
                <c:pt idx="12">
                  <c:v>1388665</c:v>
                </c:pt>
                <c:pt idx="13">
                  <c:v>1199550</c:v>
                </c:pt>
                <c:pt idx="14">
                  <c:v>1172142</c:v>
                </c:pt>
                <c:pt idx="15">
                  <c:v>968723</c:v>
                </c:pt>
              </c:numCache>
            </c:numRef>
          </c:val>
          <c:smooth val="0"/>
          <c:extLst>
            <c:ext xmlns:c16="http://schemas.microsoft.com/office/drawing/2014/chart" uri="{C3380CC4-5D6E-409C-BE32-E72D297353CC}">
              <c16:uniqueId val="{00000000-015A-4E0D-95C4-A84A9D16D0A1}"/>
            </c:ext>
          </c:extLst>
        </c:ser>
        <c:dLbls>
          <c:showLegendKey val="0"/>
          <c:showVal val="0"/>
          <c:showCatName val="0"/>
          <c:showSerName val="0"/>
          <c:showPercent val="0"/>
          <c:showBubbleSize val="0"/>
        </c:dLbls>
        <c:marker val="1"/>
        <c:smooth val="0"/>
        <c:axId val="43811200"/>
        <c:axId val="43813120"/>
      </c:lineChart>
      <c:catAx>
        <c:axId val="4381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813120"/>
        <c:crosses val="autoZero"/>
        <c:auto val="1"/>
        <c:lblAlgn val="ctr"/>
        <c:lblOffset val="100"/>
        <c:noMultiLvlLbl val="0"/>
      </c:catAx>
      <c:valAx>
        <c:axId val="4381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81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800" b="0" i="0" baseline="0">
                <a:effectLst/>
              </a:rPr>
              <a:t>Χρηματοδότηση</a:t>
            </a:r>
            <a:r>
              <a:rPr lang="en-US" sz="1800" b="0" i="0" baseline="0">
                <a:effectLst/>
              </a:rPr>
              <a:t> </a:t>
            </a:r>
            <a:r>
              <a:rPr lang="el-GR" sz="1800" b="0" i="0" baseline="0">
                <a:effectLst/>
              </a:rPr>
              <a:t>στεγαστικών δανείων από τα εγχώρια ΝΧΙ και ποσοστιαία μεταβολή τους</a:t>
            </a:r>
            <a:endParaRPr lang="el-GR">
              <a:effectLs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Sheet1!$D$1:$HW$1</c:f>
              <c:numCache>
                <c:formatCode>mmm\-yy</c:formatCode>
                <c:ptCount val="228"/>
                <c:pt idx="0">
                  <c:v>36923</c:v>
                </c:pt>
                <c:pt idx="1">
                  <c:v>36951</c:v>
                </c:pt>
                <c:pt idx="2">
                  <c:v>36982</c:v>
                </c:pt>
                <c:pt idx="3">
                  <c:v>37012</c:v>
                </c:pt>
                <c:pt idx="4">
                  <c:v>37043</c:v>
                </c:pt>
                <c:pt idx="5">
                  <c:v>37073</c:v>
                </c:pt>
                <c:pt idx="6">
                  <c:v>37104</c:v>
                </c:pt>
                <c:pt idx="7">
                  <c:v>37135</c:v>
                </c:pt>
                <c:pt idx="8">
                  <c:v>37165</c:v>
                </c:pt>
                <c:pt idx="9">
                  <c:v>37196</c:v>
                </c:pt>
                <c:pt idx="10">
                  <c:v>37226</c:v>
                </c:pt>
                <c:pt idx="11">
                  <c:v>37257</c:v>
                </c:pt>
                <c:pt idx="12">
                  <c:v>37288</c:v>
                </c:pt>
                <c:pt idx="13">
                  <c:v>37316</c:v>
                </c:pt>
                <c:pt idx="14">
                  <c:v>37347</c:v>
                </c:pt>
                <c:pt idx="15">
                  <c:v>37377</c:v>
                </c:pt>
                <c:pt idx="16">
                  <c:v>37408</c:v>
                </c:pt>
                <c:pt idx="17">
                  <c:v>37438</c:v>
                </c:pt>
                <c:pt idx="18">
                  <c:v>37469</c:v>
                </c:pt>
                <c:pt idx="19">
                  <c:v>37500</c:v>
                </c:pt>
                <c:pt idx="20">
                  <c:v>37530</c:v>
                </c:pt>
                <c:pt idx="21">
                  <c:v>37561</c:v>
                </c:pt>
                <c:pt idx="22">
                  <c:v>37591</c:v>
                </c:pt>
                <c:pt idx="23">
                  <c:v>37622</c:v>
                </c:pt>
                <c:pt idx="24">
                  <c:v>37653</c:v>
                </c:pt>
                <c:pt idx="25">
                  <c:v>37681</c:v>
                </c:pt>
                <c:pt idx="26">
                  <c:v>37712</c:v>
                </c:pt>
                <c:pt idx="27">
                  <c:v>37742</c:v>
                </c:pt>
                <c:pt idx="28">
                  <c:v>37773</c:v>
                </c:pt>
                <c:pt idx="29">
                  <c:v>37803</c:v>
                </c:pt>
                <c:pt idx="30">
                  <c:v>37834</c:v>
                </c:pt>
                <c:pt idx="31">
                  <c:v>37865</c:v>
                </c:pt>
                <c:pt idx="32">
                  <c:v>37895</c:v>
                </c:pt>
                <c:pt idx="33">
                  <c:v>37926</c:v>
                </c:pt>
                <c:pt idx="34">
                  <c:v>37956</c:v>
                </c:pt>
                <c:pt idx="35">
                  <c:v>37987</c:v>
                </c:pt>
                <c:pt idx="36">
                  <c:v>38018</c:v>
                </c:pt>
                <c:pt idx="37">
                  <c:v>38047</c:v>
                </c:pt>
                <c:pt idx="38">
                  <c:v>38078</c:v>
                </c:pt>
                <c:pt idx="39">
                  <c:v>38108</c:v>
                </c:pt>
                <c:pt idx="40">
                  <c:v>38139</c:v>
                </c:pt>
                <c:pt idx="41">
                  <c:v>38169</c:v>
                </c:pt>
                <c:pt idx="42">
                  <c:v>38200</c:v>
                </c:pt>
                <c:pt idx="43">
                  <c:v>38231</c:v>
                </c:pt>
                <c:pt idx="44">
                  <c:v>38261</c:v>
                </c:pt>
                <c:pt idx="45">
                  <c:v>38292</c:v>
                </c:pt>
                <c:pt idx="46">
                  <c:v>38322</c:v>
                </c:pt>
                <c:pt idx="47">
                  <c:v>38353</c:v>
                </c:pt>
                <c:pt idx="48">
                  <c:v>38384</c:v>
                </c:pt>
                <c:pt idx="49">
                  <c:v>38412</c:v>
                </c:pt>
                <c:pt idx="50">
                  <c:v>38443</c:v>
                </c:pt>
                <c:pt idx="51">
                  <c:v>38473</c:v>
                </c:pt>
                <c:pt idx="52">
                  <c:v>38504</c:v>
                </c:pt>
                <c:pt idx="53">
                  <c:v>38534</c:v>
                </c:pt>
                <c:pt idx="54">
                  <c:v>38565</c:v>
                </c:pt>
                <c:pt idx="55">
                  <c:v>38596</c:v>
                </c:pt>
                <c:pt idx="56">
                  <c:v>38626</c:v>
                </c:pt>
                <c:pt idx="57">
                  <c:v>38657</c:v>
                </c:pt>
                <c:pt idx="58">
                  <c:v>38687</c:v>
                </c:pt>
                <c:pt idx="59">
                  <c:v>38718</c:v>
                </c:pt>
                <c:pt idx="60">
                  <c:v>38749</c:v>
                </c:pt>
                <c:pt idx="61">
                  <c:v>38777</c:v>
                </c:pt>
                <c:pt idx="62">
                  <c:v>38808</c:v>
                </c:pt>
                <c:pt idx="63">
                  <c:v>38838</c:v>
                </c:pt>
                <c:pt idx="64">
                  <c:v>38869</c:v>
                </c:pt>
                <c:pt idx="65">
                  <c:v>38899</c:v>
                </c:pt>
                <c:pt idx="66">
                  <c:v>38930</c:v>
                </c:pt>
                <c:pt idx="67">
                  <c:v>38961</c:v>
                </c:pt>
                <c:pt idx="68">
                  <c:v>38991</c:v>
                </c:pt>
                <c:pt idx="69">
                  <c:v>39022</c:v>
                </c:pt>
                <c:pt idx="70">
                  <c:v>39052</c:v>
                </c:pt>
                <c:pt idx="71">
                  <c:v>39083</c:v>
                </c:pt>
                <c:pt idx="72">
                  <c:v>39114</c:v>
                </c:pt>
                <c:pt idx="73">
                  <c:v>39142</c:v>
                </c:pt>
                <c:pt idx="74">
                  <c:v>39173</c:v>
                </c:pt>
                <c:pt idx="75">
                  <c:v>39203</c:v>
                </c:pt>
                <c:pt idx="76">
                  <c:v>39234</c:v>
                </c:pt>
                <c:pt idx="77">
                  <c:v>39264</c:v>
                </c:pt>
                <c:pt idx="78">
                  <c:v>39295</c:v>
                </c:pt>
                <c:pt idx="79">
                  <c:v>39326</c:v>
                </c:pt>
                <c:pt idx="80">
                  <c:v>39356</c:v>
                </c:pt>
                <c:pt idx="81">
                  <c:v>39387</c:v>
                </c:pt>
                <c:pt idx="82">
                  <c:v>39417</c:v>
                </c:pt>
                <c:pt idx="83">
                  <c:v>39448</c:v>
                </c:pt>
                <c:pt idx="84">
                  <c:v>39479</c:v>
                </c:pt>
                <c:pt idx="85">
                  <c:v>39508</c:v>
                </c:pt>
                <c:pt idx="86">
                  <c:v>39539</c:v>
                </c:pt>
                <c:pt idx="87">
                  <c:v>39569</c:v>
                </c:pt>
                <c:pt idx="88">
                  <c:v>39600</c:v>
                </c:pt>
                <c:pt idx="89">
                  <c:v>39630</c:v>
                </c:pt>
                <c:pt idx="90">
                  <c:v>39661</c:v>
                </c:pt>
                <c:pt idx="91">
                  <c:v>39692</c:v>
                </c:pt>
                <c:pt idx="92">
                  <c:v>39722</c:v>
                </c:pt>
                <c:pt idx="93">
                  <c:v>39753</c:v>
                </c:pt>
                <c:pt idx="94">
                  <c:v>39783</c:v>
                </c:pt>
                <c:pt idx="95">
                  <c:v>39814</c:v>
                </c:pt>
                <c:pt idx="96">
                  <c:v>39845</c:v>
                </c:pt>
                <c:pt idx="97">
                  <c:v>39873</c:v>
                </c:pt>
                <c:pt idx="98">
                  <c:v>39904</c:v>
                </c:pt>
                <c:pt idx="99">
                  <c:v>39934</c:v>
                </c:pt>
                <c:pt idx="100">
                  <c:v>39965</c:v>
                </c:pt>
                <c:pt idx="101">
                  <c:v>39995</c:v>
                </c:pt>
                <c:pt idx="102">
                  <c:v>40026</c:v>
                </c:pt>
                <c:pt idx="103">
                  <c:v>40057</c:v>
                </c:pt>
                <c:pt idx="104">
                  <c:v>40087</c:v>
                </c:pt>
                <c:pt idx="105">
                  <c:v>40118</c:v>
                </c:pt>
                <c:pt idx="106">
                  <c:v>40148</c:v>
                </c:pt>
                <c:pt idx="107">
                  <c:v>40179</c:v>
                </c:pt>
                <c:pt idx="108">
                  <c:v>40210</c:v>
                </c:pt>
                <c:pt idx="109">
                  <c:v>40238</c:v>
                </c:pt>
                <c:pt idx="110">
                  <c:v>40269</c:v>
                </c:pt>
                <c:pt idx="111">
                  <c:v>40299</c:v>
                </c:pt>
                <c:pt idx="112">
                  <c:v>40330</c:v>
                </c:pt>
                <c:pt idx="113">
                  <c:v>40360</c:v>
                </c:pt>
                <c:pt idx="114">
                  <c:v>40391</c:v>
                </c:pt>
                <c:pt idx="115">
                  <c:v>40422</c:v>
                </c:pt>
                <c:pt idx="116">
                  <c:v>40452</c:v>
                </c:pt>
                <c:pt idx="117">
                  <c:v>40483</c:v>
                </c:pt>
                <c:pt idx="118">
                  <c:v>40513</c:v>
                </c:pt>
                <c:pt idx="119">
                  <c:v>40544</c:v>
                </c:pt>
                <c:pt idx="120">
                  <c:v>40575</c:v>
                </c:pt>
                <c:pt idx="121">
                  <c:v>40603</c:v>
                </c:pt>
                <c:pt idx="122">
                  <c:v>40634</c:v>
                </c:pt>
                <c:pt idx="123">
                  <c:v>40664</c:v>
                </c:pt>
                <c:pt idx="124">
                  <c:v>40695</c:v>
                </c:pt>
                <c:pt idx="125">
                  <c:v>40725</c:v>
                </c:pt>
                <c:pt idx="126">
                  <c:v>40756</c:v>
                </c:pt>
                <c:pt idx="127">
                  <c:v>40787</c:v>
                </c:pt>
                <c:pt idx="128">
                  <c:v>40817</c:v>
                </c:pt>
                <c:pt idx="129">
                  <c:v>40848</c:v>
                </c:pt>
                <c:pt idx="130">
                  <c:v>40878</c:v>
                </c:pt>
                <c:pt idx="131">
                  <c:v>40909</c:v>
                </c:pt>
                <c:pt idx="132">
                  <c:v>40940</c:v>
                </c:pt>
                <c:pt idx="133">
                  <c:v>40969</c:v>
                </c:pt>
                <c:pt idx="134">
                  <c:v>41000</c:v>
                </c:pt>
                <c:pt idx="135">
                  <c:v>41030</c:v>
                </c:pt>
                <c:pt idx="136">
                  <c:v>41061</c:v>
                </c:pt>
                <c:pt idx="137">
                  <c:v>41091</c:v>
                </c:pt>
                <c:pt idx="138">
                  <c:v>41122</c:v>
                </c:pt>
                <c:pt idx="139">
                  <c:v>41153</c:v>
                </c:pt>
                <c:pt idx="140">
                  <c:v>41183</c:v>
                </c:pt>
                <c:pt idx="141">
                  <c:v>41214</c:v>
                </c:pt>
                <c:pt idx="142">
                  <c:v>41244</c:v>
                </c:pt>
                <c:pt idx="143">
                  <c:v>41275</c:v>
                </c:pt>
                <c:pt idx="144">
                  <c:v>41306</c:v>
                </c:pt>
                <c:pt idx="145">
                  <c:v>41334</c:v>
                </c:pt>
                <c:pt idx="146">
                  <c:v>41365</c:v>
                </c:pt>
                <c:pt idx="147">
                  <c:v>41395</c:v>
                </c:pt>
                <c:pt idx="148">
                  <c:v>41426</c:v>
                </c:pt>
                <c:pt idx="149">
                  <c:v>41456</c:v>
                </c:pt>
                <c:pt idx="150">
                  <c:v>41487</c:v>
                </c:pt>
                <c:pt idx="151">
                  <c:v>41518</c:v>
                </c:pt>
                <c:pt idx="152">
                  <c:v>41548</c:v>
                </c:pt>
                <c:pt idx="153">
                  <c:v>41579</c:v>
                </c:pt>
                <c:pt idx="154">
                  <c:v>41609</c:v>
                </c:pt>
                <c:pt idx="155">
                  <c:v>41640</c:v>
                </c:pt>
                <c:pt idx="156">
                  <c:v>41671</c:v>
                </c:pt>
                <c:pt idx="157">
                  <c:v>41699</c:v>
                </c:pt>
                <c:pt idx="158">
                  <c:v>41730</c:v>
                </c:pt>
                <c:pt idx="159">
                  <c:v>41760</c:v>
                </c:pt>
                <c:pt idx="160">
                  <c:v>41791</c:v>
                </c:pt>
                <c:pt idx="161">
                  <c:v>41821</c:v>
                </c:pt>
                <c:pt idx="162">
                  <c:v>41852</c:v>
                </c:pt>
                <c:pt idx="163">
                  <c:v>41883</c:v>
                </c:pt>
                <c:pt idx="164">
                  <c:v>41913</c:v>
                </c:pt>
                <c:pt idx="165">
                  <c:v>41944</c:v>
                </c:pt>
                <c:pt idx="166">
                  <c:v>41974</c:v>
                </c:pt>
                <c:pt idx="167">
                  <c:v>42005</c:v>
                </c:pt>
                <c:pt idx="168">
                  <c:v>42036</c:v>
                </c:pt>
                <c:pt idx="169">
                  <c:v>42064</c:v>
                </c:pt>
                <c:pt idx="170">
                  <c:v>42095</c:v>
                </c:pt>
                <c:pt idx="171">
                  <c:v>42125</c:v>
                </c:pt>
                <c:pt idx="172">
                  <c:v>42156</c:v>
                </c:pt>
                <c:pt idx="173">
                  <c:v>42186</c:v>
                </c:pt>
                <c:pt idx="174">
                  <c:v>42217</c:v>
                </c:pt>
                <c:pt idx="175">
                  <c:v>42248</c:v>
                </c:pt>
                <c:pt idx="176">
                  <c:v>42278</c:v>
                </c:pt>
                <c:pt idx="177">
                  <c:v>42309</c:v>
                </c:pt>
                <c:pt idx="178">
                  <c:v>42339</c:v>
                </c:pt>
                <c:pt idx="179">
                  <c:v>42370</c:v>
                </c:pt>
                <c:pt idx="180">
                  <c:v>42401</c:v>
                </c:pt>
                <c:pt idx="181">
                  <c:v>42430</c:v>
                </c:pt>
                <c:pt idx="182">
                  <c:v>42461</c:v>
                </c:pt>
                <c:pt idx="183">
                  <c:v>42491</c:v>
                </c:pt>
                <c:pt idx="184">
                  <c:v>42522</c:v>
                </c:pt>
                <c:pt idx="185">
                  <c:v>42552</c:v>
                </c:pt>
                <c:pt idx="186">
                  <c:v>42583</c:v>
                </c:pt>
                <c:pt idx="187">
                  <c:v>42614</c:v>
                </c:pt>
                <c:pt idx="188">
                  <c:v>42644</c:v>
                </c:pt>
                <c:pt idx="189">
                  <c:v>42675</c:v>
                </c:pt>
                <c:pt idx="190">
                  <c:v>42705</c:v>
                </c:pt>
                <c:pt idx="191">
                  <c:v>42736</c:v>
                </c:pt>
                <c:pt idx="192">
                  <c:v>42767</c:v>
                </c:pt>
                <c:pt idx="193">
                  <c:v>42795</c:v>
                </c:pt>
                <c:pt idx="194">
                  <c:v>42826</c:v>
                </c:pt>
                <c:pt idx="195">
                  <c:v>42856</c:v>
                </c:pt>
                <c:pt idx="196">
                  <c:v>42887</c:v>
                </c:pt>
                <c:pt idx="197">
                  <c:v>42917</c:v>
                </c:pt>
                <c:pt idx="198">
                  <c:v>42948</c:v>
                </c:pt>
                <c:pt idx="199">
                  <c:v>42979</c:v>
                </c:pt>
                <c:pt idx="200">
                  <c:v>43009</c:v>
                </c:pt>
                <c:pt idx="201">
                  <c:v>43040</c:v>
                </c:pt>
                <c:pt idx="202">
                  <c:v>43070</c:v>
                </c:pt>
                <c:pt idx="203">
                  <c:v>43101</c:v>
                </c:pt>
                <c:pt idx="204">
                  <c:v>43132</c:v>
                </c:pt>
                <c:pt idx="205">
                  <c:v>43160</c:v>
                </c:pt>
                <c:pt idx="206">
                  <c:v>43191</c:v>
                </c:pt>
                <c:pt idx="207">
                  <c:v>43221</c:v>
                </c:pt>
                <c:pt idx="208">
                  <c:v>43252</c:v>
                </c:pt>
                <c:pt idx="209">
                  <c:v>43282</c:v>
                </c:pt>
                <c:pt idx="210">
                  <c:v>43313</c:v>
                </c:pt>
                <c:pt idx="211">
                  <c:v>43344</c:v>
                </c:pt>
                <c:pt idx="212">
                  <c:v>43374</c:v>
                </c:pt>
                <c:pt idx="213">
                  <c:v>43405</c:v>
                </c:pt>
                <c:pt idx="214">
                  <c:v>43435</c:v>
                </c:pt>
                <c:pt idx="215">
                  <c:v>43466</c:v>
                </c:pt>
                <c:pt idx="216">
                  <c:v>43497</c:v>
                </c:pt>
                <c:pt idx="217">
                  <c:v>43525</c:v>
                </c:pt>
                <c:pt idx="218">
                  <c:v>43556</c:v>
                </c:pt>
                <c:pt idx="219">
                  <c:v>43586</c:v>
                </c:pt>
                <c:pt idx="220">
                  <c:v>43617</c:v>
                </c:pt>
                <c:pt idx="221">
                  <c:v>43647</c:v>
                </c:pt>
                <c:pt idx="222">
                  <c:v>43678</c:v>
                </c:pt>
                <c:pt idx="223">
                  <c:v>43709</c:v>
                </c:pt>
                <c:pt idx="224">
                  <c:v>43739</c:v>
                </c:pt>
                <c:pt idx="225">
                  <c:v>43770</c:v>
                </c:pt>
                <c:pt idx="226">
                  <c:v>43800</c:v>
                </c:pt>
                <c:pt idx="227">
                  <c:v>43831</c:v>
                </c:pt>
              </c:numCache>
            </c:numRef>
          </c:cat>
          <c:val>
            <c:numRef>
              <c:f>Sheet1!$D$2:$HW$2</c:f>
              <c:numCache>
                <c:formatCode>#,##0</c:formatCode>
                <c:ptCount val="228"/>
                <c:pt idx="0">
                  <c:v>11658</c:v>
                </c:pt>
                <c:pt idx="1">
                  <c:v>11949</c:v>
                </c:pt>
                <c:pt idx="2">
                  <c:v>12208</c:v>
                </c:pt>
                <c:pt idx="3">
                  <c:v>12632</c:v>
                </c:pt>
                <c:pt idx="4">
                  <c:v>12929</c:v>
                </c:pt>
                <c:pt idx="5">
                  <c:v>13408</c:v>
                </c:pt>
                <c:pt idx="6">
                  <c:v>13733</c:v>
                </c:pt>
                <c:pt idx="7">
                  <c:v>14120</c:v>
                </c:pt>
                <c:pt idx="8">
                  <c:v>14565</c:v>
                </c:pt>
                <c:pt idx="9">
                  <c:v>15055</c:v>
                </c:pt>
                <c:pt idx="10">
                  <c:v>15516</c:v>
                </c:pt>
                <c:pt idx="11">
                  <c:v>15883</c:v>
                </c:pt>
                <c:pt idx="12">
                  <c:v>16271</c:v>
                </c:pt>
                <c:pt idx="13">
                  <c:v>16742</c:v>
                </c:pt>
                <c:pt idx="14">
                  <c:v>17210</c:v>
                </c:pt>
                <c:pt idx="15">
                  <c:v>17567</c:v>
                </c:pt>
                <c:pt idx="16">
                  <c:v>18037</c:v>
                </c:pt>
                <c:pt idx="17">
                  <c:v>18599</c:v>
                </c:pt>
                <c:pt idx="18">
                  <c:v>19144</c:v>
                </c:pt>
                <c:pt idx="19">
                  <c:v>19343</c:v>
                </c:pt>
                <c:pt idx="20">
                  <c:v>19752</c:v>
                </c:pt>
                <c:pt idx="21">
                  <c:v>20252</c:v>
                </c:pt>
                <c:pt idx="22">
                  <c:v>21060</c:v>
                </c:pt>
                <c:pt idx="23">
                  <c:v>21430</c:v>
                </c:pt>
                <c:pt idx="24">
                  <c:v>21891</c:v>
                </c:pt>
                <c:pt idx="25">
                  <c:v>22194</c:v>
                </c:pt>
                <c:pt idx="26">
                  <c:v>22573</c:v>
                </c:pt>
                <c:pt idx="27">
                  <c:v>23006</c:v>
                </c:pt>
                <c:pt idx="28">
                  <c:v>23524</c:v>
                </c:pt>
                <c:pt idx="29">
                  <c:v>24083</c:v>
                </c:pt>
                <c:pt idx="30">
                  <c:v>24388</c:v>
                </c:pt>
                <c:pt idx="31">
                  <c:v>24858</c:v>
                </c:pt>
                <c:pt idx="32">
                  <c:v>25372</c:v>
                </c:pt>
                <c:pt idx="33">
                  <c:v>25871</c:v>
                </c:pt>
                <c:pt idx="34">
                  <c:v>26589</c:v>
                </c:pt>
                <c:pt idx="35">
                  <c:v>26955</c:v>
                </c:pt>
                <c:pt idx="36">
                  <c:v>27385</c:v>
                </c:pt>
                <c:pt idx="37">
                  <c:v>27941</c:v>
                </c:pt>
                <c:pt idx="38">
                  <c:v>28508</c:v>
                </c:pt>
                <c:pt idx="39">
                  <c:v>29120</c:v>
                </c:pt>
                <c:pt idx="40">
                  <c:v>29812</c:v>
                </c:pt>
                <c:pt idx="41">
                  <c:v>30587</c:v>
                </c:pt>
                <c:pt idx="42">
                  <c:v>31000</c:v>
                </c:pt>
                <c:pt idx="43">
                  <c:v>31579</c:v>
                </c:pt>
                <c:pt idx="44">
                  <c:v>32142</c:v>
                </c:pt>
                <c:pt idx="45">
                  <c:v>32865</c:v>
                </c:pt>
                <c:pt idx="46">
                  <c:v>33843</c:v>
                </c:pt>
                <c:pt idx="47">
                  <c:v>34368</c:v>
                </c:pt>
                <c:pt idx="48">
                  <c:v>34965</c:v>
                </c:pt>
                <c:pt idx="49">
                  <c:v>35764</c:v>
                </c:pt>
                <c:pt idx="50">
                  <c:v>36541</c:v>
                </c:pt>
                <c:pt idx="51">
                  <c:v>37261</c:v>
                </c:pt>
                <c:pt idx="52">
                  <c:v>38242</c:v>
                </c:pt>
                <c:pt idx="53">
                  <c:v>39356</c:v>
                </c:pt>
                <c:pt idx="54">
                  <c:v>39951</c:v>
                </c:pt>
                <c:pt idx="55">
                  <c:v>41083</c:v>
                </c:pt>
                <c:pt idx="56">
                  <c:v>42048</c:v>
                </c:pt>
                <c:pt idx="57">
                  <c:v>43252</c:v>
                </c:pt>
                <c:pt idx="58">
                  <c:v>45187</c:v>
                </c:pt>
                <c:pt idx="59">
                  <c:v>45961</c:v>
                </c:pt>
                <c:pt idx="60">
                  <c:v>46784</c:v>
                </c:pt>
                <c:pt idx="61">
                  <c:v>47801</c:v>
                </c:pt>
                <c:pt idx="62">
                  <c:v>48461</c:v>
                </c:pt>
                <c:pt idx="63">
                  <c:v>49376</c:v>
                </c:pt>
                <c:pt idx="64">
                  <c:v>50614</c:v>
                </c:pt>
                <c:pt idx="65">
                  <c:v>51766</c:v>
                </c:pt>
                <c:pt idx="66">
                  <c:v>52551</c:v>
                </c:pt>
                <c:pt idx="67">
                  <c:v>53423</c:v>
                </c:pt>
                <c:pt idx="68">
                  <c:v>54069</c:v>
                </c:pt>
                <c:pt idx="69">
                  <c:v>55285</c:v>
                </c:pt>
                <c:pt idx="70">
                  <c:v>56909</c:v>
                </c:pt>
                <c:pt idx="71">
                  <c:v>57677</c:v>
                </c:pt>
                <c:pt idx="72">
                  <c:v>58594</c:v>
                </c:pt>
                <c:pt idx="73">
                  <c:v>59975</c:v>
                </c:pt>
                <c:pt idx="74">
                  <c:v>60811</c:v>
                </c:pt>
                <c:pt idx="75">
                  <c:v>61725</c:v>
                </c:pt>
                <c:pt idx="76">
                  <c:v>62984</c:v>
                </c:pt>
                <c:pt idx="77">
                  <c:v>64091</c:v>
                </c:pt>
                <c:pt idx="78">
                  <c:v>64862</c:v>
                </c:pt>
                <c:pt idx="79">
                  <c:v>65821</c:v>
                </c:pt>
                <c:pt idx="80">
                  <c:v>66707</c:v>
                </c:pt>
                <c:pt idx="81">
                  <c:v>67735</c:v>
                </c:pt>
                <c:pt idx="82">
                  <c:v>69075</c:v>
                </c:pt>
                <c:pt idx="83">
                  <c:v>69737</c:v>
                </c:pt>
                <c:pt idx="84">
                  <c:v>70537</c:v>
                </c:pt>
                <c:pt idx="85">
                  <c:v>71366</c:v>
                </c:pt>
                <c:pt idx="86">
                  <c:v>71974</c:v>
                </c:pt>
                <c:pt idx="87">
                  <c:v>72710</c:v>
                </c:pt>
                <c:pt idx="88">
                  <c:v>73765</c:v>
                </c:pt>
                <c:pt idx="89">
                  <c:v>74526</c:v>
                </c:pt>
                <c:pt idx="90">
                  <c:v>74898</c:v>
                </c:pt>
                <c:pt idx="91">
                  <c:v>75749</c:v>
                </c:pt>
                <c:pt idx="92">
                  <c:v>76547</c:v>
                </c:pt>
                <c:pt idx="93">
                  <c:v>76696</c:v>
                </c:pt>
                <c:pt idx="94">
                  <c:v>77386</c:v>
                </c:pt>
                <c:pt idx="95">
                  <c:v>77498</c:v>
                </c:pt>
                <c:pt idx="96">
                  <c:v>77688</c:v>
                </c:pt>
                <c:pt idx="97">
                  <c:v>77752</c:v>
                </c:pt>
                <c:pt idx="98">
                  <c:v>77920</c:v>
                </c:pt>
                <c:pt idx="99">
                  <c:v>78079</c:v>
                </c:pt>
                <c:pt idx="100">
                  <c:v>78417</c:v>
                </c:pt>
                <c:pt idx="101">
                  <c:v>78722</c:v>
                </c:pt>
                <c:pt idx="102">
                  <c:v>78825</c:v>
                </c:pt>
                <c:pt idx="103">
                  <c:v>79236</c:v>
                </c:pt>
                <c:pt idx="104">
                  <c:v>79340</c:v>
                </c:pt>
                <c:pt idx="105">
                  <c:v>79626</c:v>
                </c:pt>
                <c:pt idx="106">
                  <c:v>80225</c:v>
                </c:pt>
                <c:pt idx="107">
                  <c:v>80368</c:v>
                </c:pt>
                <c:pt idx="108">
                  <c:v>80541</c:v>
                </c:pt>
                <c:pt idx="109">
                  <c:v>80833</c:v>
                </c:pt>
                <c:pt idx="110">
                  <c:v>80785</c:v>
                </c:pt>
                <c:pt idx="111">
                  <c:v>80771</c:v>
                </c:pt>
                <c:pt idx="112">
                  <c:v>81088</c:v>
                </c:pt>
                <c:pt idx="113">
                  <c:v>80990</c:v>
                </c:pt>
                <c:pt idx="114">
                  <c:v>81107</c:v>
                </c:pt>
                <c:pt idx="115">
                  <c:v>80857</c:v>
                </c:pt>
                <c:pt idx="116">
                  <c:v>79685</c:v>
                </c:pt>
                <c:pt idx="117">
                  <c:v>79952</c:v>
                </c:pt>
                <c:pt idx="118">
                  <c:v>80155</c:v>
                </c:pt>
                <c:pt idx="119">
                  <c:v>79776</c:v>
                </c:pt>
                <c:pt idx="120">
                  <c:v>79674</c:v>
                </c:pt>
                <c:pt idx="121">
                  <c:v>79468</c:v>
                </c:pt>
                <c:pt idx="122">
                  <c:v>79363</c:v>
                </c:pt>
                <c:pt idx="123">
                  <c:v>79437</c:v>
                </c:pt>
                <c:pt idx="124">
                  <c:v>79442</c:v>
                </c:pt>
                <c:pt idx="125">
                  <c:v>79576</c:v>
                </c:pt>
                <c:pt idx="126">
                  <c:v>79214</c:v>
                </c:pt>
                <c:pt idx="127">
                  <c:v>78809</c:v>
                </c:pt>
                <c:pt idx="128">
                  <c:v>78502</c:v>
                </c:pt>
                <c:pt idx="129">
                  <c:v>78140</c:v>
                </c:pt>
                <c:pt idx="130">
                  <c:v>78026</c:v>
                </c:pt>
                <c:pt idx="131">
                  <c:v>77737</c:v>
                </c:pt>
                <c:pt idx="132">
                  <c:v>77495</c:v>
                </c:pt>
                <c:pt idx="133">
                  <c:v>77239</c:v>
                </c:pt>
                <c:pt idx="134">
                  <c:v>77018</c:v>
                </c:pt>
                <c:pt idx="135">
                  <c:v>76761</c:v>
                </c:pt>
                <c:pt idx="136">
                  <c:v>76639</c:v>
                </c:pt>
                <c:pt idx="137">
                  <c:v>75383</c:v>
                </c:pt>
                <c:pt idx="138">
                  <c:v>75115</c:v>
                </c:pt>
                <c:pt idx="139">
                  <c:v>74730</c:v>
                </c:pt>
                <c:pt idx="140">
                  <c:v>74530</c:v>
                </c:pt>
                <c:pt idx="141">
                  <c:v>74316</c:v>
                </c:pt>
                <c:pt idx="142">
                  <c:v>74268</c:v>
                </c:pt>
                <c:pt idx="143">
                  <c:v>73497</c:v>
                </c:pt>
                <c:pt idx="144">
                  <c:v>73296</c:v>
                </c:pt>
                <c:pt idx="145">
                  <c:v>73157</c:v>
                </c:pt>
                <c:pt idx="146">
                  <c:v>72906</c:v>
                </c:pt>
                <c:pt idx="147">
                  <c:v>72353</c:v>
                </c:pt>
                <c:pt idx="148">
                  <c:v>72246</c:v>
                </c:pt>
                <c:pt idx="149">
                  <c:v>71885</c:v>
                </c:pt>
                <c:pt idx="150">
                  <c:v>71674</c:v>
                </c:pt>
                <c:pt idx="151">
                  <c:v>71531</c:v>
                </c:pt>
                <c:pt idx="152">
                  <c:v>71332</c:v>
                </c:pt>
                <c:pt idx="153">
                  <c:v>71124</c:v>
                </c:pt>
                <c:pt idx="154">
                  <c:v>70685</c:v>
                </c:pt>
                <c:pt idx="155">
                  <c:v>70433</c:v>
                </c:pt>
                <c:pt idx="156">
                  <c:v>70753</c:v>
                </c:pt>
                <c:pt idx="157">
                  <c:v>70600</c:v>
                </c:pt>
                <c:pt idx="158">
                  <c:v>70452</c:v>
                </c:pt>
                <c:pt idx="159">
                  <c:v>70349</c:v>
                </c:pt>
                <c:pt idx="160">
                  <c:v>70245</c:v>
                </c:pt>
                <c:pt idx="161">
                  <c:v>69995</c:v>
                </c:pt>
                <c:pt idx="162">
                  <c:v>69736</c:v>
                </c:pt>
                <c:pt idx="163">
                  <c:v>69523</c:v>
                </c:pt>
                <c:pt idx="164">
                  <c:v>69307</c:v>
                </c:pt>
                <c:pt idx="165">
                  <c:v>69227</c:v>
                </c:pt>
                <c:pt idx="166">
                  <c:v>69042</c:v>
                </c:pt>
                <c:pt idx="167">
                  <c:v>69614</c:v>
                </c:pt>
                <c:pt idx="168">
                  <c:v>69285</c:v>
                </c:pt>
                <c:pt idx="169">
                  <c:v>69148</c:v>
                </c:pt>
                <c:pt idx="170">
                  <c:v>68887</c:v>
                </c:pt>
                <c:pt idx="171">
                  <c:v>68762</c:v>
                </c:pt>
                <c:pt idx="172">
                  <c:v>68634</c:v>
                </c:pt>
                <c:pt idx="173">
                  <c:v>68286</c:v>
                </c:pt>
                <c:pt idx="174">
                  <c:v>67922</c:v>
                </c:pt>
                <c:pt idx="175">
                  <c:v>67662</c:v>
                </c:pt>
                <c:pt idx="176">
                  <c:v>67522</c:v>
                </c:pt>
                <c:pt idx="177">
                  <c:v>67278</c:v>
                </c:pt>
                <c:pt idx="178">
                  <c:v>67223</c:v>
                </c:pt>
                <c:pt idx="179">
                  <c:v>66790</c:v>
                </c:pt>
                <c:pt idx="180">
                  <c:v>66468</c:v>
                </c:pt>
                <c:pt idx="181">
                  <c:v>66235</c:v>
                </c:pt>
                <c:pt idx="182">
                  <c:v>66025</c:v>
                </c:pt>
                <c:pt idx="183">
                  <c:v>65762</c:v>
                </c:pt>
                <c:pt idx="184">
                  <c:v>65687</c:v>
                </c:pt>
                <c:pt idx="185">
                  <c:v>65496</c:v>
                </c:pt>
                <c:pt idx="186">
                  <c:v>65183</c:v>
                </c:pt>
                <c:pt idx="187">
                  <c:v>65012</c:v>
                </c:pt>
                <c:pt idx="188">
                  <c:v>64877</c:v>
                </c:pt>
                <c:pt idx="189">
                  <c:v>64636</c:v>
                </c:pt>
                <c:pt idx="190">
                  <c:v>61026</c:v>
                </c:pt>
                <c:pt idx="191">
                  <c:v>60859</c:v>
                </c:pt>
                <c:pt idx="192">
                  <c:v>60713</c:v>
                </c:pt>
                <c:pt idx="193">
                  <c:v>60480</c:v>
                </c:pt>
                <c:pt idx="194">
                  <c:v>60272</c:v>
                </c:pt>
                <c:pt idx="195">
                  <c:v>60074</c:v>
                </c:pt>
                <c:pt idx="196">
                  <c:v>59891</c:v>
                </c:pt>
                <c:pt idx="197">
                  <c:v>59446</c:v>
                </c:pt>
                <c:pt idx="198">
                  <c:v>59220</c:v>
                </c:pt>
                <c:pt idx="199">
                  <c:v>59072</c:v>
                </c:pt>
                <c:pt idx="200">
                  <c:v>58833</c:v>
                </c:pt>
                <c:pt idx="201">
                  <c:v>58620</c:v>
                </c:pt>
                <c:pt idx="202">
                  <c:v>58441</c:v>
                </c:pt>
                <c:pt idx="203">
                  <c:v>58270</c:v>
                </c:pt>
                <c:pt idx="204">
                  <c:v>58185</c:v>
                </c:pt>
                <c:pt idx="205">
                  <c:v>57844</c:v>
                </c:pt>
                <c:pt idx="206">
                  <c:v>57596</c:v>
                </c:pt>
                <c:pt idx="207">
                  <c:v>57650</c:v>
                </c:pt>
                <c:pt idx="208">
                  <c:v>57407</c:v>
                </c:pt>
                <c:pt idx="209">
                  <c:v>57193</c:v>
                </c:pt>
                <c:pt idx="210">
                  <c:v>57218</c:v>
                </c:pt>
                <c:pt idx="211">
                  <c:v>57023</c:v>
                </c:pt>
                <c:pt idx="212">
                  <c:v>56803</c:v>
                </c:pt>
                <c:pt idx="213">
                  <c:v>56644</c:v>
                </c:pt>
                <c:pt idx="214">
                  <c:v>56393</c:v>
                </c:pt>
                <c:pt idx="215">
                  <c:v>56114</c:v>
                </c:pt>
                <c:pt idx="216">
                  <c:v>55963</c:v>
                </c:pt>
                <c:pt idx="217">
                  <c:v>55780</c:v>
                </c:pt>
                <c:pt idx="218">
                  <c:v>55418</c:v>
                </c:pt>
                <c:pt idx="219">
                  <c:v>55261</c:v>
                </c:pt>
                <c:pt idx="220">
                  <c:v>54973</c:v>
                </c:pt>
                <c:pt idx="221">
                  <c:v>54720</c:v>
                </c:pt>
                <c:pt idx="222">
                  <c:v>54573</c:v>
                </c:pt>
                <c:pt idx="223">
                  <c:v>53135</c:v>
                </c:pt>
                <c:pt idx="224">
                  <c:v>52837</c:v>
                </c:pt>
                <c:pt idx="225">
                  <c:v>52582</c:v>
                </c:pt>
                <c:pt idx="226">
                  <c:v>52335</c:v>
                </c:pt>
                <c:pt idx="227">
                  <c:v>52144</c:v>
                </c:pt>
              </c:numCache>
            </c:numRef>
          </c:val>
          <c:extLst>
            <c:ext xmlns:c16="http://schemas.microsoft.com/office/drawing/2014/chart" uri="{C3380CC4-5D6E-409C-BE32-E72D297353CC}">
              <c16:uniqueId val="{00000000-BAEF-45B1-8305-8972D31F5158}"/>
            </c:ext>
          </c:extLst>
        </c:ser>
        <c:dLbls>
          <c:showLegendKey val="0"/>
          <c:showVal val="0"/>
          <c:showCatName val="0"/>
          <c:showSerName val="0"/>
          <c:showPercent val="0"/>
          <c:showBubbleSize val="0"/>
        </c:dLbls>
        <c:gapWidth val="219"/>
        <c:overlap val="-27"/>
        <c:axId val="43989248"/>
        <c:axId val="43999232"/>
      </c:barChart>
      <c:lineChart>
        <c:grouping val="standard"/>
        <c:varyColors val="0"/>
        <c:ser>
          <c:idx val="1"/>
          <c:order val="1"/>
          <c:spPr>
            <a:ln w="28575" cap="rnd">
              <a:solidFill>
                <a:schemeClr val="accent2"/>
              </a:solidFill>
              <a:round/>
            </a:ln>
            <a:effectLst/>
          </c:spPr>
          <c:marker>
            <c:symbol val="none"/>
          </c:marker>
          <c:cat>
            <c:numRef>
              <c:f>Sheet1!$D$1:$HW$1</c:f>
              <c:numCache>
                <c:formatCode>mmm\-yy</c:formatCode>
                <c:ptCount val="228"/>
                <c:pt idx="0">
                  <c:v>36923</c:v>
                </c:pt>
                <c:pt idx="1">
                  <c:v>36951</c:v>
                </c:pt>
                <c:pt idx="2">
                  <c:v>36982</c:v>
                </c:pt>
                <c:pt idx="3">
                  <c:v>37012</c:v>
                </c:pt>
                <c:pt idx="4">
                  <c:v>37043</c:v>
                </c:pt>
                <c:pt idx="5">
                  <c:v>37073</c:v>
                </c:pt>
                <c:pt idx="6">
                  <c:v>37104</c:v>
                </c:pt>
                <c:pt idx="7">
                  <c:v>37135</c:v>
                </c:pt>
                <c:pt idx="8">
                  <c:v>37165</c:v>
                </c:pt>
                <c:pt idx="9">
                  <c:v>37196</c:v>
                </c:pt>
                <c:pt idx="10">
                  <c:v>37226</c:v>
                </c:pt>
                <c:pt idx="11">
                  <c:v>37257</c:v>
                </c:pt>
                <c:pt idx="12">
                  <c:v>37288</c:v>
                </c:pt>
                <c:pt idx="13">
                  <c:v>37316</c:v>
                </c:pt>
                <c:pt idx="14">
                  <c:v>37347</c:v>
                </c:pt>
                <c:pt idx="15">
                  <c:v>37377</c:v>
                </c:pt>
                <c:pt idx="16">
                  <c:v>37408</c:v>
                </c:pt>
                <c:pt idx="17">
                  <c:v>37438</c:v>
                </c:pt>
                <c:pt idx="18">
                  <c:v>37469</c:v>
                </c:pt>
                <c:pt idx="19">
                  <c:v>37500</c:v>
                </c:pt>
                <c:pt idx="20">
                  <c:v>37530</c:v>
                </c:pt>
                <c:pt idx="21">
                  <c:v>37561</c:v>
                </c:pt>
                <c:pt idx="22">
                  <c:v>37591</c:v>
                </c:pt>
                <c:pt idx="23">
                  <c:v>37622</c:v>
                </c:pt>
                <c:pt idx="24">
                  <c:v>37653</c:v>
                </c:pt>
                <c:pt idx="25">
                  <c:v>37681</c:v>
                </c:pt>
                <c:pt idx="26">
                  <c:v>37712</c:v>
                </c:pt>
                <c:pt idx="27">
                  <c:v>37742</c:v>
                </c:pt>
                <c:pt idx="28">
                  <c:v>37773</c:v>
                </c:pt>
                <c:pt idx="29">
                  <c:v>37803</c:v>
                </c:pt>
                <c:pt idx="30">
                  <c:v>37834</c:v>
                </c:pt>
                <c:pt idx="31">
                  <c:v>37865</c:v>
                </c:pt>
                <c:pt idx="32">
                  <c:v>37895</c:v>
                </c:pt>
                <c:pt idx="33">
                  <c:v>37926</c:v>
                </c:pt>
                <c:pt idx="34">
                  <c:v>37956</c:v>
                </c:pt>
                <c:pt idx="35">
                  <c:v>37987</c:v>
                </c:pt>
                <c:pt idx="36">
                  <c:v>38018</c:v>
                </c:pt>
                <c:pt idx="37">
                  <c:v>38047</c:v>
                </c:pt>
                <c:pt idx="38">
                  <c:v>38078</c:v>
                </c:pt>
                <c:pt idx="39">
                  <c:v>38108</c:v>
                </c:pt>
                <c:pt idx="40">
                  <c:v>38139</c:v>
                </c:pt>
                <c:pt idx="41">
                  <c:v>38169</c:v>
                </c:pt>
                <c:pt idx="42">
                  <c:v>38200</c:v>
                </c:pt>
                <c:pt idx="43">
                  <c:v>38231</c:v>
                </c:pt>
                <c:pt idx="44">
                  <c:v>38261</c:v>
                </c:pt>
                <c:pt idx="45">
                  <c:v>38292</c:v>
                </c:pt>
                <c:pt idx="46">
                  <c:v>38322</c:v>
                </c:pt>
                <c:pt idx="47">
                  <c:v>38353</c:v>
                </c:pt>
                <c:pt idx="48">
                  <c:v>38384</c:v>
                </c:pt>
                <c:pt idx="49">
                  <c:v>38412</c:v>
                </c:pt>
                <c:pt idx="50">
                  <c:v>38443</c:v>
                </c:pt>
                <c:pt idx="51">
                  <c:v>38473</c:v>
                </c:pt>
                <c:pt idx="52">
                  <c:v>38504</c:v>
                </c:pt>
                <c:pt idx="53">
                  <c:v>38534</c:v>
                </c:pt>
                <c:pt idx="54">
                  <c:v>38565</c:v>
                </c:pt>
                <c:pt idx="55">
                  <c:v>38596</c:v>
                </c:pt>
                <c:pt idx="56">
                  <c:v>38626</c:v>
                </c:pt>
                <c:pt idx="57">
                  <c:v>38657</c:v>
                </c:pt>
                <c:pt idx="58">
                  <c:v>38687</c:v>
                </c:pt>
                <c:pt idx="59">
                  <c:v>38718</c:v>
                </c:pt>
                <c:pt idx="60">
                  <c:v>38749</c:v>
                </c:pt>
                <c:pt idx="61">
                  <c:v>38777</c:v>
                </c:pt>
                <c:pt idx="62">
                  <c:v>38808</c:v>
                </c:pt>
                <c:pt idx="63">
                  <c:v>38838</c:v>
                </c:pt>
                <c:pt idx="64">
                  <c:v>38869</c:v>
                </c:pt>
                <c:pt idx="65">
                  <c:v>38899</c:v>
                </c:pt>
                <c:pt idx="66">
                  <c:v>38930</c:v>
                </c:pt>
                <c:pt idx="67">
                  <c:v>38961</c:v>
                </c:pt>
                <c:pt idx="68">
                  <c:v>38991</c:v>
                </c:pt>
                <c:pt idx="69">
                  <c:v>39022</c:v>
                </c:pt>
                <c:pt idx="70">
                  <c:v>39052</c:v>
                </c:pt>
                <c:pt idx="71">
                  <c:v>39083</c:v>
                </c:pt>
                <c:pt idx="72">
                  <c:v>39114</c:v>
                </c:pt>
                <c:pt idx="73">
                  <c:v>39142</c:v>
                </c:pt>
                <c:pt idx="74">
                  <c:v>39173</c:v>
                </c:pt>
                <c:pt idx="75">
                  <c:v>39203</c:v>
                </c:pt>
                <c:pt idx="76">
                  <c:v>39234</c:v>
                </c:pt>
                <c:pt idx="77">
                  <c:v>39264</c:v>
                </c:pt>
                <c:pt idx="78">
                  <c:v>39295</c:v>
                </c:pt>
                <c:pt idx="79">
                  <c:v>39326</c:v>
                </c:pt>
                <c:pt idx="80">
                  <c:v>39356</c:v>
                </c:pt>
                <c:pt idx="81">
                  <c:v>39387</c:v>
                </c:pt>
                <c:pt idx="82">
                  <c:v>39417</c:v>
                </c:pt>
                <c:pt idx="83">
                  <c:v>39448</c:v>
                </c:pt>
                <c:pt idx="84">
                  <c:v>39479</c:v>
                </c:pt>
                <c:pt idx="85">
                  <c:v>39508</c:v>
                </c:pt>
                <c:pt idx="86">
                  <c:v>39539</c:v>
                </c:pt>
                <c:pt idx="87">
                  <c:v>39569</c:v>
                </c:pt>
                <c:pt idx="88">
                  <c:v>39600</c:v>
                </c:pt>
                <c:pt idx="89">
                  <c:v>39630</c:v>
                </c:pt>
                <c:pt idx="90">
                  <c:v>39661</c:v>
                </c:pt>
                <c:pt idx="91">
                  <c:v>39692</c:v>
                </c:pt>
                <c:pt idx="92">
                  <c:v>39722</c:v>
                </c:pt>
                <c:pt idx="93">
                  <c:v>39753</c:v>
                </c:pt>
                <c:pt idx="94">
                  <c:v>39783</c:v>
                </c:pt>
                <c:pt idx="95">
                  <c:v>39814</c:v>
                </c:pt>
                <c:pt idx="96">
                  <c:v>39845</c:v>
                </c:pt>
                <c:pt idx="97">
                  <c:v>39873</c:v>
                </c:pt>
                <c:pt idx="98">
                  <c:v>39904</c:v>
                </c:pt>
                <c:pt idx="99">
                  <c:v>39934</c:v>
                </c:pt>
                <c:pt idx="100">
                  <c:v>39965</c:v>
                </c:pt>
                <c:pt idx="101">
                  <c:v>39995</c:v>
                </c:pt>
                <c:pt idx="102">
                  <c:v>40026</c:v>
                </c:pt>
                <c:pt idx="103">
                  <c:v>40057</c:v>
                </c:pt>
                <c:pt idx="104">
                  <c:v>40087</c:v>
                </c:pt>
                <c:pt idx="105">
                  <c:v>40118</c:v>
                </c:pt>
                <c:pt idx="106">
                  <c:v>40148</c:v>
                </c:pt>
                <c:pt idx="107">
                  <c:v>40179</c:v>
                </c:pt>
                <c:pt idx="108">
                  <c:v>40210</c:v>
                </c:pt>
                <c:pt idx="109">
                  <c:v>40238</c:v>
                </c:pt>
                <c:pt idx="110">
                  <c:v>40269</c:v>
                </c:pt>
                <c:pt idx="111">
                  <c:v>40299</c:v>
                </c:pt>
                <c:pt idx="112">
                  <c:v>40330</c:v>
                </c:pt>
                <c:pt idx="113">
                  <c:v>40360</c:v>
                </c:pt>
                <c:pt idx="114">
                  <c:v>40391</c:v>
                </c:pt>
                <c:pt idx="115">
                  <c:v>40422</c:v>
                </c:pt>
                <c:pt idx="116">
                  <c:v>40452</c:v>
                </c:pt>
                <c:pt idx="117">
                  <c:v>40483</c:v>
                </c:pt>
                <c:pt idx="118">
                  <c:v>40513</c:v>
                </c:pt>
                <c:pt idx="119">
                  <c:v>40544</c:v>
                </c:pt>
                <c:pt idx="120">
                  <c:v>40575</c:v>
                </c:pt>
                <c:pt idx="121">
                  <c:v>40603</c:v>
                </c:pt>
                <c:pt idx="122">
                  <c:v>40634</c:v>
                </c:pt>
                <c:pt idx="123">
                  <c:v>40664</c:v>
                </c:pt>
                <c:pt idx="124">
                  <c:v>40695</c:v>
                </c:pt>
                <c:pt idx="125">
                  <c:v>40725</c:v>
                </c:pt>
                <c:pt idx="126">
                  <c:v>40756</c:v>
                </c:pt>
                <c:pt idx="127">
                  <c:v>40787</c:v>
                </c:pt>
                <c:pt idx="128">
                  <c:v>40817</c:v>
                </c:pt>
                <c:pt idx="129">
                  <c:v>40848</c:v>
                </c:pt>
                <c:pt idx="130">
                  <c:v>40878</c:v>
                </c:pt>
                <c:pt idx="131">
                  <c:v>40909</c:v>
                </c:pt>
                <c:pt idx="132">
                  <c:v>40940</c:v>
                </c:pt>
                <c:pt idx="133">
                  <c:v>40969</c:v>
                </c:pt>
                <c:pt idx="134">
                  <c:v>41000</c:v>
                </c:pt>
                <c:pt idx="135">
                  <c:v>41030</c:v>
                </c:pt>
                <c:pt idx="136">
                  <c:v>41061</c:v>
                </c:pt>
                <c:pt idx="137">
                  <c:v>41091</c:v>
                </c:pt>
                <c:pt idx="138">
                  <c:v>41122</c:v>
                </c:pt>
                <c:pt idx="139">
                  <c:v>41153</c:v>
                </c:pt>
                <c:pt idx="140">
                  <c:v>41183</c:v>
                </c:pt>
                <c:pt idx="141">
                  <c:v>41214</c:v>
                </c:pt>
                <c:pt idx="142">
                  <c:v>41244</c:v>
                </c:pt>
                <c:pt idx="143">
                  <c:v>41275</c:v>
                </c:pt>
                <c:pt idx="144">
                  <c:v>41306</c:v>
                </c:pt>
                <c:pt idx="145">
                  <c:v>41334</c:v>
                </c:pt>
                <c:pt idx="146">
                  <c:v>41365</c:v>
                </c:pt>
                <c:pt idx="147">
                  <c:v>41395</c:v>
                </c:pt>
                <c:pt idx="148">
                  <c:v>41426</c:v>
                </c:pt>
                <c:pt idx="149">
                  <c:v>41456</c:v>
                </c:pt>
                <c:pt idx="150">
                  <c:v>41487</c:v>
                </c:pt>
                <c:pt idx="151">
                  <c:v>41518</c:v>
                </c:pt>
                <c:pt idx="152">
                  <c:v>41548</c:v>
                </c:pt>
                <c:pt idx="153">
                  <c:v>41579</c:v>
                </c:pt>
                <c:pt idx="154">
                  <c:v>41609</c:v>
                </c:pt>
                <c:pt idx="155">
                  <c:v>41640</c:v>
                </c:pt>
                <c:pt idx="156">
                  <c:v>41671</c:v>
                </c:pt>
                <c:pt idx="157">
                  <c:v>41699</c:v>
                </c:pt>
                <c:pt idx="158">
                  <c:v>41730</c:v>
                </c:pt>
                <c:pt idx="159">
                  <c:v>41760</c:v>
                </c:pt>
                <c:pt idx="160">
                  <c:v>41791</c:v>
                </c:pt>
                <c:pt idx="161">
                  <c:v>41821</c:v>
                </c:pt>
                <c:pt idx="162">
                  <c:v>41852</c:v>
                </c:pt>
                <c:pt idx="163">
                  <c:v>41883</c:v>
                </c:pt>
                <c:pt idx="164">
                  <c:v>41913</c:v>
                </c:pt>
                <c:pt idx="165">
                  <c:v>41944</c:v>
                </c:pt>
                <c:pt idx="166">
                  <c:v>41974</c:v>
                </c:pt>
                <c:pt idx="167">
                  <c:v>42005</c:v>
                </c:pt>
                <c:pt idx="168">
                  <c:v>42036</c:v>
                </c:pt>
                <c:pt idx="169">
                  <c:v>42064</c:v>
                </c:pt>
                <c:pt idx="170">
                  <c:v>42095</c:v>
                </c:pt>
                <c:pt idx="171">
                  <c:v>42125</c:v>
                </c:pt>
                <c:pt idx="172">
                  <c:v>42156</c:v>
                </c:pt>
                <c:pt idx="173">
                  <c:v>42186</c:v>
                </c:pt>
                <c:pt idx="174">
                  <c:v>42217</c:v>
                </c:pt>
                <c:pt idx="175">
                  <c:v>42248</c:v>
                </c:pt>
                <c:pt idx="176">
                  <c:v>42278</c:v>
                </c:pt>
                <c:pt idx="177">
                  <c:v>42309</c:v>
                </c:pt>
                <c:pt idx="178">
                  <c:v>42339</c:v>
                </c:pt>
                <c:pt idx="179">
                  <c:v>42370</c:v>
                </c:pt>
                <c:pt idx="180">
                  <c:v>42401</c:v>
                </c:pt>
                <c:pt idx="181">
                  <c:v>42430</c:v>
                </c:pt>
                <c:pt idx="182">
                  <c:v>42461</c:v>
                </c:pt>
                <c:pt idx="183">
                  <c:v>42491</c:v>
                </c:pt>
                <c:pt idx="184">
                  <c:v>42522</c:v>
                </c:pt>
                <c:pt idx="185">
                  <c:v>42552</c:v>
                </c:pt>
                <c:pt idx="186">
                  <c:v>42583</c:v>
                </c:pt>
                <c:pt idx="187">
                  <c:v>42614</c:v>
                </c:pt>
                <c:pt idx="188">
                  <c:v>42644</c:v>
                </c:pt>
                <c:pt idx="189">
                  <c:v>42675</c:v>
                </c:pt>
                <c:pt idx="190">
                  <c:v>42705</c:v>
                </c:pt>
                <c:pt idx="191">
                  <c:v>42736</c:v>
                </c:pt>
                <c:pt idx="192">
                  <c:v>42767</c:v>
                </c:pt>
                <c:pt idx="193">
                  <c:v>42795</c:v>
                </c:pt>
                <c:pt idx="194">
                  <c:v>42826</c:v>
                </c:pt>
                <c:pt idx="195">
                  <c:v>42856</c:v>
                </c:pt>
                <c:pt idx="196">
                  <c:v>42887</c:v>
                </c:pt>
                <c:pt idx="197">
                  <c:v>42917</c:v>
                </c:pt>
                <c:pt idx="198">
                  <c:v>42948</c:v>
                </c:pt>
                <c:pt idx="199">
                  <c:v>42979</c:v>
                </c:pt>
                <c:pt idx="200">
                  <c:v>43009</c:v>
                </c:pt>
                <c:pt idx="201">
                  <c:v>43040</c:v>
                </c:pt>
                <c:pt idx="202">
                  <c:v>43070</c:v>
                </c:pt>
                <c:pt idx="203">
                  <c:v>43101</c:v>
                </c:pt>
                <c:pt idx="204">
                  <c:v>43132</c:v>
                </c:pt>
                <c:pt idx="205">
                  <c:v>43160</c:v>
                </c:pt>
                <c:pt idx="206">
                  <c:v>43191</c:v>
                </c:pt>
                <c:pt idx="207">
                  <c:v>43221</c:v>
                </c:pt>
                <c:pt idx="208">
                  <c:v>43252</c:v>
                </c:pt>
                <c:pt idx="209">
                  <c:v>43282</c:v>
                </c:pt>
                <c:pt idx="210">
                  <c:v>43313</c:v>
                </c:pt>
                <c:pt idx="211">
                  <c:v>43344</c:v>
                </c:pt>
                <c:pt idx="212">
                  <c:v>43374</c:v>
                </c:pt>
                <c:pt idx="213">
                  <c:v>43405</c:v>
                </c:pt>
                <c:pt idx="214">
                  <c:v>43435</c:v>
                </c:pt>
                <c:pt idx="215">
                  <c:v>43466</c:v>
                </c:pt>
                <c:pt idx="216">
                  <c:v>43497</c:v>
                </c:pt>
                <c:pt idx="217">
                  <c:v>43525</c:v>
                </c:pt>
                <c:pt idx="218">
                  <c:v>43556</c:v>
                </c:pt>
                <c:pt idx="219">
                  <c:v>43586</c:v>
                </c:pt>
                <c:pt idx="220">
                  <c:v>43617</c:v>
                </c:pt>
                <c:pt idx="221">
                  <c:v>43647</c:v>
                </c:pt>
                <c:pt idx="222">
                  <c:v>43678</c:v>
                </c:pt>
                <c:pt idx="223">
                  <c:v>43709</c:v>
                </c:pt>
                <c:pt idx="224">
                  <c:v>43739</c:v>
                </c:pt>
                <c:pt idx="225">
                  <c:v>43770</c:v>
                </c:pt>
                <c:pt idx="226">
                  <c:v>43800</c:v>
                </c:pt>
                <c:pt idx="227">
                  <c:v>43831</c:v>
                </c:pt>
              </c:numCache>
            </c:numRef>
          </c:cat>
          <c:val>
            <c:numRef>
              <c:f>Sheet1!$D$3:$HW$3</c:f>
              <c:numCache>
                <c:formatCode>0.00%</c:formatCode>
                <c:ptCount val="228"/>
                <c:pt idx="0">
                  <c:v>2.0126006300315014E-2</c:v>
                </c:pt>
                <c:pt idx="1">
                  <c:v>2.4961399897066392E-2</c:v>
                </c:pt>
                <c:pt idx="2">
                  <c:v>2.1675454012888107E-2</c:v>
                </c:pt>
                <c:pt idx="3">
                  <c:v>3.4731323722149411E-2</c:v>
                </c:pt>
                <c:pt idx="4">
                  <c:v>2.3511716276124129E-2</c:v>
                </c:pt>
                <c:pt idx="5">
                  <c:v>3.7048495629979118E-2</c:v>
                </c:pt>
                <c:pt idx="6">
                  <c:v>2.4239260143198091E-2</c:v>
                </c:pt>
                <c:pt idx="7">
                  <c:v>2.8180295638243646E-2</c:v>
                </c:pt>
                <c:pt idx="8">
                  <c:v>3.1515580736543911E-2</c:v>
                </c:pt>
                <c:pt idx="9">
                  <c:v>3.3642293168554757E-2</c:v>
                </c:pt>
                <c:pt idx="10">
                  <c:v>3.0621056127532381E-2</c:v>
                </c:pt>
                <c:pt idx="11">
                  <c:v>2.3653003351379223E-2</c:v>
                </c:pt>
                <c:pt idx="12">
                  <c:v>2.4428634388969337E-2</c:v>
                </c:pt>
                <c:pt idx="13">
                  <c:v>2.8947206686743287E-2</c:v>
                </c:pt>
                <c:pt idx="14">
                  <c:v>2.795364950424083E-2</c:v>
                </c:pt>
                <c:pt idx="15">
                  <c:v>2.0743753631609529E-2</c:v>
                </c:pt>
                <c:pt idx="16">
                  <c:v>2.6754710536801958E-2</c:v>
                </c:pt>
                <c:pt idx="17">
                  <c:v>3.1158174862782058E-2</c:v>
                </c:pt>
                <c:pt idx="18">
                  <c:v>2.9302650680144093E-2</c:v>
                </c:pt>
                <c:pt idx="19">
                  <c:v>1.0394901796907647E-2</c:v>
                </c:pt>
                <c:pt idx="20">
                  <c:v>2.1144600113736235E-2</c:v>
                </c:pt>
                <c:pt idx="21">
                  <c:v>2.5313892264074524E-2</c:v>
                </c:pt>
                <c:pt idx="22">
                  <c:v>3.9897294094410431E-2</c:v>
                </c:pt>
                <c:pt idx="23">
                  <c:v>1.7568850902184234E-2</c:v>
                </c:pt>
                <c:pt idx="24">
                  <c:v>2.1511899206719552E-2</c:v>
                </c:pt>
                <c:pt idx="25">
                  <c:v>1.3841304645744826E-2</c:v>
                </c:pt>
                <c:pt idx="26">
                  <c:v>1.7076687392989096E-2</c:v>
                </c:pt>
                <c:pt idx="27">
                  <c:v>1.9182208833562222E-2</c:v>
                </c:pt>
                <c:pt idx="28">
                  <c:v>2.25158654264105E-2</c:v>
                </c:pt>
                <c:pt idx="29">
                  <c:v>2.3762965482060874E-2</c:v>
                </c:pt>
                <c:pt idx="30">
                  <c:v>1.2664535149275423E-2</c:v>
                </c:pt>
                <c:pt idx="31">
                  <c:v>1.9271773003116287E-2</c:v>
                </c:pt>
                <c:pt idx="32">
                  <c:v>2.0677447904095262E-2</c:v>
                </c:pt>
                <c:pt idx="33">
                  <c:v>1.9667349834463187E-2</c:v>
                </c:pt>
                <c:pt idx="34">
                  <c:v>2.7753082602141394E-2</c:v>
                </c:pt>
                <c:pt idx="35">
                  <c:v>1.3765090827033736E-2</c:v>
                </c:pt>
                <c:pt idx="36">
                  <c:v>1.5952513448339825E-2</c:v>
                </c:pt>
                <c:pt idx="37">
                  <c:v>2.0303085630819791E-2</c:v>
                </c:pt>
                <c:pt idx="38">
                  <c:v>2.029275974374575E-2</c:v>
                </c:pt>
                <c:pt idx="39">
                  <c:v>2.146765820120668E-2</c:v>
                </c:pt>
                <c:pt idx="40">
                  <c:v>2.3763736263736263E-2</c:v>
                </c:pt>
                <c:pt idx="41">
                  <c:v>2.5996243123574399E-2</c:v>
                </c:pt>
                <c:pt idx="42">
                  <c:v>1.3502468368914899E-2</c:v>
                </c:pt>
                <c:pt idx="43">
                  <c:v>1.8677419354838711E-2</c:v>
                </c:pt>
                <c:pt idx="44">
                  <c:v>1.7828303619493967E-2</c:v>
                </c:pt>
                <c:pt idx="45">
                  <c:v>2.2493933171551243E-2</c:v>
                </c:pt>
                <c:pt idx="46">
                  <c:v>2.975810132359653E-2</c:v>
                </c:pt>
                <c:pt idx="47">
                  <c:v>1.5512809148125166E-2</c:v>
                </c:pt>
                <c:pt idx="48">
                  <c:v>1.7370810055865923E-2</c:v>
                </c:pt>
                <c:pt idx="49">
                  <c:v>2.2851422851422852E-2</c:v>
                </c:pt>
                <c:pt idx="50">
                  <c:v>2.1725757745218656E-2</c:v>
                </c:pt>
                <c:pt idx="51">
                  <c:v>1.9703894255767494E-2</c:v>
                </c:pt>
                <c:pt idx="52">
                  <c:v>2.6327795818684416E-2</c:v>
                </c:pt>
                <c:pt idx="53">
                  <c:v>2.9130275613200148E-2</c:v>
                </c:pt>
                <c:pt idx="54">
                  <c:v>1.5118406342107938E-2</c:v>
                </c:pt>
                <c:pt idx="55">
                  <c:v>2.8334710019774223E-2</c:v>
                </c:pt>
                <c:pt idx="56">
                  <c:v>2.3489034393788185E-2</c:v>
                </c:pt>
                <c:pt idx="57">
                  <c:v>2.863394216133942E-2</c:v>
                </c:pt>
                <c:pt idx="58">
                  <c:v>4.473781559234255E-2</c:v>
                </c:pt>
                <c:pt idx="59">
                  <c:v>1.7128820235908556E-2</c:v>
                </c:pt>
                <c:pt idx="60">
                  <c:v>1.7906485933726419E-2</c:v>
                </c:pt>
                <c:pt idx="61">
                  <c:v>2.1738201094391243E-2</c:v>
                </c:pt>
                <c:pt idx="62">
                  <c:v>1.3807242526306981E-2</c:v>
                </c:pt>
                <c:pt idx="63">
                  <c:v>1.8881162171643175E-2</c:v>
                </c:pt>
                <c:pt idx="64">
                  <c:v>2.507290991574854E-2</c:v>
                </c:pt>
                <c:pt idx="65">
                  <c:v>2.2760501047141106E-2</c:v>
                </c:pt>
                <c:pt idx="66">
                  <c:v>1.5164393617432291E-2</c:v>
                </c:pt>
                <c:pt idx="67">
                  <c:v>1.6593404502293012E-2</c:v>
                </c:pt>
                <c:pt idx="68">
                  <c:v>1.2092170039121726E-2</c:v>
                </c:pt>
                <c:pt idx="69">
                  <c:v>2.2489781575394403E-2</c:v>
                </c:pt>
                <c:pt idx="70">
                  <c:v>2.9375056525278106E-2</c:v>
                </c:pt>
                <c:pt idx="71">
                  <c:v>1.3495229225605792E-2</c:v>
                </c:pt>
                <c:pt idx="72">
                  <c:v>1.5898885170865337E-2</c:v>
                </c:pt>
                <c:pt idx="73">
                  <c:v>2.3568966105744615E-2</c:v>
                </c:pt>
                <c:pt idx="74">
                  <c:v>1.3939141308878699E-2</c:v>
                </c:pt>
                <c:pt idx="75">
                  <c:v>1.5030175461676341E-2</c:v>
                </c:pt>
                <c:pt idx="76">
                  <c:v>2.0396921830700687E-2</c:v>
                </c:pt>
                <c:pt idx="77">
                  <c:v>1.7575892290105425E-2</c:v>
                </c:pt>
                <c:pt idx="78">
                  <c:v>1.2029770170538766E-2</c:v>
                </c:pt>
                <c:pt idx="79">
                  <c:v>1.4785236347938701E-2</c:v>
                </c:pt>
                <c:pt idx="80">
                  <c:v>1.3460749608787469E-2</c:v>
                </c:pt>
                <c:pt idx="81">
                  <c:v>1.5410676540692881E-2</c:v>
                </c:pt>
                <c:pt idx="82">
                  <c:v>1.9782977781058537E-2</c:v>
                </c:pt>
                <c:pt idx="83">
                  <c:v>9.583785740137532E-3</c:v>
                </c:pt>
                <c:pt idx="84">
                  <c:v>1.1471672139610249E-2</c:v>
                </c:pt>
                <c:pt idx="85">
                  <c:v>1.1752697166026341E-2</c:v>
                </c:pt>
                <c:pt idx="86">
                  <c:v>8.5194630496314774E-3</c:v>
                </c:pt>
                <c:pt idx="87">
                  <c:v>1.0225914913718843E-2</c:v>
                </c:pt>
                <c:pt idx="88">
                  <c:v>1.4509696052812543E-2</c:v>
                </c:pt>
                <c:pt idx="89">
                  <c:v>1.03165457872975E-2</c:v>
                </c:pt>
                <c:pt idx="90">
                  <c:v>4.9915465743498909E-3</c:v>
                </c:pt>
                <c:pt idx="91">
                  <c:v>1.136211914870891E-2</c:v>
                </c:pt>
                <c:pt idx="92">
                  <c:v>1.053479253851536E-2</c:v>
                </c:pt>
                <c:pt idx="93">
                  <c:v>1.9465165192626753E-3</c:v>
                </c:pt>
                <c:pt idx="94">
                  <c:v>8.9965578387399599E-3</c:v>
                </c:pt>
                <c:pt idx="95">
                  <c:v>1.447290207531078E-3</c:v>
                </c:pt>
                <c:pt idx="96">
                  <c:v>2.4516761722883171E-3</c:v>
                </c:pt>
                <c:pt idx="97">
                  <c:v>8.2380805272371535E-4</c:v>
                </c:pt>
                <c:pt idx="98">
                  <c:v>2.1607161230579276E-3</c:v>
                </c:pt>
                <c:pt idx="99">
                  <c:v>2.0405544147843943E-3</c:v>
                </c:pt>
                <c:pt idx="100">
                  <c:v>4.3289488851035486E-3</c:v>
                </c:pt>
                <c:pt idx="101">
                  <c:v>3.8894627440478466E-3</c:v>
                </c:pt>
                <c:pt idx="102">
                  <c:v>1.3084017174360407E-3</c:v>
                </c:pt>
                <c:pt idx="103">
                  <c:v>5.2140818268315891E-3</c:v>
                </c:pt>
                <c:pt idx="104">
                  <c:v>1.3125347064465646E-3</c:v>
                </c:pt>
                <c:pt idx="105">
                  <c:v>3.6047390975548275E-3</c:v>
                </c:pt>
                <c:pt idx="106">
                  <c:v>7.5226684751211912E-3</c:v>
                </c:pt>
                <c:pt idx="107">
                  <c:v>1.7824867559987534E-3</c:v>
                </c:pt>
                <c:pt idx="108">
                  <c:v>2.1525980489747161E-3</c:v>
                </c:pt>
                <c:pt idx="109">
                  <c:v>3.6254826734209906E-3</c:v>
                </c:pt>
                <c:pt idx="110">
                  <c:v>-5.9381688171909991E-4</c:v>
                </c:pt>
                <c:pt idx="111">
                  <c:v>-1.7329949866930742E-4</c:v>
                </c:pt>
                <c:pt idx="112">
                  <c:v>3.9246759356699806E-3</c:v>
                </c:pt>
                <c:pt idx="113">
                  <c:v>-1.2085635359116022E-3</c:v>
                </c:pt>
                <c:pt idx="114">
                  <c:v>1.4446227929373998E-3</c:v>
                </c:pt>
                <c:pt idx="115">
                  <c:v>-3.0823480094196555E-3</c:v>
                </c:pt>
                <c:pt idx="116">
                  <c:v>-1.4494725255698332E-2</c:v>
                </c:pt>
                <c:pt idx="117">
                  <c:v>3.3506933550856498E-3</c:v>
                </c:pt>
                <c:pt idx="118">
                  <c:v>2.5390234140484289E-3</c:v>
                </c:pt>
                <c:pt idx="119">
                  <c:v>-4.7283388434907368E-3</c:v>
                </c:pt>
                <c:pt idx="120">
                  <c:v>-1.2785800240673888E-3</c:v>
                </c:pt>
                <c:pt idx="121">
                  <c:v>-2.585536059442227E-3</c:v>
                </c:pt>
                <c:pt idx="122">
                  <c:v>-1.3212865555947049E-3</c:v>
                </c:pt>
                <c:pt idx="123">
                  <c:v>9.3242442952005348E-4</c:v>
                </c:pt>
                <c:pt idx="124">
                  <c:v>6.2942961088661449E-5</c:v>
                </c:pt>
                <c:pt idx="125">
                  <c:v>1.6867651871805846E-3</c:v>
                </c:pt>
                <c:pt idx="126">
                  <c:v>-4.5491102845078915E-3</c:v>
                </c:pt>
                <c:pt idx="127">
                  <c:v>-5.112732597773121E-3</c:v>
                </c:pt>
                <c:pt idx="128">
                  <c:v>-3.8954941694476519E-3</c:v>
                </c:pt>
                <c:pt idx="129">
                  <c:v>-4.6113474815928255E-3</c:v>
                </c:pt>
                <c:pt idx="130">
                  <c:v>-1.4589198873816228E-3</c:v>
                </c:pt>
                <c:pt idx="131">
                  <c:v>-3.703893573936893E-3</c:v>
                </c:pt>
                <c:pt idx="132">
                  <c:v>-3.1130607046837414E-3</c:v>
                </c:pt>
                <c:pt idx="133">
                  <c:v>-3.3034389315439706E-3</c:v>
                </c:pt>
                <c:pt idx="134">
                  <c:v>-2.8612488509690702E-3</c:v>
                </c:pt>
                <c:pt idx="135">
                  <c:v>-3.3368822872575244E-3</c:v>
                </c:pt>
                <c:pt idx="136">
                  <c:v>-1.5893487578327536E-3</c:v>
                </c:pt>
                <c:pt idx="137">
                  <c:v>-1.6388522814754891E-2</c:v>
                </c:pt>
                <c:pt idx="138">
                  <c:v>-3.5551782232068237E-3</c:v>
                </c:pt>
                <c:pt idx="139">
                  <c:v>-5.1254742727817344E-3</c:v>
                </c:pt>
                <c:pt idx="140">
                  <c:v>-2.6763013515321826E-3</c:v>
                </c:pt>
                <c:pt idx="141">
                  <c:v>-2.8713269824231853E-3</c:v>
                </c:pt>
                <c:pt idx="142">
                  <c:v>-6.4589052155659618E-4</c:v>
                </c:pt>
                <c:pt idx="143">
                  <c:v>-1.0381321699789951E-2</c:v>
                </c:pt>
                <c:pt idx="144">
                  <c:v>-2.7348055022653984E-3</c:v>
                </c:pt>
                <c:pt idx="145">
                  <c:v>-1.896419995634141E-3</c:v>
                </c:pt>
                <c:pt idx="146">
                  <c:v>-3.4309772133903796E-3</c:v>
                </c:pt>
                <c:pt idx="147">
                  <c:v>-7.5851095931747728E-3</c:v>
                </c:pt>
                <c:pt idx="148">
                  <c:v>-1.4788605862922062E-3</c:v>
                </c:pt>
                <c:pt idx="149">
                  <c:v>-4.9968164327436814E-3</c:v>
                </c:pt>
                <c:pt idx="150">
                  <c:v>-2.9352437921680461E-3</c:v>
                </c:pt>
                <c:pt idx="151">
                  <c:v>-1.99514468286966E-3</c:v>
                </c:pt>
                <c:pt idx="152">
                  <c:v>-2.7820105968041826E-3</c:v>
                </c:pt>
                <c:pt idx="153">
                  <c:v>-2.9159423540626927E-3</c:v>
                </c:pt>
                <c:pt idx="154">
                  <c:v>-6.1723187672234406E-3</c:v>
                </c:pt>
                <c:pt idx="155">
                  <c:v>-3.565112824503077E-3</c:v>
                </c:pt>
                <c:pt idx="156">
                  <c:v>4.5433248619255176E-3</c:v>
                </c:pt>
                <c:pt idx="157">
                  <c:v>-2.1624524755134056E-3</c:v>
                </c:pt>
                <c:pt idx="158">
                  <c:v>-2.0963172804532577E-3</c:v>
                </c:pt>
                <c:pt idx="159">
                  <c:v>-1.4619883040935672E-3</c:v>
                </c:pt>
                <c:pt idx="160">
                  <c:v>-1.4783436864774196E-3</c:v>
                </c:pt>
                <c:pt idx="161">
                  <c:v>-3.5589721688376397E-3</c:v>
                </c:pt>
                <c:pt idx="162">
                  <c:v>-3.7002643045931853E-3</c:v>
                </c:pt>
                <c:pt idx="163">
                  <c:v>-3.0543765056785591E-3</c:v>
                </c:pt>
                <c:pt idx="164">
                  <c:v>-3.1068854911324309E-3</c:v>
                </c:pt>
                <c:pt idx="165">
                  <c:v>-1.1542845600011544E-3</c:v>
                </c:pt>
                <c:pt idx="166">
                  <c:v>-2.6723677177979692E-3</c:v>
                </c:pt>
                <c:pt idx="167">
                  <c:v>8.2848121433330441E-3</c:v>
                </c:pt>
                <c:pt idx="168">
                  <c:v>-4.7260608498290576E-3</c:v>
                </c:pt>
                <c:pt idx="169">
                  <c:v>-1.977339972577037E-3</c:v>
                </c:pt>
                <c:pt idx="170">
                  <c:v>-3.7745126395557355E-3</c:v>
                </c:pt>
                <c:pt idx="171">
                  <c:v>-1.8145658832580893E-3</c:v>
                </c:pt>
                <c:pt idx="172">
                  <c:v>-1.8614932666298246E-3</c:v>
                </c:pt>
                <c:pt idx="173">
                  <c:v>-5.0703732843780051E-3</c:v>
                </c:pt>
                <c:pt idx="174">
                  <c:v>-5.3305216296166127E-3</c:v>
                </c:pt>
                <c:pt idx="175">
                  <c:v>-3.8279202614763994E-3</c:v>
                </c:pt>
                <c:pt idx="176">
                  <c:v>-2.0691082143596108E-3</c:v>
                </c:pt>
                <c:pt idx="177">
                  <c:v>-3.6136370368176299E-3</c:v>
                </c:pt>
                <c:pt idx="178">
                  <c:v>-8.1750349296946996E-4</c:v>
                </c:pt>
                <c:pt idx="179">
                  <c:v>-6.4412477872156848E-3</c:v>
                </c:pt>
                <c:pt idx="180">
                  <c:v>-4.8210810001497227E-3</c:v>
                </c:pt>
                <c:pt idx="181">
                  <c:v>-3.5054462297646988E-3</c:v>
                </c:pt>
                <c:pt idx="182">
                  <c:v>-3.1705291764173018E-3</c:v>
                </c:pt>
                <c:pt idx="183">
                  <c:v>-3.9833396440742139E-3</c:v>
                </c:pt>
                <c:pt idx="184">
                  <c:v>-1.1404762628873819E-3</c:v>
                </c:pt>
                <c:pt idx="185">
                  <c:v>-2.9077290788131595E-3</c:v>
                </c:pt>
                <c:pt idx="186">
                  <c:v>-4.7789177965066572E-3</c:v>
                </c:pt>
                <c:pt idx="187">
                  <c:v>-2.6233833975116212E-3</c:v>
                </c:pt>
                <c:pt idx="188">
                  <c:v>-2.0765397157447856E-3</c:v>
                </c:pt>
                <c:pt idx="189">
                  <c:v>-3.7147217041478488E-3</c:v>
                </c:pt>
                <c:pt idx="190">
                  <c:v>-5.5851228417600096E-2</c:v>
                </c:pt>
                <c:pt idx="191">
                  <c:v>-2.7365385245633009E-3</c:v>
                </c:pt>
                <c:pt idx="192">
                  <c:v>-2.3989878243152202E-3</c:v>
                </c:pt>
                <c:pt idx="193">
                  <c:v>-3.8377283283646006E-3</c:v>
                </c:pt>
                <c:pt idx="194">
                  <c:v>-3.4391534391534392E-3</c:v>
                </c:pt>
                <c:pt idx="195">
                  <c:v>-3.2851075126095037E-3</c:v>
                </c:pt>
                <c:pt idx="196">
                  <c:v>-3.0462429670073577E-3</c:v>
                </c:pt>
                <c:pt idx="197">
                  <c:v>-7.4301647993855503E-3</c:v>
                </c:pt>
                <c:pt idx="198">
                  <c:v>-3.8017696733169599E-3</c:v>
                </c:pt>
                <c:pt idx="199">
                  <c:v>-2.4991556906450523E-3</c:v>
                </c:pt>
                <c:pt idx="200">
                  <c:v>-4.0459100758396529E-3</c:v>
                </c:pt>
                <c:pt idx="201">
                  <c:v>-3.6204171128448319E-3</c:v>
                </c:pt>
                <c:pt idx="202">
                  <c:v>-3.0535653360627773E-3</c:v>
                </c:pt>
                <c:pt idx="203">
                  <c:v>-2.9260279598227273E-3</c:v>
                </c:pt>
                <c:pt idx="204">
                  <c:v>-1.4587266174703965E-3</c:v>
                </c:pt>
                <c:pt idx="205">
                  <c:v>-5.8606169975079486E-3</c:v>
                </c:pt>
                <c:pt idx="206">
                  <c:v>-4.2873936795518978E-3</c:v>
                </c:pt>
                <c:pt idx="207">
                  <c:v>9.3756510868810334E-4</c:v>
                </c:pt>
                <c:pt idx="208">
                  <c:v>-4.2150910667823069E-3</c:v>
                </c:pt>
                <c:pt idx="209">
                  <c:v>-3.7277683906143848E-3</c:v>
                </c:pt>
                <c:pt idx="210">
                  <c:v>4.3711643033238331E-4</c:v>
                </c:pt>
                <c:pt idx="211">
                  <c:v>-3.4080184557307141E-3</c:v>
                </c:pt>
                <c:pt idx="212">
                  <c:v>-3.8580923487014011E-3</c:v>
                </c:pt>
                <c:pt idx="213">
                  <c:v>-2.7991479323275178E-3</c:v>
                </c:pt>
                <c:pt idx="214">
                  <c:v>-4.4311842384012427E-3</c:v>
                </c:pt>
                <c:pt idx="215">
                  <c:v>-4.9474225524444521E-3</c:v>
                </c:pt>
                <c:pt idx="216">
                  <c:v>-2.6909505649214101E-3</c:v>
                </c:pt>
                <c:pt idx="217">
                  <c:v>-3.270017690259636E-3</c:v>
                </c:pt>
                <c:pt idx="218">
                  <c:v>-6.489781283614199E-3</c:v>
                </c:pt>
                <c:pt idx="219">
                  <c:v>-2.8330145440109713E-3</c:v>
                </c:pt>
                <c:pt idx="220">
                  <c:v>-5.2116320732523841E-3</c:v>
                </c:pt>
                <c:pt idx="221">
                  <c:v>-4.602259290924636E-3</c:v>
                </c:pt>
                <c:pt idx="222">
                  <c:v>-2.6864035087719299E-3</c:v>
                </c:pt>
                <c:pt idx="223">
                  <c:v>-2.6350026569915527E-2</c:v>
                </c:pt>
                <c:pt idx="224">
                  <c:v>-5.6083560741507481E-3</c:v>
                </c:pt>
                <c:pt idx="225">
                  <c:v>-4.8261634839222517E-3</c:v>
                </c:pt>
                <c:pt idx="226">
                  <c:v>-4.6974249743258149E-3</c:v>
                </c:pt>
                <c:pt idx="227">
                  <c:v>-3.6495653004681378E-3</c:v>
                </c:pt>
              </c:numCache>
            </c:numRef>
          </c:val>
          <c:smooth val="0"/>
          <c:extLst>
            <c:ext xmlns:c16="http://schemas.microsoft.com/office/drawing/2014/chart" uri="{C3380CC4-5D6E-409C-BE32-E72D297353CC}">
              <c16:uniqueId val="{00000001-BAEF-45B1-8305-8972D31F5158}"/>
            </c:ext>
          </c:extLst>
        </c:ser>
        <c:dLbls>
          <c:showLegendKey val="0"/>
          <c:showVal val="0"/>
          <c:showCatName val="0"/>
          <c:showSerName val="0"/>
          <c:showPercent val="0"/>
          <c:showBubbleSize val="0"/>
        </c:dLbls>
        <c:marker val="1"/>
        <c:smooth val="0"/>
        <c:axId val="44002304"/>
        <c:axId val="44000768"/>
      </c:lineChart>
      <c:dateAx>
        <c:axId val="439892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999232"/>
        <c:crosses val="autoZero"/>
        <c:auto val="1"/>
        <c:lblOffset val="100"/>
        <c:baseTimeUnit val="months"/>
      </c:dateAx>
      <c:valAx>
        <c:axId val="4399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3989248"/>
        <c:crosses val="autoZero"/>
        <c:crossBetween val="between"/>
      </c:valAx>
      <c:valAx>
        <c:axId val="4400076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002304"/>
        <c:crosses val="max"/>
        <c:crossBetween val="between"/>
      </c:valAx>
      <c:dateAx>
        <c:axId val="44002304"/>
        <c:scaling>
          <c:orientation val="minMax"/>
        </c:scaling>
        <c:delete val="1"/>
        <c:axPos val="b"/>
        <c:numFmt formatCode="mmm\-yy" sourceLinked="1"/>
        <c:majorTickMark val="out"/>
        <c:minorTickMark val="none"/>
        <c:tickLblPos val="nextTo"/>
        <c:crossAx val="44000768"/>
        <c:crosses val="autoZero"/>
        <c:auto val="1"/>
        <c:lblOffset val="100"/>
        <c:baseTimeUnit val="months"/>
      </c:date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κατανομή</a:t>
            </a:r>
            <a:r>
              <a:rPr lang="el-GR" baseline="0"/>
              <a:t> δανείων Α κύκλου</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1"/>
            </a:solidFill>
            <a:ln>
              <a:noFill/>
            </a:ln>
            <a:effectLst/>
          </c:spPr>
          <c:invertIfNegative val="0"/>
          <c:cat>
            <c:strRef>
              <c:f>[epixeiriseis_mitrwou_eey_191129_1154.xls]Φύλλο2!$B$1:$D$1</c:f>
              <c:strCache>
                <c:ptCount val="3"/>
                <c:pt idx="0">
                  <c:v>Διάρκεια δανείου 48 μηνών (4 έτη)</c:v>
                </c:pt>
                <c:pt idx="1">
                  <c:v>Διάρκεια δανείου 60 μηνών (5 έτη)</c:v>
                </c:pt>
                <c:pt idx="2">
                  <c:v>Διάρκεια δανείου 72 μηνών (6 έτη)</c:v>
                </c:pt>
              </c:strCache>
            </c:strRef>
          </c:cat>
          <c:val>
            <c:numRef>
              <c:f>[epixeiriseis_mitrwou_eey_191129_1154.xls]Φύλλο2!$B$2:$D$2</c:f>
              <c:numCache>
                <c:formatCode>#,##0</c:formatCode>
                <c:ptCount val="3"/>
                <c:pt idx="0">
                  <c:v>4038</c:v>
                </c:pt>
                <c:pt idx="1">
                  <c:v>2733</c:v>
                </c:pt>
                <c:pt idx="2">
                  <c:v>11625</c:v>
                </c:pt>
              </c:numCache>
            </c:numRef>
          </c:val>
          <c:extLst>
            <c:ext xmlns:c16="http://schemas.microsoft.com/office/drawing/2014/chart" uri="{C3380CC4-5D6E-409C-BE32-E72D297353CC}">
              <c16:uniqueId val="{00000000-8298-4550-B8AA-419F380FD83D}"/>
            </c:ext>
          </c:extLst>
        </c:ser>
        <c:dLbls>
          <c:showLegendKey val="0"/>
          <c:showVal val="0"/>
          <c:showCatName val="0"/>
          <c:showSerName val="0"/>
          <c:showPercent val="0"/>
          <c:showBubbleSize val="0"/>
        </c:dLbls>
        <c:gapWidth val="219"/>
        <c:overlap val="-27"/>
        <c:axId val="526841280"/>
        <c:axId val="526841608"/>
      </c:barChart>
      <c:lineChart>
        <c:grouping val="standard"/>
        <c:varyColors val="0"/>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[epixeiriseis_mitrwou_eey_191129_1154.xls]Φύλλο2!$B$1:$D$1</c:f>
              <c:strCache>
                <c:ptCount val="3"/>
                <c:pt idx="0">
                  <c:v>Διάρκεια δανείου 48 μηνών (4 έτη)</c:v>
                </c:pt>
                <c:pt idx="1">
                  <c:v>Διάρκεια δανείου 60 μηνών (5 έτη)</c:v>
                </c:pt>
                <c:pt idx="2">
                  <c:v>Διάρκεια δανείου 72 μηνών (6 έτη)</c:v>
                </c:pt>
              </c:strCache>
            </c:strRef>
          </c:cat>
          <c:val>
            <c:numRef>
              <c:f>[epixeiriseis_mitrwou_eey_191129_1154.xls]Φύλλο2!$B$3:$D$3</c:f>
              <c:numCache>
                <c:formatCode>0%</c:formatCode>
                <c:ptCount val="3"/>
                <c:pt idx="0">
                  <c:v>0.21950424005218525</c:v>
                </c:pt>
                <c:pt idx="1">
                  <c:v>0.14856490541422049</c:v>
                </c:pt>
                <c:pt idx="2">
                  <c:v>0.63193085453359421</c:v>
                </c:pt>
              </c:numCache>
            </c:numRef>
          </c:val>
          <c:smooth val="0"/>
          <c:extLst>
            <c:ext xmlns:c16="http://schemas.microsoft.com/office/drawing/2014/chart" uri="{C3380CC4-5D6E-409C-BE32-E72D297353CC}">
              <c16:uniqueId val="{00000001-8298-4550-B8AA-419F380FD83D}"/>
            </c:ext>
          </c:extLst>
        </c:ser>
        <c:dLbls>
          <c:showLegendKey val="0"/>
          <c:showVal val="0"/>
          <c:showCatName val="0"/>
          <c:showSerName val="0"/>
          <c:showPercent val="0"/>
          <c:showBubbleSize val="0"/>
        </c:dLbls>
        <c:marker val="1"/>
        <c:smooth val="0"/>
        <c:axId val="459652944"/>
        <c:axId val="459652616"/>
      </c:lineChart>
      <c:catAx>
        <c:axId val="52684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26841608"/>
        <c:crosses val="autoZero"/>
        <c:auto val="1"/>
        <c:lblAlgn val="ctr"/>
        <c:lblOffset val="100"/>
        <c:noMultiLvlLbl val="0"/>
      </c:catAx>
      <c:valAx>
        <c:axId val="526841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26841280"/>
        <c:crosses val="autoZero"/>
        <c:crossBetween val="between"/>
        <c:majorUnit val="1000"/>
      </c:valAx>
      <c:valAx>
        <c:axId val="45965261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59652944"/>
        <c:crosses val="max"/>
        <c:crossBetween val="between"/>
      </c:valAx>
      <c:catAx>
        <c:axId val="459652944"/>
        <c:scaling>
          <c:orientation val="minMax"/>
        </c:scaling>
        <c:delete val="1"/>
        <c:axPos val="b"/>
        <c:numFmt formatCode="General" sourceLinked="1"/>
        <c:majorTickMark val="none"/>
        <c:minorTickMark val="none"/>
        <c:tickLblPos val="nextTo"/>
        <c:crossAx val="4596526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E05028-6A7B-4B57-9024-C9A9FBF1453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l-GR"/>
        </a:p>
      </dgm:t>
    </dgm:pt>
    <dgm:pt modelId="{42330537-D648-42EE-9703-30B19F1E1836}">
      <dgm:prSet phldrT="[Text]" custT="1"/>
      <dgm:spPr/>
      <dgm:t>
        <a:bodyPr/>
        <a:lstStyle/>
        <a:p>
          <a:r>
            <a:rPr lang="el-GR" sz="800">
              <a:latin typeface="Arial" panose="020B0604020202020204" pitchFamily="34" charset="0"/>
              <a:cs typeface="Arial" panose="020B0604020202020204" pitchFamily="34" charset="0"/>
            </a:rPr>
            <a:t>Διαχειριστική Αρχή ΕΠΑνΕΚ</a:t>
          </a:r>
        </a:p>
      </dgm:t>
    </dgm:pt>
    <dgm:pt modelId="{3CA51835-F4E7-4B77-B908-B0649D9DA2FE}" type="parTrans" cxnId="{A0F7BECC-7F6E-4023-9177-EA59C8EFB448}">
      <dgm:prSet/>
      <dgm:spPr/>
      <dgm:t>
        <a:bodyPr/>
        <a:lstStyle/>
        <a:p>
          <a:endParaRPr lang="el-GR"/>
        </a:p>
      </dgm:t>
    </dgm:pt>
    <dgm:pt modelId="{D02A120A-33A6-4ADB-9EA4-8F86CB4E0CF4}" type="sibTrans" cxnId="{A0F7BECC-7F6E-4023-9177-EA59C8EFB448}">
      <dgm:prSet/>
      <dgm:spPr/>
      <dgm:t>
        <a:bodyPr/>
        <a:lstStyle/>
        <a:p>
          <a:endParaRPr lang="el-GR"/>
        </a:p>
      </dgm:t>
    </dgm:pt>
    <dgm:pt modelId="{C7870529-A171-4422-AA76-78F469F3F5DA}">
      <dgm:prSet phldrT="[Text]" custT="1"/>
      <dgm:spPr/>
      <dgm:t>
        <a:bodyPr/>
        <a:lstStyle/>
        <a:p>
          <a:r>
            <a:rPr lang="el-GR" sz="800">
              <a:latin typeface="Arial" panose="020B0604020202020204" pitchFamily="34" charset="0"/>
              <a:cs typeface="Arial" panose="020B0604020202020204" pitchFamily="34" charset="0"/>
            </a:rPr>
            <a:t>Διαχειριστικής Ταμείου ΕΑΤ Α.Ε.</a:t>
          </a:r>
        </a:p>
      </dgm:t>
    </dgm:pt>
    <dgm:pt modelId="{6102D57C-BD89-4C07-9ED6-296181C4A70F}" type="parTrans" cxnId="{09FCC8B0-2E59-4767-B6A6-FACB1C155264}">
      <dgm:prSet/>
      <dgm:spPr/>
      <dgm:t>
        <a:bodyPr/>
        <a:lstStyle/>
        <a:p>
          <a:endParaRPr lang="el-GR"/>
        </a:p>
      </dgm:t>
    </dgm:pt>
    <dgm:pt modelId="{0EB61CFE-BE1F-4156-9ABC-8D1FF5744C75}" type="sibTrans" cxnId="{09FCC8B0-2E59-4767-B6A6-FACB1C155264}">
      <dgm:prSet/>
      <dgm:spPr/>
      <dgm:t>
        <a:bodyPr/>
        <a:lstStyle/>
        <a:p>
          <a:endParaRPr lang="el-GR"/>
        </a:p>
      </dgm:t>
    </dgm:pt>
    <dgm:pt modelId="{C264B8AD-3915-4EAB-984F-72B49004E8EF}">
      <dgm:prSet custT="1"/>
      <dgm:spPr/>
      <dgm:t>
        <a:bodyPr/>
        <a:lstStyle/>
        <a:p>
          <a:r>
            <a:rPr lang="el-GR" sz="800">
              <a:latin typeface="Arial" panose="020B0604020202020204" pitchFamily="34" charset="0"/>
              <a:cs typeface="Arial" panose="020B0604020202020204" pitchFamily="34" charset="0"/>
            </a:rPr>
            <a:t>Φορέας Υλοποίησης Μέσου - ΕΧΟ Ι</a:t>
          </a:r>
        </a:p>
      </dgm:t>
    </dgm:pt>
    <dgm:pt modelId="{147DDF22-FE1D-4F32-8604-52D4DFD60F27}" type="parTrans" cxnId="{BDA6341A-C858-45E0-97EF-8F9C1E7AA07D}">
      <dgm:prSet/>
      <dgm:spPr/>
      <dgm:t>
        <a:bodyPr/>
        <a:lstStyle/>
        <a:p>
          <a:endParaRPr lang="el-GR"/>
        </a:p>
      </dgm:t>
    </dgm:pt>
    <dgm:pt modelId="{A6184A0C-5012-4E36-803B-7B2F45C4D9C3}" type="sibTrans" cxnId="{BDA6341A-C858-45E0-97EF-8F9C1E7AA07D}">
      <dgm:prSet/>
      <dgm:spPr/>
      <dgm:t>
        <a:bodyPr/>
        <a:lstStyle/>
        <a:p>
          <a:endParaRPr lang="el-GR"/>
        </a:p>
      </dgm:t>
    </dgm:pt>
    <dgm:pt modelId="{3F3BA423-CC25-4E97-BC37-107F205CB595}">
      <dgm:prSet custT="1"/>
      <dgm:spPr/>
      <dgm:t>
        <a:bodyPr/>
        <a:lstStyle/>
        <a:p>
          <a:r>
            <a:rPr lang="el-GR" sz="800">
              <a:latin typeface="Arial" panose="020B0604020202020204" pitchFamily="34" charset="0"/>
              <a:cs typeface="Arial" panose="020B0604020202020204" pitchFamily="34" charset="0"/>
            </a:rPr>
            <a:t>Φορέας Υλοποίησης Μέσου - ΕΧΟ ΙΙ</a:t>
          </a:r>
          <a:endParaRPr lang="el-GR" sz="800"/>
        </a:p>
      </dgm:t>
    </dgm:pt>
    <dgm:pt modelId="{EAE5115E-FE45-458E-B5A6-3804AB9E337A}" type="parTrans" cxnId="{A949C158-DC18-4CF1-B485-98ED9226E320}">
      <dgm:prSet/>
      <dgm:spPr/>
      <dgm:t>
        <a:bodyPr/>
        <a:lstStyle/>
        <a:p>
          <a:endParaRPr lang="el-GR"/>
        </a:p>
      </dgm:t>
    </dgm:pt>
    <dgm:pt modelId="{04D60289-FDDF-44AB-A88B-86AAB43B95DE}" type="sibTrans" cxnId="{A949C158-DC18-4CF1-B485-98ED9226E320}">
      <dgm:prSet/>
      <dgm:spPr/>
      <dgm:t>
        <a:bodyPr/>
        <a:lstStyle/>
        <a:p>
          <a:endParaRPr lang="el-GR"/>
        </a:p>
      </dgm:t>
    </dgm:pt>
    <dgm:pt modelId="{0E55BBDA-495D-44D8-92F0-DEE37EB57FA6}">
      <dgm:prSet custT="1"/>
      <dgm:spPr/>
      <dgm:t>
        <a:bodyPr/>
        <a:lstStyle/>
        <a:p>
          <a:r>
            <a:rPr lang="el-GR" sz="800">
              <a:latin typeface="Arial" panose="020B0604020202020204" pitchFamily="34" charset="0"/>
              <a:cs typeface="Arial" panose="020B0604020202020204" pitchFamily="34" charset="0"/>
            </a:rPr>
            <a:t>Φορέας Υλοποίησης Μέσου - ΕΧΟ ΙΙΙ κλπ</a:t>
          </a:r>
          <a:endParaRPr lang="el-GR" sz="800"/>
        </a:p>
      </dgm:t>
    </dgm:pt>
    <dgm:pt modelId="{A5D4563C-5EC1-496D-B720-79150F219B7B}" type="parTrans" cxnId="{2A0DE46F-6904-40F2-B910-11BC5C961AFE}">
      <dgm:prSet/>
      <dgm:spPr/>
      <dgm:t>
        <a:bodyPr/>
        <a:lstStyle/>
        <a:p>
          <a:endParaRPr lang="el-GR"/>
        </a:p>
      </dgm:t>
    </dgm:pt>
    <dgm:pt modelId="{3C93C2D4-2EB0-466B-AD66-7DC45E5B8828}" type="sibTrans" cxnId="{2A0DE46F-6904-40F2-B910-11BC5C961AFE}">
      <dgm:prSet/>
      <dgm:spPr/>
      <dgm:t>
        <a:bodyPr/>
        <a:lstStyle/>
        <a:p>
          <a:endParaRPr lang="el-GR"/>
        </a:p>
      </dgm:t>
    </dgm:pt>
    <dgm:pt modelId="{D1FEA2F8-90B3-475D-863F-F024A197BC86}">
      <dgm:prSet custT="1"/>
      <dgm:spPr/>
      <dgm:t>
        <a:bodyPr/>
        <a:lstStyle/>
        <a:p>
          <a:r>
            <a:rPr lang="el-GR" sz="800">
              <a:latin typeface="Arial" panose="020B0604020202020204" pitchFamily="34" charset="0"/>
              <a:cs typeface="Arial" panose="020B0604020202020204" pitchFamily="34" charset="0"/>
            </a:rPr>
            <a:t>Ωφελούμενοι</a:t>
          </a:r>
        </a:p>
      </dgm:t>
    </dgm:pt>
    <dgm:pt modelId="{E30ADECB-E1CC-4A4A-9ABC-DF8BCCA3014D}" type="parTrans" cxnId="{057F7CF3-4FE8-430C-A3C4-FC495498F16D}">
      <dgm:prSet/>
      <dgm:spPr/>
      <dgm:t>
        <a:bodyPr/>
        <a:lstStyle/>
        <a:p>
          <a:endParaRPr lang="el-GR"/>
        </a:p>
      </dgm:t>
    </dgm:pt>
    <dgm:pt modelId="{37BA9883-74BC-422F-B256-725B5A47BDF4}" type="sibTrans" cxnId="{057F7CF3-4FE8-430C-A3C4-FC495498F16D}">
      <dgm:prSet/>
      <dgm:spPr/>
      <dgm:t>
        <a:bodyPr/>
        <a:lstStyle/>
        <a:p>
          <a:endParaRPr lang="el-GR"/>
        </a:p>
      </dgm:t>
    </dgm:pt>
    <dgm:pt modelId="{334415B6-9452-43B7-BF5C-CA47321E5F10}">
      <dgm:prSet custT="1"/>
      <dgm:spPr/>
      <dgm:t>
        <a:bodyPr/>
        <a:lstStyle/>
        <a:p>
          <a:r>
            <a:rPr lang="el-GR" sz="800">
              <a:latin typeface="Arial" panose="020B0604020202020204" pitchFamily="34" charset="0"/>
              <a:cs typeface="Arial" panose="020B0604020202020204" pitchFamily="34" charset="0"/>
            </a:rPr>
            <a:t>Ωφελούμενοι</a:t>
          </a:r>
          <a:endParaRPr lang="el-GR" sz="800"/>
        </a:p>
      </dgm:t>
    </dgm:pt>
    <dgm:pt modelId="{D56D4A04-3AFA-4E25-B33D-3551AF65A2D3}" type="parTrans" cxnId="{07748DEB-8C0B-48B6-9BC4-B44A49F2D3E5}">
      <dgm:prSet/>
      <dgm:spPr/>
      <dgm:t>
        <a:bodyPr/>
        <a:lstStyle/>
        <a:p>
          <a:endParaRPr lang="el-GR"/>
        </a:p>
      </dgm:t>
    </dgm:pt>
    <dgm:pt modelId="{995F1B96-1EFA-48B4-9FBA-22D73CC4ED19}" type="sibTrans" cxnId="{07748DEB-8C0B-48B6-9BC4-B44A49F2D3E5}">
      <dgm:prSet/>
      <dgm:spPr/>
      <dgm:t>
        <a:bodyPr/>
        <a:lstStyle/>
        <a:p>
          <a:endParaRPr lang="el-GR"/>
        </a:p>
      </dgm:t>
    </dgm:pt>
    <dgm:pt modelId="{B33345E8-0BD0-4574-8F68-DA73B915AF7E}">
      <dgm:prSet custT="1"/>
      <dgm:spPr/>
      <dgm:t>
        <a:bodyPr/>
        <a:lstStyle/>
        <a:p>
          <a:r>
            <a:rPr lang="el-GR" sz="800">
              <a:latin typeface="Arial" panose="020B0604020202020204" pitchFamily="34" charset="0"/>
              <a:cs typeface="Arial" panose="020B0604020202020204" pitchFamily="34" charset="0"/>
            </a:rPr>
            <a:t>Ωφελούμενοι</a:t>
          </a:r>
          <a:endParaRPr lang="el-GR" sz="800"/>
        </a:p>
      </dgm:t>
    </dgm:pt>
    <dgm:pt modelId="{4B6A0853-FAF8-448D-9516-1D0F7946760A}" type="parTrans" cxnId="{788A4583-476B-49B6-9A79-A058B0A52DFB}">
      <dgm:prSet/>
      <dgm:spPr/>
      <dgm:t>
        <a:bodyPr/>
        <a:lstStyle/>
        <a:p>
          <a:endParaRPr lang="el-GR"/>
        </a:p>
      </dgm:t>
    </dgm:pt>
    <dgm:pt modelId="{29DAA620-85D3-4320-BF8D-AF3BA50F3919}" type="sibTrans" cxnId="{788A4583-476B-49B6-9A79-A058B0A52DFB}">
      <dgm:prSet/>
      <dgm:spPr/>
      <dgm:t>
        <a:bodyPr/>
        <a:lstStyle/>
        <a:p>
          <a:endParaRPr lang="el-GR"/>
        </a:p>
      </dgm:t>
    </dgm:pt>
    <dgm:pt modelId="{4548AADA-1D4E-492B-8A05-75842F1C75DD}" type="pres">
      <dgm:prSet presAssocID="{F7E05028-6A7B-4B57-9024-C9A9FBF14532}" presName="hierChild1" presStyleCnt="0">
        <dgm:presLayoutVars>
          <dgm:orgChart val="1"/>
          <dgm:chPref val="1"/>
          <dgm:dir/>
          <dgm:animOne val="branch"/>
          <dgm:animLvl val="lvl"/>
          <dgm:resizeHandles/>
        </dgm:presLayoutVars>
      </dgm:prSet>
      <dgm:spPr/>
      <dgm:t>
        <a:bodyPr/>
        <a:lstStyle/>
        <a:p>
          <a:endParaRPr lang="el-GR"/>
        </a:p>
      </dgm:t>
    </dgm:pt>
    <dgm:pt modelId="{E059BF65-7834-4321-BC42-A10EEE6273A5}" type="pres">
      <dgm:prSet presAssocID="{42330537-D648-42EE-9703-30B19F1E1836}" presName="hierRoot1" presStyleCnt="0">
        <dgm:presLayoutVars>
          <dgm:hierBranch val="init"/>
        </dgm:presLayoutVars>
      </dgm:prSet>
      <dgm:spPr/>
    </dgm:pt>
    <dgm:pt modelId="{D88F8E5A-3D5F-42D5-8407-4B384397143C}" type="pres">
      <dgm:prSet presAssocID="{42330537-D648-42EE-9703-30B19F1E1836}" presName="rootComposite1" presStyleCnt="0"/>
      <dgm:spPr/>
    </dgm:pt>
    <dgm:pt modelId="{0C5DF742-EC4B-46E8-84EC-2EC9E2A47BD0}" type="pres">
      <dgm:prSet presAssocID="{42330537-D648-42EE-9703-30B19F1E1836}" presName="rootText1" presStyleLbl="node0" presStyleIdx="0" presStyleCnt="1">
        <dgm:presLayoutVars>
          <dgm:chPref val="3"/>
        </dgm:presLayoutVars>
      </dgm:prSet>
      <dgm:spPr/>
      <dgm:t>
        <a:bodyPr/>
        <a:lstStyle/>
        <a:p>
          <a:endParaRPr lang="el-GR"/>
        </a:p>
      </dgm:t>
    </dgm:pt>
    <dgm:pt modelId="{22038DBD-A3AD-4620-8CDB-B51A2723A192}" type="pres">
      <dgm:prSet presAssocID="{42330537-D648-42EE-9703-30B19F1E1836}" presName="rootConnector1" presStyleLbl="node1" presStyleIdx="0" presStyleCnt="0"/>
      <dgm:spPr/>
      <dgm:t>
        <a:bodyPr/>
        <a:lstStyle/>
        <a:p>
          <a:endParaRPr lang="el-GR"/>
        </a:p>
      </dgm:t>
    </dgm:pt>
    <dgm:pt modelId="{C3E9789C-613E-42CB-8AEB-75F1F5362614}" type="pres">
      <dgm:prSet presAssocID="{42330537-D648-42EE-9703-30B19F1E1836}" presName="hierChild2" presStyleCnt="0"/>
      <dgm:spPr/>
    </dgm:pt>
    <dgm:pt modelId="{3757E14F-A39A-4092-8ACB-B45918B2C990}" type="pres">
      <dgm:prSet presAssocID="{6102D57C-BD89-4C07-9ED6-296181C4A70F}" presName="Name37" presStyleLbl="parChTrans1D2" presStyleIdx="0" presStyleCnt="1"/>
      <dgm:spPr/>
      <dgm:t>
        <a:bodyPr/>
        <a:lstStyle/>
        <a:p>
          <a:endParaRPr lang="el-GR"/>
        </a:p>
      </dgm:t>
    </dgm:pt>
    <dgm:pt modelId="{46CE6F96-1BE0-4506-BB68-D5D65F09152C}" type="pres">
      <dgm:prSet presAssocID="{C7870529-A171-4422-AA76-78F469F3F5DA}" presName="hierRoot2" presStyleCnt="0">
        <dgm:presLayoutVars>
          <dgm:hierBranch val="init"/>
        </dgm:presLayoutVars>
      </dgm:prSet>
      <dgm:spPr/>
    </dgm:pt>
    <dgm:pt modelId="{09886A02-81A9-4970-90A2-790373463926}" type="pres">
      <dgm:prSet presAssocID="{C7870529-A171-4422-AA76-78F469F3F5DA}" presName="rootComposite" presStyleCnt="0"/>
      <dgm:spPr/>
    </dgm:pt>
    <dgm:pt modelId="{4E43A53A-4303-44F4-BBD5-332BEDE7038F}" type="pres">
      <dgm:prSet presAssocID="{C7870529-A171-4422-AA76-78F469F3F5DA}" presName="rootText" presStyleLbl="node2" presStyleIdx="0" presStyleCnt="1">
        <dgm:presLayoutVars>
          <dgm:chPref val="3"/>
        </dgm:presLayoutVars>
      </dgm:prSet>
      <dgm:spPr/>
      <dgm:t>
        <a:bodyPr/>
        <a:lstStyle/>
        <a:p>
          <a:endParaRPr lang="el-GR"/>
        </a:p>
      </dgm:t>
    </dgm:pt>
    <dgm:pt modelId="{8D67A564-D58E-4934-B7A6-5ACB89279D1B}" type="pres">
      <dgm:prSet presAssocID="{C7870529-A171-4422-AA76-78F469F3F5DA}" presName="rootConnector" presStyleLbl="node2" presStyleIdx="0" presStyleCnt="1"/>
      <dgm:spPr/>
      <dgm:t>
        <a:bodyPr/>
        <a:lstStyle/>
        <a:p>
          <a:endParaRPr lang="el-GR"/>
        </a:p>
      </dgm:t>
    </dgm:pt>
    <dgm:pt modelId="{0991E7B9-4D6D-4C6F-9346-9C47952D11D1}" type="pres">
      <dgm:prSet presAssocID="{C7870529-A171-4422-AA76-78F469F3F5DA}" presName="hierChild4" presStyleCnt="0"/>
      <dgm:spPr/>
    </dgm:pt>
    <dgm:pt modelId="{C10F983A-740C-4C56-837D-56A0CF3E7B5C}" type="pres">
      <dgm:prSet presAssocID="{147DDF22-FE1D-4F32-8604-52D4DFD60F27}" presName="Name37" presStyleLbl="parChTrans1D3" presStyleIdx="0" presStyleCnt="3"/>
      <dgm:spPr/>
      <dgm:t>
        <a:bodyPr/>
        <a:lstStyle/>
        <a:p>
          <a:endParaRPr lang="el-GR"/>
        </a:p>
      </dgm:t>
    </dgm:pt>
    <dgm:pt modelId="{F0C7396B-B62C-41B7-A67D-87037150B789}" type="pres">
      <dgm:prSet presAssocID="{C264B8AD-3915-4EAB-984F-72B49004E8EF}" presName="hierRoot2" presStyleCnt="0">
        <dgm:presLayoutVars>
          <dgm:hierBranch val="init"/>
        </dgm:presLayoutVars>
      </dgm:prSet>
      <dgm:spPr/>
    </dgm:pt>
    <dgm:pt modelId="{7303CF66-298A-4E03-854C-BBFB40681CC3}" type="pres">
      <dgm:prSet presAssocID="{C264B8AD-3915-4EAB-984F-72B49004E8EF}" presName="rootComposite" presStyleCnt="0"/>
      <dgm:spPr/>
    </dgm:pt>
    <dgm:pt modelId="{22E9659A-6864-4126-91C2-8F0D8FF007F9}" type="pres">
      <dgm:prSet presAssocID="{C264B8AD-3915-4EAB-984F-72B49004E8EF}" presName="rootText" presStyleLbl="node3" presStyleIdx="0" presStyleCnt="3">
        <dgm:presLayoutVars>
          <dgm:chPref val="3"/>
        </dgm:presLayoutVars>
      </dgm:prSet>
      <dgm:spPr/>
      <dgm:t>
        <a:bodyPr/>
        <a:lstStyle/>
        <a:p>
          <a:endParaRPr lang="el-GR"/>
        </a:p>
      </dgm:t>
    </dgm:pt>
    <dgm:pt modelId="{28E9D46B-7A2F-4D61-8B80-E57C960EFF10}" type="pres">
      <dgm:prSet presAssocID="{C264B8AD-3915-4EAB-984F-72B49004E8EF}" presName="rootConnector" presStyleLbl="node3" presStyleIdx="0" presStyleCnt="3"/>
      <dgm:spPr/>
      <dgm:t>
        <a:bodyPr/>
        <a:lstStyle/>
        <a:p>
          <a:endParaRPr lang="el-GR"/>
        </a:p>
      </dgm:t>
    </dgm:pt>
    <dgm:pt modelId="{07A4688C-8994-4F38-8B71-46C87B6EF29F}" type="pres">
      <dgm:prSet presAssocID="{C264B8AD-3915-4EAB-984F-72B49004E8EF}" presName="hierChild4" presStyleCnt="0"/>
      <dgm:spPr/>
    </dgm:pt>
    <dgm:pt modelId="{D78547D2-FDE6-4F14-A8D2-B37885D31C69}" type="pres">
      <dgm:prSet presAssocID="{E30ADECB-E1CC-4A4A-9ABC-DF8BCCA3014D}" presName="Name37" presStyleLbl="parChTrans1D4" presStyleIdx="0" presStyleCnt="3"/>
      <dgm:spPr/>
      <dgm:t>
        <a:bodyPr/>
        <a:lstStyle/>
        <a:p>
          <a:endParaRPr lang="el-GR"/>
        </a:p>
      </dgm:t>
    </dgm:pt>
    <dgm:pt modelId="{E56160DA-2887-4830-B3BA-B6170FEFE4C1}" type="pres">
      <dgm:prSet presAssocID="{D1FEA2F8-90B3-475D-863F-F024A197BC86}" presName="hierRoot2" presStyleCnt="0">
        <dgm:presLayoutVars>
          <dgm:hierBranch val="init"/>
        </dgm:presLayoutVars>
      </dgm:prSet>
      <dgm:spPr/>
    </dgm:pt>
    <dgm:pt modelId="{0A5668D0-3ACE-4686-B0AB-BBDBE7F57472}" type="pres">
      <dgm:prSet presAssocID="{D1FEA2F8-90B3-475D-863F-F024A197BC86}" presName="rootComposite" presStyleCnt="0"/>
      <dgm:spPr/>
    </dgm:pt>
    <dgm:pt modelId="{4F5685EC-3306-4ECE-8FFB-CF6DC9A59BF1}" type="pres">
      <dgm:prSet presAssocID="{D1FEA2F8-90B3-475D-863F-F024A197BC86}" presName="rootText" presStyleLbl="node4" presStyleIdx="0" presStyleCnt="3">
        <dgm:presLayoutVars>
          <dgm:chPref val="3"/>
        </dgm:presLayoutVars>
      </dgm:prSet>
      <dgm:spPr/>
      <dgm:t>
        <a:bodyPr/>
        <a:lstStyle/>
        <a:p>
          <a:endParaRPr lang="el-GR"/>
        </a:p>
      </dgm:t>
    </dgm:pt>
    <dgm:pt modelId="{79730E2A-439B-4657-95CD-6116F95581CF}" type="pres">
      <dgm:prSet presAssocID="{D1FEA2F8-90B3-475D-863F-F024A197BC86}" presName="rootConnector" presStyleLbl="node4" presStyleIdx="0" presStyleCnt="3"/>
      <dgm:spPr/>
      <dgm:t>
        <a:bodyPr/>
        <a:lstStyle/>
        <a:p>
          <a:endParaRPr lang="el-GR"/>
        </a:p>
      </dgm:t>
    </dgm:pt>
    <dgm:pt modelId="{65132A13-0BF7-464D-8037-539B71712FC0}" type="pres">
      <dgm:prSet presAssocID="{D1FEA2F8-90B3-475D-863F-F024A197BC86}" presName="hierChild4" presStyleCnt="0"/>
      <dgm:spPr/>
    </dgm:pt>
    <dgm:pt modelId="{F6A0B8B1-4874-4189-AB36-DE67E7B64CF2}" type="pres">
      <dgm:prSet presAssocID="{D1FEA2F8-90B3-475D-863F-F024A197BC86}" presName="hierChild5" presStyleCnt="0"/>
      <dgm:spPr/>
    </dgm:pt>
    <dgm:pt modelId="{9C136B5E-CD71-433A-A8EE-DD622A74208B}" type="pres">
      <dgm:prSet presAssocID="{C264B8AD-3915-4EAB-984F-72B49004E8EF}" presName="hierChild5" presStyleCnt="0"/>
      <dgm:spPr/>
    </dgm:pt>
    <dgm:pt modelId="{B6D68F3C-26A9-46C3-A15B-CA771B4D0110}" type="pres">
      <dgm:prSet presAssocID="{EAE5115E-FE45-458E-B5A6-3804AB9E337A}" presName="Name37" presStyleLbl="parChTrans1D3" presStyleIdx="1" presStyleCnt="3"/>
      <dgm:spPr/>
      <dgm:t>
        <a:bodyPr/>
        <a:lstStyle/>
        <a:p>
          <a:endParaRPr lang="el-GR"/>
        </a:p>
      </dgm:t>
    </dgm:pt>
    <dgm:pt modelId="{F05D12CB-E2EF-4C68-B0C0-27142F70D583}" type="pres">
      <dgm:prSet presAssocID="{3F3BA423-CC25-4E97-BC37-107F205CB595}" presName="hierRoot2" presStyleCnt="0">
        <dgm:presLayoutVars>
          <dgm:hierBranch val="init"/>
        </dgm:presLayoutVars>
      </dgm:prSet>
      <dgm:spPr/>
    </dgm:pt>
    <dgm:pt modelId="{80A599CE-5509-47CB-AC23-566B818E0C41}" type="pres">
      <dgm:prSet presAssocID="{3F3BA423-CC25-4E97-BC37-107F205CB595}" presName="rootComposite" presStyleCnt="0"/>
      <dgm:spPr/>
    </dgm:pt>
    <dgm:pt modelId="{2EE83BC9-6718-4FAE-961A-33131E302F38}" type="pres">
      <dgm:prSet presAssocID="{3F3BA423-CC25-4E97-BC37-107F205CB595}" presName="rootText" presStyleLbl="node3" presStyleIdx="1" presStyleCnt="3">
        <dgm:presLayoutVars>
          <dgm:chPref val="3"/>
        </dgm:presLayoutVars>
      </dgm:prSet>
      <dgm:spPr/>
      <dgm:t>
        <a:bodyPr/>
        <a:lstStyle/>
        <a:p>
          <a:endParaRPr lang="el-GR"/>
        </a:p>
      </dgm:t>
    </dgm:pt>
    <dgm:pt modelId="{7A19CBFB-1E10-4238-8358-24E29D8AA4FE}" type="pres">
      <dgm:prSet presAssocID="{3F3BA423-CC25-4E97-BC37-107F205CB595}" presName="rootConnector" presStyleLbl="node3" presStyleIdx="1" presStyleCnt="3"/>
      <dgm:spPr/>
      <dgm:t>
        <a:bodyPr/>
        <a:lstStyle/>
        <a:p>
          <a:endParaRPr lang="el-GR"/>
        </a:p>
      </dgm:t>
    </dgm:pt>
    <dgm:pt modelId="{FB5AA81B-11CB-4801-B696-59B731D9BDB8}" type="pres">
      <dgm:prSet presAssocID="{3F3BA423-CC25-4E97-BC37-107F205CB595}" presName="hierChild4" presStyleCnt="0"/>
      <dgm:spPr/>
    </dgm:pt>
    <dgm:pt modelId="{D919EE63-97BF-4164-A029-E85C66EC7599}" type="pres">
      <dgm:prSet presAssocID="{D56D4A04-3AFA-4E25-B33D-3551AF65A2D3}" presName="Name37" presStyleLbl="parChTrans1D4" presStyleIdx="1" presStyleCnt="3"/>
      <dgm:spPr/>
      <dgm:t>
        <a:bodyPr/>
        <a:lstStyle/>
        <a:p>
          <a:endParaRPr lang="el-GR"/>
        </a:p>
      </dgm:t>
    </dgm:pt>
    <dgm:pt modelId="{81AA98D3-437A-4156-B893-1357D8D3BA32}" type="pres">
      <dgm:prSet presAssocID="{334415B6-9452-43B7-BF5C-CA47321E5F10}" presName="hierRoot2" presStyleCnt="0">
        <dgm:presLayoutVars>
          <dgm:hierBranch val="init"/>
        </dgm:presLayoutVars>
      </dgm:prSet>
      <dgm:spPr/>
    </dgm:pt>
    <dgm:pt modelId="{A599EE92-51CE-4A0B-88A5-2F5B60613363}" type="pres">
      <dgm:prSet presAssocID="{334415B6-9452-43B7-BF5C-CA47321E5F10}" presName="rootComposite" presStyleCnt="0"/>
      <dgm:spPr/>
    </dgm:pt>
    <dgm:pt modelId="{7439D6DD-C967-4CF9-BC8D-374BCCDA207E}" type="pres">
      <dgm:prSet presAssocID="{334415B6-9452-43B7-BF5C-CA47321E5F10}" presName="rootText" presStyleLbl="node4" presStyleIdx="1" presStyleCnt="3">
        <dgm:presLayoutVars>
          <dgm:chPref val="3"/>
        </dgm:presLayoutVars>
      </dgm:prSet>
      <dgm:spPr/>
      <dgm:t>
        <a:bodyPr/>
        <a:lstStyle/>
        <a:p>
          <a:endParaRPr lang="el-GR"/>
        </a:p>
      </dgm:t>
    </dgm:pt>
    <dgm:pt modelId="{E12193B5-AB51-4D95-93AD-7CEE0EAB25B0}" type="pres">
      <dgm:prSet presAssocID="{334415B6-9452-43B7-BF5C-CA47321E5F10}" presName="rootConnector" presStyleLbl="node4" presStyleIdx="1" presStyleCnt="3"/>
      <dgm:spPr/>
      <dgm:t>
        <a:bodyPr/>
        <a:lstStyle/>
        <a:p>
          <a:endParaRPr lang="el-GR"/>
        </a:p>
      </dgm:t>
    </dgm:pt>
    <dgm:pt modelId="{7F781BAD-4325-4F34-9552-49054EB8F604}" type="pres">
      <dgm:prSet presAssocID="{334415B6-9452-43B7-BF5C-CA47321E5F10}" presName="hierChild4" presStyleCnt="0"/>
      <dgm:spPr/>
    </dgm:pt>
    <dgm:pt modelId="{9453D5AE-38E5-4C5B-A175-3E744CDBF2A5}" type="pres">
      <dgm:prSet presAssocID="{334415B6-9452-43B7-BF5C-CA47321E5F10}" presName="hierChild5" presStyleCnt="0"/>
      <dgm:spPr/>
    </dgm:pt>
    <dgm:pt modelId="{DF03F7C4-AA90-4F9F-8DE3-064767EC3229}" type="pres">
      <dgm:prSet presAssocID="{3F3BA423-CC25-4E97-BC37-107F205CB595}" presName="hierChild5" presStyleCnt="0"/>
      <dgm:spPr/>
    </dgm:pt>
    <dgm:pt modelId="{C16D393F-FF4F-4DD9-986D-6F3A91791767}" type="pres">
      <dgm:prSet presAssocID="{A5D4563C-5EC1-496D-B720-79150F219B7B}" presName="Name37" presStyleLbl="parChTrans1D3" presStyleIdx="2" presStyleCnt="3"/>
      <dgm:spPr/>
      <dgm:t>
        <a:bodyPr/>
        <a:lstStyle/>
        <a:p>
          <a:endParaRPr lang="el-GR"/>
        </a:p>
      </dgm:t>
    </dgm:pt>
    <dgm:pt modelId="{49368D84-1BF1-49E2-8489-C27B58E3E288}" type="pres">
      <dgm:prSet presAssocID="{0E55BBDA-495D-44D8-92F0-DEE37EB57FA6}" presName="hierRoot2" presStyleCnt="0">
        <dgm:presLayoutVars>
          <dgm:hierBranch val="init"/>
        </dgm:presLayoutVars>
      </dgm:prSet>
      <dgm:spPr/>
    </dgm:pt>
    <dgm:pt modelId="{68E753A5-AC01-465D-804B-439A271BA266}" type="pres">
      <dgm:prSet presAssocID="{0E55BBDA-495D-44D8-92F0-DEE37EB57FA6}" presName="rootComposite" presStyleCnt="0"/>
      <dgm:spPr/>
    </dgm:pt>
    <dgm:pt modelId="{95C22968-2D9A-4396-8A4A-281DEB188CF8}" type="pres">
      <dgm:prSet presAssocID="{0E55BBDA-495D-44D8-92F0-DEE37EB57FA6}" presName="rootText" presStyleLbl="node3" presStyleIdx="2" presStyleCnt="3">
        <dgm:presLayoutVars>
          <dgm:chPref val="3"/>
        </dgm:presLayoutVars>
      </dgm:prSet>
      <dgm:spPr/>
      <dgm:t>
        <a:bodyPr/>
        <a:lstStyle/>
        <a:p>
          <a:endParaRPr lang="el-GR"/>
        </a:p>
      </dgm:t>
    </dgm:pt>
    <dgm:pt modelId="{FCBE0826-41D1-4C7E-807B-9D300B982EDD}" type="pres">
      <dgm:prSet presAssocID="{0E55BBDA-495D-44D8-92F0-DEE37EB57FA6}" presName="rootConnector" presStyleLbl="node3" presStyleIdx="2" presStyleCnt="3"/>
      <dgm:spPr/>
      <dgm:t>
        <a:bodyPr/>
        <a:lstStyle/>
        <a:p>
          <a:endParaRPr lang="el-GR"/>
        </a:p>
      </dgm:t>
    </dgm:pt>
    <dgm:pt modelId="{C34F4460-681E-4664-B9AB-2278A5CEB871}" type="pres">
      <dgm:prSet presAssocID="{0E55BBDA-495D-44D8-92F0-DEE37EB57FA6}" presName="hierChild4" presStyleCnt="0"/>
      <dgm:spPr/>
    </dgm:pt>
    <dgm:pt modelId="{C7C57FDB-C505-4F9E-8405-A8B5F44C5E53}" type="pres">
      <dgm:prSet presAssocID="{4B6A0853-FAF8-448D-9516-1D0F7946760A}" presName="Name37" presStyleLbl="parChTrans1D4" presStyleIdx="2" presStyleCnt="3"/>
      <dgm:spPr/>
      <dgm:t>
        <a:bodyPr/>
        <a:lstStyle/>
        <a:p>
          <a:endParaRPr lang="el-GR"/>
        </a:p>
      </dgm:t>
    </dgm:pt>
    <dgm:pt modelId="{993385B4-EBFA-4D7C-A22C-6E1CDEDAC81A}" type="pres">
      <dgm:prSet presAssocID="{B33345E8-0BD0-4574-8F68-DA73B915AF7E}" presName="hierRoot2" presStyleCnt="0">
        <dgm:presLayoutVars>
          <dgm:hierBranch val="init"/>
        </dgm:presLayoutVars>
      </dgm:prSet>
      <dgm:spPr/>
    </dgm:pt>
    <dgm:pt modelId="{587866CA-6B76-4CAF-BFA7-F236E0F817BE}" type="pres">
      <dgm:prSet presAssocID="{B33345E8-0BD0-4574-8F68-DA73B915AF7E}" presName="rootComposite" presStyleCnt="0"/>
      <dgm:spPr/>
    </dgm:pt>
    <dgm:pt modelId="{AA4ABB1F-AC1B-489F-AF64-243DD257A081}" type="pres">
      <dgm:prSet presAssocID="{B33345E8-0BD0-4574-8F68-DA73B915AF7E}" presName="rootText" presStyleLbl="node4" presStyleIdx="2" presStyleCnt="3">
        <dgm:presLayoutVars>
          <dgm:chPref val="3"/>
        </dgm:presLayoutVars>
      </dgm:prSet>
      <dgm:spPr/>
      <dgm:t>
        <a:bodyPr/>
        <a:lstStyle/>
        <a:p>
          <a:endParaRPr lang="el-GR"/>
        </a:p>
      </dgm:t>
    </dgm:pt>
    <dgm:pt modelId="{BFF4E95B-5F61-4154-B8A7-C69171DE8FC6}" type="pres">
      <dgm:prSet presAssocID="{B33345E8-0BD0-4574-8F68-DA73B915AF7E}" presName="rootConnector" presStyleLbl="node4" presStyleIdx="2" presStyleCnt="3"/>
      <dgm:spPr/>
      <dgm:t>
        <a:bodyPr/>
        <a:lstStyle/>
        <a:p>
          <a:endParaRPr lang="el-GR"/>
        </a:p>
      </dgm:t>
    </dgm:pt>
    <dgm:pt modelId="{4A0EA20B-C78A-4DE4-BCB9-FA415B1E8A0E}" type="pres">
      <dgm:prSet presAssocID="{B33345E8-0BD0-4574-8F68-DA73B915AF7E}" presName="hierChild4" presStyleCnt="0"/>
      <dgm:spPr/>
    </dgm:pt>
    <dgm:pt modelId="{E16406B5-C739-45BF-8D4F-4E6648886EBC}" type="pres">
      <dgm:prSet presAssocID="{B33345E8-0BD0-4574-8F68-DA73B915AF7E}" presName="hierChild5" presStyleCnt="0"/>
      <dgm:spPr/>
    </dgm:pt>
    <dgm:pt modelId="{F3A95E76-175F-4109-ADCE-9E2E4EB526DC}" type="pres">
      <dgm:prSet presAssocID="{0E55BBDA-495D-44D8-92F0-DEE37EB57FA6}" presName="hierChild5" presStyleCnt="0"/>
      <dgm:spPr/>
    </dgm:pt>
    <dgm:pt modelId="{C269C6E9-9F42-4D2C-AA62-8B78A26A793B}" type="pres">
      <dgm:prSet presAssocID="{C7870529-A171-4422-AA76-78F469F3F5DA}" presName="hierChild5" presStyleCnt="0"/>
      <dgm:spPr/>
    </dgm:pt>
    <dgm:pt modelId="{DA095AAD-2211-4DAD-969C-DFFABA02C8AC}" type="pres">
      <dgm:prSet presAssocID="{42330537-D648-42EE-9703-30B19F1E1836}" presName="hierChild3" presStyleCnt="0"/>
      <dgm:spPr/>
    </dgm:pt>
  </dgm:ptLst>
  <dgm:cxnLst>
    <dgm:cxn modelId="{BDF7262B-3373-4571-933E-5BB7493A16E2}" type="presOf" srcId="{C264B8AD-3915-4EAB-984F-72B49004E8EF}" destId="{28E9D46B-7A2F-4D61-8B80-E57C960EFF10}" srcOrd="1" destOrd="0" presId="urn:microsoft.com/office/officeart/2005/8/layout/orgChart1"/>
    <dgm:cxn modelId="{FFC00ADE-05BB-497A-BBFA-B1733476A008}" type="presOf" srcId="{D1FEA2F8-90B3-475D-863F-F024A197BC86}" destId="{4F5685EC-3306-4ECE-8FFB-CF6DC9A59BF1}" srcOrd="0" destOrd="0" presId="urn:microsoft.com/office/officeart/2005/8/layout/orgChart1"/>
    <dgm:cxn modelId="{BB9A96FE-2FB6-43A7-8EB2-5FBFBDAE5623}" type="presOf" srcId="{B33345E8-0BD0-4574-8F68-DA73B915AF7E}" destId="{AA4ABB1F-AC1B-489F-AF64-243DD257A081}" srcOrd="0" destOrd="0" presId="urn:microsoft.com/office/officeart/2005/8/layout/orgChart1"/>
    <dgm:cxn modelId="{30EACF2F-522D-4964-8420-3B61BDF6A645}" type="presOf" srcId="{42330537-D648-42EE-9703-30B19F1E1836}" destId="{0C5DF742-EC4B-46E8-84EC-2EC9E2A47BD0}" srcOrd="0" destOrd="0" presId="urn:microsoft.com/office/officeart/2005/8/layout/orgChart1"/>
    <dgm:cxn modelId="{788A4583-476B-49B6-9A79-A058B0A52DFB}" srcId="{0E55BBDA-495D-44D8-92F0-DEE37EB57FA6}" destId="{B33345E8-0BD0-4574-8F68-DA73B915AF7E}" srcOrd="0" destOrd="0" parTransId="{4B6A0853-FAF8-448D-9516-1D0F7946760A}" sibTransId="{29DAA620-85D3-4320-BF8D-AF3BA50F3919}"/>
    <dgm:cxn modelId="{09FCC8B0-2E59-4767-B6A6-FACB1C155264}" srcId="{42330537-D648-42EE-9703-30B19F1E1836}" destId="{C7870529-A171-4422-AA76-78F469F3F5DA}" srcOrd="0" destOrd="0" parTransId="{6102D57C-BD89-4C07-9ED6-296181C4A70F}" sibTransId="{0EB61CFE-BE1F-4156-9ABC-8D1FF5744C75}"/>
    <dgm:cxn modelId="{8B37AB30-BD5D-448E-AF7B-9099F4E6EDA5}" type="presOf" srcId="{C7870529-A171-4422-AA76-78F469F3F5DA}" destId="{4E43A53A-4303-44F4-BBD5-332BEDE7038F}" srcOrd="0" destOrd="0" presId="urn:microsoft.com/office/officeart/2005/8/layout/orgChart1"/>
    <dgm:cxn modelId="{057F7CF3-4FE8-430C-A3C4-FC495498F16D}" srcId="{C264B8AD-3915-4EAB-984F-72B49004E8EF}" destId="{D1FEA2F8-90B3-475D-863F-F024A197BC86}" srcOrd="0" destOrd="0" parTransId="{E30ADECB-E1CC-4A4A-9ABC-DF8BCCA3014D}" sibTransId="{37BA9883-74BC-422F-B256-725B5A47BDF4}"/>
    <dgm:cxn modelId="{A84DEA9C-C6EE-41DE-BE91-066828BE43A4}" type="presOf" srcId="{D56D4A04-3AFA-4E25-B33D-3551AF65A2D3}" destId="{D919EE63-97BF-4164-A029-E85C66EC7599}" srcOrd="0" destOrd="0" presId="urn:microsoft.com/office/officeart/2005/8/layout/orgChart1"/>
    <dgm:cxn modelId="{8FAB9C68-00FB-4737-B772-4D8508C40869}" type="presOf" srcId="{D1FEA2F8-90B3-475D-863F-F024A197BC86}" destId="{79730E2A-439B-4657-95CD-6116F95581CF}" srcOrd="1" destOrd="0" presId="urn:microsoft.com/office/officeart/2005/8/layout/orgChart1"/>
    <dgm:cxn modelId="{9FFE5BF0-B515-4CE0-8FFD-F81D55609F32}" type="presOf" srcId="{C264B8AD-3915-4EAB-984F-72B49004E8EF}" destId="{22E9659A-6864-4126-91C2-8F0D8FF007F9}" srcOrd="0" destOrd="0" presId="urn:microsoft.com/office/officeart/2005/8/layout/orgChart1"/>
    <dgm:cxn modelId="{2A0DE46F-6904-40F2-B910-11BC5C961AFE}" srcId="{C7870529-A171-4422-AA76-78F469F3F5DA}" destId="{0E55BBDA-495D-44D8-92F0-DEE37EB57FA6}" srcOrd="2" destOrd="0" parTransId="{A5D4563C-5EC1-496D-B720-79150F219B7B}" sibTransId="{3C93C2D4-2EB0-466B-AD66-7DC45E5B8828}"/>
    <dgm:cxn modelId="{BDA6341A-C858-45E0-97EF-8F9C1E7AA07D}" srcId="{C7870529-A171-4422-AA76-78F469F3F5DA}" destId="{C264B8AD-3915-4EAB-984F-72B49004E8EF}" srcOrd="0" destOrd="0" parTransId="{147DDF22-FE1D-4F32-8604-52D4DFD60F27}" sibTransId="{A6184A0C-5012-4E36-803B-7B2F45C4D9C3}"/>
    <dgm:cxn modelId="{CC8BB56F-B1F7-41DF-9A3B-BF5CB8D7C699}" type="presOf" srcId="{147DDF22-FE1D-4F32-8604-52D4DFD60F27}" destId="{C10F983A-740C-4C56-837D-56A0CF3E7B5C}" srcOrd="0" destOrd="0" presId="urn:microsoft.com/office/officeart/2005/8/layout/orgChart1"/>
    <dgm:cxn modelId="{D4DDD729-AA99-44B9-B5E2-6E5DDADDB581}" type="presOf" srcId="{334415B6-9452-43B7-BF5C-CA47321E5F10}" destId="{7439D6DD-C967-4CF9-BC8D-374BCCDA207E}" srcOrd="0" destOrd="0" presId="urn:microsoft.com/office/officeart/2005/8/layout/orgChart1"/>
    <dgm:cxn modelId="{1208583D-EDEA-46E4-86C1-C450CD95B25F}" type="presOf" srcId="{0E55BBDA-495D-44D8-92F0-DEE37EB57FA6}" destId="{FCBE0826-41D1-4C7E-807B-9D300B982EDD}" srcOrd="1" destOrd="0" presId="urn:microsoft.com/office/officeart/2005/8/layout/orgChart1"/>
    <dgm:cxn modelId="{121BF144-1031-47F8-AE9B-614D6E9430A8}" type="presOf" srcId="{EAE5115E-FE45-458E-B5A6-3804AB9E337A}" destId="{B6D68F3C-26A9-46C3-A15B-CA771B4D0110}" srcOrd="0" destOrd="0" presId="urn:microsoft.com/office/officeart/2005/8/layout/orgChart1"/>
    <dgm:cxn modelId="{989237B1-FD6E-48EB-AC12-ABA55DB75043}" type="presOf" srcId="{3F3BA423-CC25-4E97-BC37-107F205CB595}" destId="{7A19CBFB-1E10-4238-8358-24E29D8AA4FE}" srcOrd="1" destOrd="0" presId="urn:microsoft.com/office/officeart/2005/8/layout/orgChart1"/>
    <dgm:cxn modelId="{A0F7BECC-7F6E-4023-9177-EA59C8EFB448}" srcId="{F7E05028-6A7B-4B57-9024-C9A9FBF14532}" destId="{42330537-D648-42EE-9703-30B19F1E1836}" srcOrd="0" destOrd="0" parTransId="{3CA51835-F4E7-4B77-B908-B0649D9DA2FE}" sibTransId="{D02A120A-33A6-4ADB-9EA4-8F86CB4E0CF4}"/>
    <dgm:cxn modelId="{3A442160-25FE-4457-B2A1-98E3817681FC}" type="presOf" srcId="{6102D57C-BD89-4C07-9ED6-296181C4A70F}" destId="{3757E14F-A39A-4092-8ACB-B45918B2C990}" srcOrd="0" destOrd="0" presId="urn:microsoft.com/office/officeart/2005/8/layout/orgChart1"/>
    <dgm:cxn modelId="{4590690F-86E0-494C-AAAF-AEC138267AD0}" type="presOf" srcId="{F7E05028-6A7B-4B57-9024-C9A9FBF14532}" destId="{4548AADA-1D4E-492B-8A05-75842F1C75DD}" srcOrd="0" destOrd="0" presId="urn:microsoft.com/office/officeart/2005/8/layout/orgChart1"/>
    <dgm:cxn modelId="{2F011575-4978-46EA-9DCD-58D12F45AF6E}" type="presOf" srcId="{4B6A0853-FAF8-448D-9516-1D0F7946760A}" destId="{C7C57FDB-C505-4F9E-8405-A8B5F44C5E53}" srcOrd="0" destOrd="0" presId="urn:microsoft.com/office/officeart/2005/8/layout/orgChart1"/>
    <dgm:cxn modelId="{F89D25C9-E22E-419D-954E-327FC46E929E}" type="presOf" srcId="{C7870529-A171-4422-AA76-78F469F3F5DA}" destId="{8D67A564-D58E-4934-B7A6-5ACB89279D1B}" srcOrd="1" destOrd="0" presId="urn:microsoft.com/office/officeart/2005/8/layout/orgChart1"/>
    <dgm:cxn modelId="{983FF2F1-E8E4-4D13-A979-FD875A2B7BDF}" type="presOf" srcId="{3F3BA423-CC25-4E97-BC37-107F205CB595}" destId="{2EE83BC9-6718-4FAE-961A-33131E302F38}" srcOrd="0" destOrd="0" presId="urn:microsoft.com/office/officeart/2005/8/layout/orgChart1"/>
    <dgm:cxn modelId="{34FC6497-41AD-4433-A906-0B67907F3249}" type="presOf" srcId="{E30ADECB-E1CC-4A4A-9ABC-DF8BCCA3014D}" destId="{D78547D2-FDE6-4F14-A8D2-B37885D31C69}" srcOrd="0" destOrd="0" presId="urn:microsoft.com/office/officeart/2005/8/layout/orgChart1"/>
    <dgm:cxn modelId="{021F023F-F0F6-49C4-B592-C7A32A383F53}" type="presOf" srcId="{0E55BBDA-495D-44D8-92F0-DEE37EB57FA6}" destId="{95C22968-2D9A-4396-8A4A-281DEB188CF8}" srcOrd="0" destOrd="0" presId="urn:microsoft.com/office/officeart/2005/8/layout/orgChart1"/>
    <dgm:cxn modelId="{7B0928F8-456D-4331-B293-821D3E64F0AC}" type="presOf" srcId="{B33345E8-0BD0-4574-8F68-DA73B915AF7E}" destId="{BFF4E95B-5F61-4154-B8A7-C69171DE8FC6}" srcOrd="1" destOrd="0" presId="urn:microsoft.com/office/officeart/2005/8/layout/orgChart1"/>
    <dgm:cxn modelId="{4811649F-F8BD-4BE2-8761-78E3689D8D2A}" type="presOf" srcId="{42330537-D648-42EE-9703-30B19F1E1836}" destId="{22038DBD-A3AD-4620-8CDB-B51A2723A192}" srcOrd="1" destOrd="0" presId="urn:microsoft.com/office/officeart/2005/8/layout/orgChart1"/>
    <dgm:cxn modelId="{9CFEAE2B-6B10-4BA2-9506-F27DDF337E96}" type="presOf" srcId="{A5D4563C-5EC1-496D-B720-79150F219B7B}" destId="{C16D393F-FF4F-4DD9-986D-6F3A91791767}" srcOrd="0" destOrd="0" presId="urn:microsoft.com/office/officeart/2005/8/layout/orgChart1"/>
    <dgm:cxn modelId="{A949C158-DC18-4CF1-B485-98ED9226E320}" srcId="{C7870529-A171-4422-AA76-78F469F3F5DA}" destId="{3F3BA423-CC25-4E97-BC37-107F205CB595}" srcOrd="1" destOrd="0" parTransId="{EAE5115E-FE45-458E-B5A6-3804AB9E337A}" sibTransId="{04D60289-FDDF-44AB-A88B-86AAB43B95DE}"/>
    <dgm:cxn modelId="{07748DEB-8C0B-48B6-9BC4-B44A49F2D3E5}" srcId="{3F3BA423-CC25-4E97-BC37-107F205CB595}" destId="{334415B6-9452-43B7-BF5C-CA47321E5F10}" srcOrd="0" destOrd="0" parTransId="{D56D4A04-3AFA-4E25-B33D-3551AF65A2D3}" sibTransId="{995F1B96-1EFA-48B4-9FBA-22D73CC4ED19}"/>
    <dgm:cxn modelId="{BEF22539-DC1E-4A2D-A785-46020309DB9D}" type="presOf" srcId="{334415B6-9452-43B7-BF5C-CA47321E5F10}" destId="{E12193B5-AB51-4D95-93AD-7CEE0EAB25B0}" srcOrd="1" destOrd="0" presId="urn:microsoft.com/office/officeart/2005/8/layout/orgChart1"/>
    <dgm:cxn modelId="{F62FF2FA-3000-4BEF-9573-514483E3B9F8}" type="presParOf" srcId="{4548AADA-1D4E-492B-8A05-75842F1C75DD}" destId="{E059BF65-7834-4321-BC42-A10EEE6273A5}" srcOrd="0" destOrd="0" presId="urn:microsoft.com/office/officeart/2005/8/layout/orgChart1"/>
    <dgm:cxn modelId="{906A306C-9D20-462F-9767-0F7C05B41479}" type="presParOf" srcId="{E059BF65-7834-4321-BC42-A10EEE6273A5}" destId="{D88F8E5A-3D5F-42D5-8407-4B384397143C}" srcOrd="0" destOrd="0" presId="urn:microsoft.com/office/officeart/2005/8/layout/orgChart1"/>
    <dgm:cxn modelId="{38B0D09C-8403-45D8-B740-37C19B17C3DA}" type="presParOf" srcId="{D88F8E5A-3D5F-42D5-8407-4B384397143C}" destId="{0C5DF742-EC4B-46E8-84EC-2EC9E2A47BD0}" srcOrd="0" destOrd="0" presId="urn:microsoft.com/office/officeart/2005/8/layout/orgChart1"/>
    <dgm:cxn modelId="{ADBE831D-99C1-4D6B-8412-7D627E213342}" type="presParOf" srcId="{D88F8E5A-3D5F-42D5-8407-4B384397143C}" destId="{22038DBD-A3AD-4620-8CDB-B51A2723A192}" srcOrd="1" destOrd="0" presId="urn:microsoft.com/office/officeart/2005/8/layout/orgChart1"/>
    <dgm:cxn modelId="{867ADB41-EC52-409E-8DB8-3EB3D339BE16}" type="presParOf" srcId="{E059BF65-7834-4321-BC42-A10EEE6273A5}" destId="{C3E9789C-613E-42CB-8AEB-75F1F5362614}" srcOrd="1" destOrd="0" presId="urn:microsoft.com/office/officeart/2005/8/layout/orgChart1"/>
    <dgm:cxn modelId="{0A6F1E43-18C5-45B9-8E9E-0EBFAD08C8BB}" type="presParOf" srcId="{C3E9789C-613E-42CB-8AEB-75F1F5362614}" destId="{3757E14F-A39A-4092-8ACB-B45918B2C990}" srcOrd="0" destOrd="0" presId="urn:microsoft.com/office/officeart/2005/8/layout/orgChart1"/>
    <dgm:cxn modelId="{8E21102A-6A4B-4E20-AC8C-F1CB02CA73DE}" type="presParOf" srcId="{C3E9789C-613E-42CB-8AEB-75F1F5362614}" destId="{46CE6F96-1BE0-4506-BB68-D5D65F09152C}" srcOrd="1" destOrd="0" presId="urn:microsoft.com/office/officeart/2005/8/layout/orgChart1"/>
    <dgm:cxn modelId="{6C45F36F-078E-4120-9085-E8BC00FEB506}" type="presParOf" srcId="{46CE6F96-1BE0-4506-BB68-D5D65F09152C}" destId="{09886A02-81A9-4970-90A2-790373463926}" srcOrd="0" destOrd="0" presId="urn:microsoft.com/office/officeart/2005/8/layout/orgChart1"/>
    <dgm:cxn modelId="{24C52064-97BF-4ACB-AA4C-C9FDD6CD8296}" type="presParOf" srcId="{09886A02-81A9-4970-90A2-790373463926}" destId="{4E43A53A-4303-44F4-BBD5-332BEDE7038F}" srcOrd="0" destOrd="0" presId="urn:microsoft.com/office/officeart/2005/8/layout/orgChart1"/>
    <dgm:cxn modelId="{75DC8A82-8425-455D-9142-A47BE41A6E9C}" type="presParOf" srcId="{09886A02-81A9-4970-90A2-790373463926}" destId="{8D67A564-D58E-4934-B7A6-5ACB89279D1B}" srcOrd="1" destOrd="0" presId="urn:microsoft.com/office/officeart/2005/8/layout/orgChart1"/>
    <dgm:cxn modelId="{3410C0CE-0E2E-4E6D-8430-272FA3C0855F}" type="presParOf" srcId="{46CE6F96-1BE0-4506-BB68-D5D65F09152C}" destId="{0991E7B9-4D6D-4C6F-9346-9C47952D11D1}" srcOrd="1" destOrd="0" presId="urn:microsoft.com/office/officeart/2005/8/layout/orgChart1"/>
    <dgm:cxn modelId="{0D19EDAD-97C0-4651-A270-522A9E987BFC}" type="presParOf" srcId="{0991E7B9-4D6D-4C6F-9346-9C47952D11D1}" destId="{C10F983A-740C-4C56-837D-56A0CF3E7B5C}" srcOrd="0" destOrd="0" presId="urn:microsoft.com/office/officeart/2005/8/layout/orgChart1"/>
    <dgm:cxn modelId="{2B36EF65-A8CA-4F88-937A-45008A037AB3}" type="presParOf" srcId="{0991E7B9-4D6D-4C6F-9346-9C47952D11D1}" destId="{F0C7396B-B62C-41B7-A67D-87037150B789}" srcOrd="1" destOrd="0" presId="urn:microsoft.com/office/officeart/2005/8/layout/orgChart1"/>
    <dgm:cxn modelId="{57202456-569F-4CF5-AA50-45D08EB8E4C7}" type="presParOf" srcId="{F0C7396B-B62C-41B7-A67D-87037150B789}" destId="{7303CF66-298A-4E03-854C-BBFB40681CC3}" srcOrd="0" destOrd="0" presId="urn:microsoft.com/office/officeart/2005/8/layout/orgChart1"/>
    <dgm:cxn modelId="{8AE23280-2E17-477E-AC26-BE9347272347}" type="presParOf" srcId="{7303CF66-298A-4E03-854C-BBFB40681CC3}" destId="{22E9659A-6864-4126-91C2-8F0D8FF007F9}" srcOrd="0" destOrd="0" presId="urn:microsoft.com/office/officeart/2005/8/layout/orgChart1"/>
    <dgm:cxn modelId="{B97C2B87-9F71-4DE3-924F-74410629B8DF}" type="presParOf" srcId="{7303CF66-298A-4E03-854C-BBFB40681CC3}" destId="{28E9D46B-7A2F-4D61-8B80-E57C960EFF10}" srcOrd="1" destOrd="0" presId="urn:microsoft.com/office/officeart/2005/8/layout/orgChart1"/>
    <dgm:cxn modelId="{E084E5DE-B237-48A0-8143-DEBAD5045586}" type="presParOf" srcId="{F0C7396B-B62C-41B7-A67D-87037150B789}" destId="{07A4688C-8994-4F38-8B71-46C87B6EF29F}" srcOrd="1" destOrd="0" presId="urn:microsoft.com/office/officeart/2005/8/layout/orgChart1"/>
    <dgm:cxn modelId="{F8D45DB1-E8E1-4408-BEB7-B54044E9FD2B}" type="presParOf" srcId="{07A4688C-8994-4F38-8B71-46C87B6EF29F}" destId="{D78547D2-FDE6-4F14-A8D2-B37885D31C69}" srcOrd="0" destOrd="0" presId="urn:microsoft.com/office/officeart/2005/8/layout/orgChart1"/>
    <dgm:cxn modelId="{EFD5553A-9D14-46B0-BB97-70DFD0BB2452}" type="presParOf" srcId="{07A4688C-8994-4F38-8B71-46C87B6EF29F}" destId="{E56160DA-2887-4830-B3BA-B6170FEFE4C1}" srcOrd="1" destOrd="0" presId="urn:microsoft.com/office/officeart/2005/8/layout/orgChart1"/>
    <dgm:cxn modelId="{98F618BB-7675-4A56-AB8E-1079AF2EC347}" type="presParOf" srcId="{E56160DA-2887-4830-B3BA-B6170FEFE4C1}" destId="{0A5668D0-3ACE-4686-B0AB-BBDBE7F57472}" srcOrd="0" destOrd="0" presId="urn:microsoft.com/office/officeart/2005/8/layout/orgChart1"/>
    <dgm:cxn modelId="{E528162B-6221-4B9B-8DFC-E20E3C3F343A}" type="presParOf" srcId="{0A5668D0-3ACE-4686-B0AB-BBDBE7F57472}" destId="{4F5685EC-3306-4ECE-8FFB-CF6DC9A59BF1}" srcOrd="0" destOrd="0" presId="urn:microsoft.com/office/officeart/2005/8/layout/orgChart1"/>
    <dgm:cxn modelId="{D3C718C8-F198-47C2-9024-F3DEB6B8060D}" type="presParOf" srcId="{0A5668D0-3ACE-4686-B0AB-BBDBE7F57472}" destId="{79730E2A-439B-4657-95CD-6116F95581CF}" srcOrd="1" destOrd="0" presId="urn:microsoft.com/office/officeart/2005/8/layout/orgChart1"/>
    <dgm:cxn modelId="{541D8C57-FB2E-4DDD-940F-6B38ACBC123D}" type="presParOf" srcId="{E56160DA-2887-4830-B3BA-B6170FEFE4C1}" destId="{65132A13-0BF7-464D-8037-539B71712FC0}" srcOrd="1" destOrd="0" presId="urn:microsoft.com/office/officeart/2005/8/layout/orgChart1"/>
    <dgm:cxn modelId="{63235D74-E9F0-4306-8388-72E42C71711E}" type="presParOf" srcId="{E56160DA-2887-4830-B3BA-B6170FEFE4C1}" destId="{F6A0B8B1-4874-4189-AB36-DE67E7B64CF2}" srcOrd="2" destOrd="0" presId="urn:microsoft.com/office/officeart/2005/8/layout/orgChart1"/>
    <dgm:cxn modelId="{370397A7-C92A-4AAC-816D-027FB04C38B8}" type="presParOf" srcId="{F0C7396B-B62C-41B7-A67D-87037150B789}" destId="{9C136B5E-CD71-433A-A8EE-DD622A74208B}" srcOrd="2" destOrd="0" presId="urn:microsoft.com/office/officeart/2005/8/layout/orgChart1"/>
    <dgm:cxn modelId="{051B72FE-AFB1-4FFF-AE18-3C992E11E616}" type="presParOf" srcId="{0991E7B9-4D6D-4C6F-9346-9C47952D11D1}" destId="{B6D68F3C-26A9-46C3-A15B-CA771B4D0110}" srcOrd="2" destOrd="0" presId="urn:microsoft.com/office/officeart/2005/8/layout/orgChart1"/>
    <dgm:cxn modelId="{08BC1810-74CD-4A6F-8179-427F41567740}" type="presParOf" srcId="{0991E7B9-4D6D-4C6F-9346-9C47952D11D1}" destId="{F05D12CB-E2EF-4C68-B0C0-27142F70D583}" srcOrd="3" destOrd="0" presId="urn:microsoft.com/office/officeart/2005/8/layout/orgChart1"/>
    <dgm:cxn modelId="{100DC1F2-6039-4425-B747-69F089FFF672}" type="presParOf" srcId="{F05D12CB-E2EF-4C68-B0C0-27142F70D583}" destId="{80A599CE-5509-47CB-AC23-566B818E0C41}" srcOrd="0" destOrd="0" presId="urn:microsoft.com/office/officeart/2005/8/layout/orgChart1"/>
    <dgm:cxn modelId="{FC955F9E-BF44-4AD5-A691-92CABD162131}" type="presParOf" srcId="{80A599CE-5509-47CB-AC23-566B818E0C41}" destId="{2EE83BC9-6718-4FAE-961A-33131E302F38}" srcOrd="0" destOrd="0" presId="urn:microsoft.com/office/officeart/2005/8/layout/orgChart1"/>
    <dgm:cxn modelId="{36BDC446-9A3C-4F9D-A037-0A714C3091F8}" type="presParOf" srcId="{80A599CE-5509-47CB-AC23-566B818E0C41}" destId="{7A19CBFB-1E10-4238-8358-24E29D8AA4FE}" srcOrd="1" destOrd="0" presId="urn:microsoft.com/office/officeart/2005/8/layout/orgChart1"/>
    <dgm:cxn modelId="{D9753E78-5A4C-405A-845B-2A7731424DBA}" type="presParOf" srcId="{F05D12CB-E2EF-4C68-B0C0-27142F70D583}" destId="{FB5AA81B-11CB-4801-B696-59B731D9BDB8}" srcOrd="1" destOrd="0" presId="urn:microsoft.com/office/officeart/2005/8/layout/orgChart1"/>
    <dgm:cxn modelId="{D737FE16-A379-4DC3-8614-E92FACAF6502}" type="presParOf" srcId="{FB5AA81B-11CB-4801-B696-59B731D9BDB8}" destId="{D919EE63-97BF-4164-A029-E85C66EC7599}" srcOrd="0" destOrd="0" presId="urn:microsoft.com/office/officeart/2005/8/layout/orgChart1"/>
    <dgm:cxn modelId="{16949312-0B10-4D4C-9544-B27F42DAB486}" type="presParOf" srcId="{FB5AA81B-11CB-4801-B696-59B731D9BDB8}" destId="{81AA98D3-437A-4156-B893-1357D8D3BA32}" srcOrd="1" destOrd="0" presId="urn:microsoft.com/office/officeart/2005/8/layout/orgChart1"/>
    <dgm:cxn modelId="{71079620-9B6B-41F1-9790-CC21F7D4F90F}" type="presParOf" srcId="{81AA98D3-437A-4156-B893-1357D8D3BA32}" destId="{A599EE92-51CE-4A0B-88A5-2F5B60613363}" srcOrd="0" destOrd="0" presId="urn:microsoft.com/office/officeart/2005/8/layout/orgChart1"/>
    <dgm:cxn modelId="{796339C3-CB93-4F65-895D-852AA4D5C96C}" type="presParOf" srcId="{A599EE92-51CE-4A0B-88A5-2F5B60613363}" destId="{7439D6DD-C967-4CF9-BC8D-374BCCDA207E}" srcOrd="0" destOrd="0" presId="urn:microsoft.com/office/officeart/2005/8/layout/orgChart1"/>
    <dgm:cxn modelId="{691E54E8-726F-4BCC-A963-3636135338AE}" type="presParOf" srcId="{A599EE92-51CE-4A0B-88A5-2F5B60613363}" destId="{E12193B5-AB51-4D95-93AD-7CEE0EAB25B0}" srcOrd="1" destOrd="0" presId="urn:microsoft.com/office/officeart/2005/8/layout/orgChart1"/>
    <dgm:cxn modelId="{4F97CED8-2517-4CBC-8747-7D8F915A7E59}" type="presParOf" srcId="{81AA98D3-437A-4156-B893-1357D8D3BA32}" destId="{7F781BAD-4325-4F34-9552-49054EB8F604}" srcOrd="1" destOrd="0" presId="urn:microsoft.com/office/officeart/2005/8/layout/orgChart1"/>
    <dgm:cxn modelId="{4CEFE224-FA66-4BDD-AEED-FDE65866643C}" type="presParOf" srcId="{81AA98D3-437A-4156-B893-1357D8D3BA32}" destId="{9453D5AE-38E5-4C5B-A175-3E744CDBF2A5}" srcOrd="2" destOrd="0" presId="urn:microsoft.com/office/officeart/2005/8/layout/orgChart1"/>
    <dgm:cxn modelId="{8A974E26-1E7D-4C05-A0A2-C80E5BCF1E1F}" type="presParOf" srcId="{F05D12CB-E2EF-4C68-B0C0-27142F70D583}" destId="{DF03F7C4-AA90-4F9F-8DE3-064767EC3229}" srcOrd="2" destOrd="0" presId="urn:microsoft.com/office/officeart/2005/8/layout/orgChart1"/>
    <dgm:cxn modelId="{59403D83-AA45-46DA-A9BD-85EFF95DE489}" type="presParOf" srcId="{0991E7B9-4D6D-4C6F-9346-9C47952D11D1}" destId="{C16D393F-FF4F-4DD9-986D-6F3A91791767}" srcOrd="4" destOrd="0" presId="urn:microsoft.com/office/officeart/2005/8/layout/orgChart1"/>
    <dgm:cxn modelId="{16DE43CF-CF81-45F1-B206-21C711861BEA}" type="presParOf" srcId="{0991E7B9-4D6D-4C6F-9346-9C47952D11D1}" destId="{49368D84-1BF1-49E2-8489-C27B58E3E288}" srcOrd="5" destOrd="0" presId="urn:microsoft.com/office/officeart/2005/8/layout/orgChart1"/>
    <dgm:cxn modelId="{7E2C98D4-54C1-45EC-A998-B8E193470911}" type="presParOf" srcId="{49368D84-1BF1-49E2-8489-C27B58E3E288}" destId="{68E753A5-AC01-465D-804B-439A271BA266}" srcOrd="0" destOrd="0" presId="urn:microsoft.com/office/officeart/2005/8/layout/orgChart1"/>
    <dgm:cxn modelId="{C4B54A81-E1CF-45C4-9758-E121F3C94012}" type="presParOf" srcId="{68E753A5-AC01-465D-804B-439A271BA266}" destId="{95C22968-2D9A-4396-8A4A-281DEB188CF8}" srcOrd="0" destOrd="0" presId="urn:microsoft.com/office/officeart/2005/8/layout/orgChart1"/>
    <dgm:cxn modelId="{D45251E9-2402-4948-AD0D-340973C79ABF}" type="presParOf" srcId="{68E753A5-AC01-465D-804B-439A271BA266}" destId="{FCBE0826-41D1-4C7E-807B-9D300B982EDD}" srcOrd="1" destOrd="0" presId="urn:microsoft.com/office/officeart/2005/8/layout/orgChart1"/>
    <dgm:cxn modelId="{9BD48688-3BF0-4596-8B40-2851180D8765}" type="presParOf" srcId="{49368D84-1BF1-49E2-8489-C27B58E3E288}" destId="{C34F4460-681E-4664-B9AB-2278A5CEB871}" srcOrd="1" destOrd="0" presId="urn:microsoft.com/office/officeart/2005/8/layout/orgChart1"/>
    <dgm:cxn modelId="{E230713F-143F-4230-9A48-23683E30EBF8}" type="presParOf" srcId="{C34F4460-681E-4664-B9AB-2278A5CEB871}" destId="{C7C57FDB-C505-4F9E-8405-A8B5F44C5E53}" srcOrd="0" destOrd="0" presId="urn:microsoft.com/office/officeart/2005/8/layout/orgChart1"/>
    <dgm:cxn modelId="{7DAF74AF-6A4A-42A8-80CD-D6465B4A14EA}" type="presParOf" srcId="{C34F4460-681E-4664-B9AB-2278A5CEB871}" destId="{993385B4-EBFA-4D7C-A22C-6E1CDEDAC81A}" srcOrd="1" destOrd="0" presId="urn:microsoft.com/office/officeart/2005/8/layout/orgChart1"/>
    <dgm:cxn modelId="{805DF5D9-2631-4ED9-AE7D-705B9CA045BC}" type="presParOf" srcId="{993385B4-EBFA-4D7C-A22C-6E1CDEDAC81A}" destId="{587866CA-6B76-4CAF-BFA7-F236E0F817BE}" srcOrd="0" destOrd="0" presId="urn:microsoft.com/office/officeart/2005/8/layout/orgChart1"/>
    <dgm:cxn modelId="{3658D649-61B0-4766-8C5C-D8587D9ECA7A}" type="presParOf" srcId="{587866CA-6B76-4CAF-BFA7-F236E0F817BE}" destId="{AA4ABB1F-AC1B-489F-AF64-243DD257A081}" srcOrd="0" destOrd="0" presId="urn:microsoft.com/office/officeart/2005/8/layout/orgChart1"/>
    <dgm:cxn modelId="{5276CD67-BF92-42D2-A523-66972507088B}" type="presParOf" srcId="{587866CA-6B76-4CAF-BFA7-F236E0F817BE}" destId="{BFF4E95B-5F61-4154-B8A7-C69171DE8FC6}" srcOrd="1" destOrd="0" presId="urn:microsoft.com/office/officeart/2005/8/layout/orgChart1"/>
    <dgm:cxn modelId="{D8472865-8BAD-4841-9868-EA8F60BA90D1}" type="presParOf" srcId="{993385B4-EBFA-4D7C-A22C-6E1CDEDAC81A}" destId="{4A0EA20B-C78A-4DE4-BCB9-FA415B1E8A0E}" srcOrd="1" destOrd="0" presId="urn:microsoft.com/office/officeart/2005/8/layout/orgChart1"/>
    <dgm:cxn modelId="{5A060CB5-9583-47DD-87F6-4CCFEEDB5493}" type="presParOf" srcId="{993385B4-EBFA-4D7C-A22C-6E1CDEDAC81A}" destId="{E16406B5-C739-45BF-8D4F-4E6648886EBC}" srcOrd="2" destOrd="0" presId="urn:microsoft.com/office/officeart/2005/8/layout/orgChart1"/>
    <dgm:cxn modelId="{C6223AF0-CBF3-430E-B366-B37DAD03EED7}" type="presParOf" srcId="{49368D84-1BF1-49E2-8489-C27B58E3E288}" destId="{F3A95E76-175F-4109-ADCE-9E2E4EB526DC}" srcOrd="2" destOrd="0" presId="urn:microsoft.com/office/officeart/2005/8/layout/orgChart1"/>
    <dgm:cxn modelId="{8B5B38CF-9BCB-4A1C-AFED-DBAA65D00BE7}" type="presParOf" srcId="{46CE6F96-1BE0-4506-BB68-D5D65F09152C}" destId="{C269C6E9-9F42-4D2C-AA62-8B78A26A793B}" srcOrd="2" destOrd="0" presId="urn:microsoft.com/office/officeart/2005/8/layout/orgChart1"/>
    <dgm:cxn modelId="{CD346CBD-635C-4CF0-9C63-5C618526672C}" type="presParOf" srcId="{E059BF65-7834-4321-BC42-A10EEE6273A5}" destId="{DA095AAD-2211-4DAD-969C-DFFABA02C8AC}"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57FDB-C505-4F9E-8405-A8B5F44C5E53}">
      <dsp:nvSpPr>
        <dsp:cNvPr id="0" name=""/>
        <dsp:cNvSpPr/>
      </dsp:nvSpPr>
      <dsp:spPr>
        <a:xfrm>
          <a:off x="3413883" y="2231603"/>
          <a:ext cx="174258" cy="534391"/>
        </a:xfrm>
        <a:custGeom>
          <a:avLst/>
          <a:gdLst/>
          <a:ahLst/>
          <a:cxnLst/>
          <a:rect l="0" t="0" r="0" b="0"/>
          <a:pathLst>
            <a:path>
              <a:moveTo>
                <a:pt x="0" y="0"/>
              </a:moveTo>
              <a:lnTo>
                <a:pt x="0" y="534391"/>
              </a:lnTo>
              <a:lnTo>
                <a:pt x="174258" y="5343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6D393F-FF4F-4DD9-986D-6F3A91791767}">
      <dsp:nvSpPr>
        <dsp:cNvPr id="0" name=""/>
        <dsp:cNvSpPr/>
      </dsp:nvSpPr>
      <dsp:spPr>
        <a:xfrm>
          <a:off x="2472889" y="1406781"/>
          <a:ext cx="1405681" cy="243961"/>
        </a:xfrm>
        <a:custGeom>
          <a:avLst/>
          <a:gdLst/>
          <a:ahLst/>
          <a:cxnLst/>
          <a:rect l="0" t="0" r="0" b="0"/>
          <a:pathLst>
            <a:path>
              <a:moveTo>
                <a:pt x="0" y="0"/>
              </a:moveTo>
              <a:lnTo>
                <a:pt x="0" y="121980"/>
              </a:lnTo>
              <a:lnTo>
                <a:pt x="1405681" y="121980"/>
              </a:lnTo>
              <a:lnTo>
                <a:pt x="1405681" y="2439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9EE63-97BF-4164-A029-E85C66EC7599}">
      <dsp:nvSpPr>
        <dsp:cNvPr id="0" name=""/>
        <dsp:cNvSpPr/>
      </dsp:nvSpPr>
      <dsp:spPr>
        <a:xfrm>
          <a:off x="2008201" y="2231603"/>
          <a:ext cx="174258" cy="534391"/>
        </a:xfrm>
        <a:custGeom>
          <a:avLst/>
          <a:gdLst/>
          <a:ahLst/>
          <a:cxnLst/>
          <a:rect l="0" t="0" r="0" b="0"/>
          <a:pathLst>
            <a:path>
              <a:moveTo>
                <a:pt x="0" y="0"/>
              </a:moveTo>
              <a:lnTo>
                <a:pt x="0" y="534391"/>
              </a:lnTo>
              <a:lnTo>
                <a:pt x="174258" y="5343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D68F3C-26A9-46C3-A15B-CA771B4D0110}">
      <dsp:nvSpPr>
        <dsp:cNvPr id="0" name=""/>
        <dsp:cNvSpPr/>
      </dsp:nvSpPr>
      <dsp:spPr>
        <a:xfrm>
          <a:off x="2427169" y="1406781"/>
          <a:ext cx="91440" cy="243961"/>
        </a:xfrm>
        <a:custGeom>
          <a:avLst/>
          <a:gdLst/>
          <a:ahLst/>
          <a:cxnLst/>
          <a:rect l="0" t="0" r="0" b="0"/>
          <a:pathLst>
            <a:path>
              <a:moveTo>
                <a:pt x="45720" y="0"/>
              </a:moveTo>
              <a:lnTo>
                <a:pt x="45720" y="2439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8547D2-FDE6-4F14-A8D2-B37885D31C69}">
      <dsp:nvSpPr>
        <dsp:cNvPr id="0" name=""/>
        <dsp:cNvSpPr/>
      </dsp:nvSpPr>
      <dsp:spPr>
        <a:xfrm>
          <a:off x="602520" y="2231603"/>
          <a:ext cx="174258" cy="534391"/>
        </a:xfrm>
        <a:custGeom>
          <a:avLst/>
          <a:gdLst/>
          <a:ahLst/>
          <a:cxnLst/>
          <a:rect l="0" t="0" r="0" b="0"/>
          <a:pathLst>
            <a:path>
              <a:moveTo>
                <a:pt x="0" y="0"/>
              </a:moveTo>
              <a:lnTo>
                <a:pt x="0" y="534391"/>
              </a:lnTo>
              <a:lnTo>
                <a:pt x="174258" y="5343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F983A-740C-4C56-837D-56A0CF3E7B5C}">
      <dsp:nvSpPr>
        <dsp:cNvPr id="0" name=""/>
        <dsp:cNvSpPr/>
      </dsp:nvSpPr>
      <dsp:spPr>
        <a:xfrm>
          <a:off x="1067208" y="1406781"/>
          <a:ext cx="1405681" cy="243961"/>
        </a:xfrm>
        <a:custGeom>
          <a:avLst/>
          <a:gdLst/>
          <a:ahLst/>
          <a:cxnLst/>
          <a:rect l="0" t="0" r="0" b="0"/>
          <a:pathLst>
            <a:path>
              <a:moveTo>
                <a:pt x="1405681" y="0"/>
              </a:moveTo>
              <a:lnTo>
                <a:pt x="1405681" y="121980"/>
              </a:lnTo>
              <a:lnTo>
                <a:pt x="0" y="121980"/>
              </a:lnTo>
              <a:lnTo>
                <a:pt x="0" y="2439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57E14F-A39A-4092-8ACB-B45918B2C990}">
      <dsp:nvSpPr>
        <dsp:cNvPr id="0" name=""/>
        <dsp:cNvSpPr/>
      </dsp:nvSpPr>
      <dsp:spPr>
        <a:xfrm>
          <a:off x="2427169" y="581960"/>
          <a:ext cx="91440" cy="243961"/>
        </a:xfrm>
        <a:custGeom>
          <a:avLst/>
          <a:gdLst/>
          <a:ahLst/>
          <a:cxnLst/>
          <a:rect l="0" t="0" r="0" b="0"/>
          <a:pathLst>
            <a:path>
              <a:moveTo>
                <a:pt x="45720" y="0"/>
              </a:moveTo>
              <a:lnTo>
                <a:pt x="45720" y="243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5DF742-EC4B-46E8-84EC-2EC9E2A47BD0}">
      <dsp:nvSpPr>
        <dsp:cNvPr id="0" name=""/>
        <dsp:cNvSpPr/>
      </dsp:nvSpPr>
      <dsp:spPr>
        <a:xfrm>
          <a:off x="1892029" y="1100"/>
          <a:ext cx="1161720" cy="580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latin typeface="Arial" panose="020B0604020202020204" pitchFamily="34" charset="0"/>
              <a:cs typeface="Arial" panose="020B0604020202020204" pitchFamily="34" charset="0"/>
            </a:rPr>
            <a:t>Διαχειριστική Αρχή ΕΠΑνΕΚ</a:t>
          </a:r>
        </a:p>
      </dsp:txBody>
      <dsp:txXfrm>
        <a:off x="1892029" y="1100"/>
        <a:ext cx="1161720" cy="580860"/>
      </dsp:txXfrm>
    </dsp:sp>
    <dsp:sp modelId="{4E43A53A-4303-44F4-BBD5-332BEDE7038F}">
      <dsp:nvSpPr>
        <dsp:cNvPr id="0" name=""/>
        <dsp:cNvSpPr/>
      </dsp:nvSpPr>
      <dsp:spPr>
        <a:xfrm>
          <a:off x="1892029" y="825921"/>
          <a:ext cx="1161720" cy="580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latin typeface="Arial" panose="020B0604020202020204" pitchFamily="34" charset="0"/>
              <a:cs typeface="Arial" panose="020B0604020202020204" pitchFamily="34" charset="0"/>
            </a:rPr>
            <a:t>Διαχειριστικής Ταμείου ΕΑΤ Α.Ε.</a:t>
          </a:r>
        </a:p>
      </dsp:txBody>
      <dsp:txXfrm>
        <a:off x="1892029" y="825921"/>
        <a:ext cx="1161720" cy="580860"/>
      </dsp:txXfrm>
    </dsp:sp>
    <dsp:sp modelId="{22E9659A-6864-4126-91C2-8F0D8FF007F9}">
      <dsp:nvSpPr>
        <dsp:cNvPr id="0" name=""/>
        <dsp:cNvSpPr/>
      </dsp:nvSpPr>
      <dsp:spPr>
        <a:xfrm>
          <a:off x="486348" y="1650743"/>
          <a:ext cx="1161720" cy="580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latin typeface="Arial" panose="020B0604020202020204" pitchFamily="34" charset="0"/>
              <a:cs typeface="Arial" panose="020B0604020202020204" pitchFamily="34" charset="0"/>
            </a:rPr>
            <a:t>Φορέας Υλοποίησης Μέσου - ΕΧΟ Ι</a:t>
          </a:r>
        </a:p>
      </dsp:txBody>
      <dsp:txXfrm>
        <a:off x="486348" y="1650743"/>
        <a:ext cx="1161720" cy="580860"/>
      </dsp:txXfrm>
    </dsp:sp>
    <dsp:sp modelId="{4F5685EC-3306-4ECE-8FFB-CF6DC9A59BF1}">
      <dsp:nvSpPr>
        <dsp:cNvPr id="0" name=""/>
        <dsp:cNvSpPr/>
      </dsp:nvSpPr>
      <dsp:spPr>
        <a:xfrm>
          <a:off x="776778" y="2475564"/>
          <a:ext cx="1161720" cy="580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latin typeface="Arial" panose="020B0604020202020204" pitchFamily="34" charset="0"/>
              <a:cs typeface="Arial" panose="020B0604020202020204" pitchFamily="34" charset="0"/>
            </a:rPr>
            <a:t>Ωφελούμενοι</a:t>
          </a:r>
        </a:p>
      </dsp:txBody>
      <dsp:txXfrm>
        <a:off x="776778" y="2475564"/>
        <a:ext cx="1161720" cy="580860"/>
      </dsp:txXfrm>
    </dsp:sp>
    <dsp:sp modelId="{2EE83BC9-6718-4FAE-961A-33131E302F38}">
      <dsp:nvSpPr>
        <dsp:cNvPr id="0" name=""/>
        <dsp:cNvSpPr/>
      </dsp:nvSpPr>
      <dsp:spPr>
        <a:xfrm>
          <a:off x="1892029" y="1650743"/>
          <a:ext cx="1161720" cy="580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latin typeface="Arial" panose="020B0604020202020204" pitchFamily="34" charset="0"/>
              <a:cs typeface="Arial" panose="020B0604020202020204" pitchFamily="34" charset="0"/>
            </a:rPr>
            <a:t>Φορέας Υλοποίησης Μέσου - ΕΧΟ ΙΙ</a:t>
          </a:r>
          <a:endParaRPr lang="el-GR" sz="800" kern="1200"/>
        </a:p>
      </dsp:txBody>
      <dsp:txXfrm>
        <a:off x="1892029" y="1650743"/>
        <a:ext cx="1161720" cy="580860"/>
      </dsp:txXfrm>
    </dsp:sp>
    <dsp:sp modelId="{7439D6DD-C967-4CF9-BC8D-374BCCDA207E}">
      <dsp:nvSpPr>
        <dsp:cNvPr id="0" name=""/>
        <dsp:cNvSpPr/>
      </dsp:nvSpPr>
      <dsp:spPr>
        <a:xfrm>
          <a:off x="2182459" y="2475564"/>
          <a:ext cx="1161720" cy="580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latin typeface="Arial" panose="020B0604020202020204" pitchFamily="34" charset="0"/>
              <a:cs typeface="Arial" panose="020B0604020202020204" pitchFamily="34" charset="0"/>
            </a:rPr>
            <a:t>Ωφελούμενοι</a:t>
          </a:r>
          <a:endParaRPr lang="el-GR" sz="800" kern="1200"/>
        </a:p>
      </dsp:txBody>
      <dsp:txXfrm>
        <a:off x="2182459" y="2475564"/>
        <a:ext cx="1161720" cy="580860"/>
      </dsp:txXfrm>
    </dsp:sp>
    <dsp:sp modelId="{95C22968-2D9A-4396-8A4A-281DEB188CF8}">
      <dsp:nvSpPr>
        <dsp:cNvPr id="0" name=""/>
        <dsp:cNvSpPr/>
      </dsp:nvSpPr>
      <dsp:spPr>
        <a:xfrm>
          <a:off x="3297711" y="1650743"/>
          <a:ext cx="1161720" cy="580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latin typeface="Arial" panose="020B0604020202020204" pitchFamily="34" charset="0"/>
              <a:cs typeface="Arial" panose="020B0604020202020204" pitchFamily="34" charset="0"/>
            </a:rPr>
            <a:t>Φορέας Υλοποίησης Μέσου - ΕΧΟ ΙΙΙ κλπ</a:t>
          </a:r>
          <a:endParaRPr lang="el-GR" sz="800" kern="1200"/>
        </a:p>
      </dsp:txBody>
      <dsp:txXfrm>
        <a:off x="3297711" y="1650743"/>
        <a:ext cx="1161720" cy="580860"/>
      </dsp:txXfrm>
    </dsp:sp>
    <dsp:sp modelId="{AA4ABB1F-AC1B-489F-AF64-243DD257A081}">
      <dsp:nvSpPr>
        <dsp:cNvPr id="0" name=""/>
        <dsp:cNvSpPr/>
      </dsp:nvSpPr>
      <dsp:spPr>
        <a:xfrm>
          <a:off x="3588141" y="2475564"/>
          <a:ext cx="1161720" cy="5808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latin typeface="Arial" panose="020B0604020202020204" pitchFamily="34" charset="0"/>
              <a:cs typeface="Arial" panose="020B0604020202020204" pitchFamily="34" charset="0"/>
            </a:rPr>
            <a:t>Ωφελούμενοι</a:t>
          </a:r>
          <a:endParaRPr lang="el-GR" sz="800" kern="1200"/>
        </a:p>
      </dsp:txBody>
      <dsp:txXfrm>
        <a:off x="3588141" y="2475564"/>
        <a:ext cx="1161720" cy="5808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7A188E3A43214991539686728E2E0B" ma:contentTypeVersion="13" ma:contentTypeDescription="Create a new document." ma:contentTypeScope="" ma:versionID="544e18aa9c86fb8d660e5105ecca6a2a">
  <xsd:schema xmlns:xsd="http://www.w3.org/2001/XMLSchema" xmlns:xs="http://www.w3.org/2001/XMLSchema" xmlns:p="http://schemas.microsoft.com/office/2006/metadata/properties" xmlns:ns3="7940c81f-9e7b-4eba-94d3-49d458775440" xmlns:ns4="6daff8e9-206f-4599-8e08-66bfc7112f94" targetNamespace="http://schemas.microsoft.com/office/2006/metadata/properties" ma:root="true" ma:fieldsID="5b5576b96da8c0e15eb9e50362c96c63" ns3:_="" ns4:_="">
    <xsd:import namespace="7940c81f-9e7b-4eba-94d3-49d458775440"/>
    <xsd:import namespace="6daff8e9-206f-4599-8e08-66bfc7112f9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0c81f-9e7b-4eba-94d3-49d458775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aff8e9-206f-4599-8e08-66bfc7112f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FC776-892D-4A91-BFAB-B8A82FD03A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145586-A1B0-4849-AA44-C7FA8C1BC75C}">
  <ds:schemaRefs>
    <ds:schemaRef ds:uri="http://schemas.microsoft.com/sharepoint/v3/contenttype/forms"/>
  </ds:schemaRefs>
</ds:datastoreItem>
</file>

<file path=customXml/itemProps3.xml><?xml version="1.0" encoding="utf-8"?>
<ds:datastoreItem xmlns:ds="http://schemas.openxmlformats.org/officeDocument/2006/customXml" ds:itemID="{2BAD34E1-DCF8-4FBF-81FE-4285EE500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0c81f-9e7b-4eba-94d3-49d458775440"/>
    <ds:schemaRef ds:uri="6daff8e9-206f-4599-8e08-66bfc7112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A05D25-37EA-4A40-BEEE-170E30228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140</Pages>
  <Words>42301</Words>
  <Characters>228431</Characters>
  <Application>Microsoft Office Word</Application>
  <DocSecurity>0</DocSecurity>
  <Lines>1903</Lines>
  <Paragraphs>540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270192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ΣΑΜΑΡΤΖΗΣ ΣΩΤΗΡΗΣ</dc:creator>
  <cp:lastModifiedBy>ΧΡΗΣΤΟΣ ΔΡΥΜΟΥΣΗΣ</cp:lastModifiedBy>
  <cp:revision>13</cp:revision>
  <cp:lastPrinted>2016-11-15T09:42:00Z</cp:lastPrinted>
  <dcterms:created xsi:type="dcterms:W3CDTF">2020-03-31T13:16:00Z</dcterms:created>
  <dcterms:modified xsi:type="dcterms:W3CDTF">2020-06-09T11:51:00Z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0x010100607A188E3A43214991539686728E2E0B</vt:lpwstr>
  </property>
</Properties>
</file>