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5D" w:rsidRDefault="005D375D" w:rsidP="005D375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1BF23FE9" wp14:editId="53140CD4">
            <wp:simplePos x="0" y="0"/>
            <wp:positionH relativeFrom="column">
              <wp:posOffset>2331720</wp:posOffset>
            </wp:positionH>
            <wp:positionV relativeFrom="paragraph">
              <wp:posOffset>-73660</wp:posOffset>
            </wp:positionV>
            <wp:extent cx="1339215" cy="495300"/>
            <wp:effectExtent l="0" t="0" r="0" b="0"/>
            <wp:wrapNone/>
            <wp:docPr id="7" name="Εικόνα 7" descr="\\Epanserver02\espa_14-20\43_ΛΟΓΟΤΥΠΑ\02_ΤΑΥΤΟΤΗΤΑ_ΕΠΑΝΕΚ\01_ΕΠΑνΕΚ_ΚΑΤΑΚΟΡΥΦΗ_ΔΙΑΤΑΞΗ\ΕΠΑνΕΚ_el_vertical\Web\ΕΠΑνΕΚ_el_vertical_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panserver02\espa_14-20\43_ΛΟΓΟΤΥΠΑ\02_ΤΑΥΤΟΤΗΤΑ_ΕΠΑΝΕΚ\01_ΕΠΑνΕΚ_ΚΑΤΑΚΟΡΥΦΗ_ΔΙΑΤΑΞΗ\ΕΠΑνΕΚ_el_vertical\Web\ΕΠΑνΕΚ_el_vertical_(rgb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4D0FE65" wp14:editId="7163ADD3">
            <wp:simplePos x="0" y="0"/>
            <wp:positionH relativeFrom="column">
              <wp:posOffset>947420</wp:posOffset>
            </wp:positionH>
            <wp:positionV relativeFrom="paragraph">
              <wp:posOffset>-284480</wp:posOffset>
            </wp:positionV>
            <wp:extent cx="1333500" cy="833120"/>
            <wp:effectExtent l="0" t="0" r="0" b="5080"/>
            <wp:wrapNone/>
            <wp:docPr id="5" name="Εικόνα 5" descr="\\Epanserver02\espa_14-20\43_ΛΟΓΟΤΥΠΑ\04_ΥΠΟΥΡΓΕΙΟ_ΑΝΑΠΤΥΞΗΣ_ΚΑΙ_ΕΠΕΝΔΥΣΕΩΝ\Ypourgeio-ependyseislogoEGE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panserver02\espa_14-20\43_ΛΟΓΟΤΥΠΑ\04_ΥΠΟΥΡΓΕΙΟ_ΑΝΑΠΤΥΞΗΣ_ΚΑΙ_ΕΠΕΝΔΥΣΕΩΝ\Ypourgeio-ependyseislogoEGEY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10EF27FD" wp14:editId="2279B955">
            <wp:simplePos x="0" y="0"/>
            <wp:positionH relativeFrom="column">
              <wp:posOffset>99695</wp:posOffset>
            </wp:positionH>
            <wp:positionV relativeFrom="paragraph">
              <wp:posOffset>-174625</wp:posOffset>
            </wp:positionV>
            <wp:extent cx="752475" cy="719455"/>
            <wp:effectExtent l="0" t="0" r="9525" b="4445"/>
            <wp:wrapNone/>
            <wp:docPr id="6" name="Εικόνα 6" descr="\\Epanserver02\espa_14-20\43_ΛΟΓΟΤΥΠΑ\03_ΕΜΒΛΗΜΑ_ΕΕ\3_ΕΜΒΛΗΜΑ_ΕΤΠΑ\ΕΕΤΠΑ_el_web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panserver02\espa_14-20\43_ΛΟΓΟΤΥΠΑ\03_ΕΜΒΛΗΜΑ_ΕΕ\3_ΕΜΒΛΗΜΑ_ΕΤΠΑ\ΕΕΤΠΑ_el_web(RGB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AD0">
        <w:rPr>
          <w:rFonts w:asciiTheme="minorHAnsi" w:hAnsiTheme="minorHAnsi" w:cstheme="minorHAnsi"/>
          <w:b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40EE1D74" wp14:editId="2BA26FDE">
            <wp:simplePos x="0" y="0"/>
            <wp:positionH relativeFrom="column">
              <wp:posOffset>3747770</wp:posOffset>
            </wp:positionH>
            <wp:positionV relativeFrom="paragraph">
              <wp:posOffset>-73660</wp:posOffset>
            </wp:positionV>
            <wp:extent cx="911860" cy="47371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80EAD19" wp14:editId="2FA7E8CC">
            <wp:simplePos x="0" y="0"/>
            <wp:positionH relativeFrom="column">
              <wp:posOffset>4766945</wp:posOffset>
            </wp:positionH>
            <wp:positionV relativeFrom="paragraph">
              <wp:posOffset>-111760</wp:posOffset>
            </wp:positionV>
            <wp:extent cx="894080" cy="536575"/>
            <wp:effectExtent l="0" t="0" r="1270" b="0"/>
            <wp:wrapNone/>
            <wp:docPr id="9" name="Εικόνα 9" descr="\\Epanserver02\espa_14-20\43_ΛΟΓΟΤΥΠΑ\01_ESPA 2014_2020\ΕΣΠΑ_1420_logo_el\ΕΣΠΑ_1420_el_we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panserver02\espa_14-20\43_ΛΟΓΟΤΥΠΑ\01_ESPA 2014_2020\ΕΣΠΑ_1420_logo_el\ΕΣΠΑ_1420_el_web_rg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5B3" w:rsidRPr="00385AD0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 </w:t>
      </w:r>
    </w:p>
    <w:p w:rsidR="005D375D" w:rsidRDefault="005D375D" w:rsidP="005D375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noProof/>
          <w:sz w:val="22"/>
          <w:szCs w:val="22"/>
          <w:lang w:val="el-GR" w:eastAsia="el-GR"/>
        </w:rPr>
      </w:pPr>
      <w:r w:rsidRPr="005D375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375D" w:rsidRDefault="005D375D" w:rsidP="005D375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noProof/>
          <w:sz w:val="22"/>
          <w:szCs w:val="22"/>
          <w:lang w:val="el-GR" w:eastAsia="el-GR"/>
        </w:rPr>
      </w:pPr>
    </w:p>
    <w:p w:rsidR="003D6640" w:rsidRPr="00385AD0" w:rsidRDefault="003D6640" w:rsidP="005D375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4762EB" w:rsidRPr="004762EB" w:rsidRDefault="007D15B3" w:rsidP="004762EB">
      <w:pPr>
        <w:autoSpaceDE w:val="0"/>
        <w:autoSpaceDN w:val="0"/>
        <w:adjustRightInd w:val="0"/>
        <w:spacing w:line="240" w:lineRule="auto"/>
        <w:rPr>
          <w:b/>
          <w:kern w:val="1"/>
          <w:sz w:val="22"/>
          <w:szCs w:val="22"/>
          <w:lang w:val="el-GR"/>
        </w:rPr>
      </w:pPr>
      <w:r w:rsidRPr="00385AD0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 </w:t>
      </w:r>
    </w:p>
    <w:p w:rsidR="004762EB" w:rsidRPr="004762EB" w:rsidRDefault="004762EB" w:rsidP="004762EB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spacing w:before="100" w:beforeAutospacing="1" w:after="100" w:afterAutospacing="1" w:line="240" w:lineRule="auto"/>
        <w:jc w:val="left"/>
        <w:outlineLvl w:val="1"/>
        <w:rPr>
          <w:b/>
          <w:bCs/>
          <w:color w:val="000000"/>
          <w:sz w:val="24"/>
          <w:lang w:val="el-GR" w:eastAsia="en-US"/>
        </w:rPr>
      </w:pPr>
      <w:r w:rsidRPr="004762EB">
        <w:rPr>
          <w:b/>
          <w:bCs/>
          <w:sz w:val="24"/>
          <w:lang w:val="el-GR" w:eastAsia="en-US"/>
        </w:rPr>
        <w:t>ΔΕΛΤΙΟ ΤΥΠΟΥ                                                                                                                   14.01.2020</w:t>
      </w:r>
    </w:p>
    <w:p w:rsidR="004762EB" w:rsidRPr="004762EB" w:rsidRDefault="004762EB" w:rsidP="004762EB">
      <w:pPr>
        <w:widowControl w:val="0"/>
        <w:suppressAutoHyphens w:val="0"/>
        <w:autoSpaceDE w:val="0"/>
        <w:autoSpaceDN w:val="0"/>
        <w:spacing w:line="240" w:lineRule="auto"/>
        <w:jc w:val="center"/>
        <w:rPr>
          <w:rFonts w:eastAsia="Calibri" w:cs="Arial"/>
          <w:color w:val="FF0000"/>
          <w:sz w:val="24"/>
          <w:lang w:val="el-GR" w:eastAsia="en-US"/>
        </w:rPr>
      </w:pPr>
      <w:r w:rsidRPr="004762EB">
        <w:rPr>
          <w:rFonts w:cs="Tahoma"/>
          <w:b/>
          <w:bCs/>
          <w:color w:val="000000"/>
          <w:kern w:val="1"/>
          <w:sz w:val="24"/>
          <w:lang w:val="el-GR" w:eastAsia="hi-IN" w:bidi="hi-IN"/>
        </w:rPr>
        <w:t>«ΣΥΝΕΡΓΑΤΙΚΟΙ ΣΧΗΜΑΤΙΣΜΟΙ ΚΑΙΝΟΤΟΜΙΑΣ/ ΣΣΚ»</w:t>
      </w:r>
    </w:p>
    <w:p w:rsidR="004762EB" w:rsidRPr="004762EB" w:rsidRDefault="004762EB" w:rsidP="004762EB">
      <w:pPr>
        <w:pBdr>
          <w:bottom w:val="single" w:sz="12" w:space="1" w:color="auto"/>
        </w:pBdr>
        <w:spacing w:line="240" w:lineRule="auto"/>
        <w:jc w:val="center"/>
        <w:outlineLvl w:val="1"/>
        <w:rPr>
          <w:bCs/>
          <w:sz w:val="24"/>
          <w:lang w:val="el-GR"/>
        </w:rPr>
      </w:pPr>
      <w:r>
        <w:rPr>
          <w:rFonts w:eastAsia="Cambria" w:cs="Tahoma"/>
          <w:bCs/>
          <w:color w:val="000000"/>
          <w:sz w:val="24"/>
          <w:lang w:val="el-GR"/>
        </w:rPr>
        <w:t>Υ</w:t>
      </w:r>
      <w:r w:rsidRPr="004762EB">
        <w:rPr>
          <w:rFonts w:eastAsia="Cambria" w:cs="Tahoma"/>
          <w:bCs/>
          <w:color w:val="000000"/>
          <w:sz w:val="24"/>
          <w:lang w:val="el-GR"/>
        </w:rPr>
        <w:t>ποβλήθηκαν πενήντα οκτώ (58) προτάσεις σε όλους τους θεματικούς τομείς της Στρατηγικής Έξυπνης Εξειδίκευσης</w:t>
      </w:r>
    </w:p>
    <w:p w:rsidR="004762EB" w:rsidRPr="004762EB" w:rsidRDefault="004762EB" w:rsidP="004762EB">
      <w:pPr>
        <w:widowControl w:val="0"/>
        <w:spacing w:line="240" w:lineRule="auto"/>
        <w:jc w:val="center"/>
        <w:rPr>
          <w:rFonts w:cs="Arial"/>
          <w:color w:val="000000"/>
          <w:kern w:val="1"/>
          <w:sz w:val="24"/>
          <w:lang w:val="el-GR" w:eastAsia="hi-IN" w:bidi="hi-IN"/>
        </w:rPr>
      </w:pPr>
    </w:p>
    <w:p w:rsidR="006A50A8" w:rsidRPr="00791BFC" w:rsidRDefault="009F047F" w:rsidP="006A50A8">
      <w:pPr>
        <w:spacing w:line="240" w:lineRule="auto"/>
        <w:outlineLvl w:val="1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Στο πλαίσιο της 1</w:t>
      </w:r>
      <w:r w:rsidRPr="009F047F">
        <w:rPr>
          <w:rFonts w:asciiTheme="minorHAnsi" w:eastAsia="Calibri" w:hAnsiTheme="minorHAnsi" w:cstheme="minorHAnsi"/>
          <w:b/>
          <w:sz w:val="22"/>
          <w:szCs w:val="22"/>
          <w:vertAlign w:val="superscript"/>
          <w:lang w:val="el-GR" w:eastAsia="en-US"/>
        </w:rPr>
        <w:t>ης</w:t>
      </w:r>
      <w:r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 πρόσκλησης προς τους «Φορείς Αρωγούς» της </w:t>
      </w:r>
      <w:r w:rsidR="006A50A8" w:rsidRPr="00791BFC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Δράση</w:t>
      </w:r>
      <w:r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ς</w:t>
      </w:r>
      <w:r w:rsidRPr="009F047F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 </w:t>
      </w:r>
      <w:r w:rsidR="006A50A8" w:rsidRPr="00791BFC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«ΣΥΝΕΡΓΑΤΙΚΟΙ ΣΧΗΜΑΤΙΣΜΟΙ ΚΑΙΝΟΤΟΜΙΑΣ/ ΣΣΚ»</w:t>
      </w:r>
      <w:r w:rsidRPr="009F047F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,</w:t>
      </w:r>
      <w:r w:rsidR="006A50A8" w:rsidRPr="00791BFC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 </w:t>
      </w:r>
      <w:r w:rsidR="004762EB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υποβλήθηκαν πενήντα οκτώ (</w:t>
      </w:r>
      <w:r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58</w:t>
      </w:r>
      <w:r w:rsidR="004762EB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 προτάσεις σε όλους τους θεματικούς τομείς της </w:t>
      </w:r>
      <w:r w:rsidR="00E06875" w:rsidRPr="00E06875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Στρατηγικής Έξυπνης Εξειδίκευσης σε Εθνικό επίπεδο (</w:t>
      </w:r>
      <w:proofErr w:type="spellStart"/>
      <w:r w:rsidR="00E06875" w:rsidRPr="00E06875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national</w:t>
      </w:r>
      <w:proofErr w:type="spellEnd"/>
      <w:r w:rsidR="00E06875" w:rsidRPr="00E06875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 RIS3)</w:t>
      </w:r>
      <w:r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.</w:t>
      </w:r>
    </w:p>
    <w:p w:rsidR="004762EB" w:rsidRDefault="004762EB" w:rsidP="006A50A8">
      <w:pPr>
        <w:suppressAutoHyphens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6A50A8" w:rsidRPr="006A50A8" w:rsidRDefault="00C3228E" w:rsidP="006A50A8">
      <w:pPr>
        <w:suppressAutoHyphens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Την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6A50A8"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Παρασκευή 10 Ιανουαρίου 2020</w:t>
      </w:r>
      <w:r w:rsidR="00660E4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και ώρα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14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:00</w:t>
      </w:r>
      <w:r w:rsidR="00BA33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="006A50A8" w:rsidRPr="00791BF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έληξε 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η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προθεσμία 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υποβολή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ς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αιτήσεων χρηματοδότησης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/προτάσεων 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έργων </w:t>
      </w:r>
      <w:r w:rsidR="00BA33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στο πλαίσιο</w:t>
      </w:r>
      <w:r w:rsidR="0035768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BA33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της </w:t>
      </w:r>
      <w:r w:rsidR="0035768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ως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άνω Δράση</w:t>
      </w:r>
      <w:r w:rsidR="00BA33CF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ς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 η οποία συγχρηματοδοτείται από το Ευρωπαϊκό Ταμείο Περιφερειακής Ανάπτυξης της ΕΕ</w:t>
      </w:r>
      <w:r w:rsidR="00660E4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35768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όπως προβλέπεται από το 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Επιχειρησιακ</w:t>
      </w:r>
      <w:r w:rsidR="0035768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ό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Πρ</w:t>
      </w:r>
      <w:r w:rsidR="0035768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ό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γρ</w:t>
      </w:r>
      <w:r w:rsidR="0035768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α</w:t>
      </w:r>
      <w:r w:rsidR="006A50A8"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μμα ΑΝΤΑΓΩΝΙΣΤΙΚΟΤΗΤΑ – ΕΠΙΧΕΙΡΗΜΑΤΙΚΟΤΗΤΑ – ΚΑΙΝΟΤΟΜΙΑ (ΕΣΠΑ 2014 -2020). </w:t>
      </w:r>
    </w:p>
    <w:p w:rsidR="006A50A8" w:rsidRPr="006A50A8" w:rsidRDefault="006A50A8" w:rsidP="006A50A8">
      <w:pPr>
        <w:suppressAutoHyphens w:val="0"/>
        <w:spacing w:after="120" w:line="240" w:lineRule="auto"/>
        <w:rPr>
          <w:rFonts w:asciiTheme="minorHAnsi" w:eastAsia="Calibri" w:hAnsiTheme="minorHAnsi" w:cstheme="minorHAnsi"/>
          <w:bCs/>
          <w:color w:val="000000"/>
          <w:sz w:val="22"/>
          <w:szCs w:val="22"/>
          <w:lang w:val="el-GR" w:eastAsia="el-GR"/>
        </w:rPr>
      </w:pPr>
      <w:r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1D314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Για τις </w:t>
      </w:r>
      <w:r w:rsidR="001D3144" w:rsidRPr="001D314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58 </w:t>
      </w:r>
      <w:r w:rsidR="001D314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υποβληθείσες </w:t>
      </w:r>
      <w:r w:rsidR="001D3144" w:rsidRPr="001D314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προτάσεις </w:t>
      </w:r>
      <w:r w:rsidR="001D3144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η αιτούμενη δημόσια δαπάνη ανέρχεται στο ποσό των </w:t>
      </w:r>
      <w:r w:rsidRPr="00791BFC">
        <w:rPr>
          <w:rFonts w:asciiTheme="minorHAnsi" w:eastAsia="Calibri" w:hAnsiTheme="minorHAnsi" w:cstheme="minorHAnsi"/>
          <w:bCs/>
          <w:color w:val="000000"/>
          <w:sz w:val="22"/>
          <w:szCs w:val="22"/>
          <w:lang w:val="el-GR" w:eastAsia="el-GR"/>
        </w:rPr>
        <w:t xml:space="preserve">11.592.259,34 € </w:t>
      </w:r>
      <w:r w:rsidR="009E293D">
        <w:rPr>
          <w:rFonts w:asciiTheme="minorHAnsi" w:eastAsia="Calibri" w:hAnsiTheme="minorHAnsi" w:cstheme="minorHAnsi"/>
          <w:bCs/>
          <w:color w:val="000000"/>
          <w:sz w:val="22"/>
          <w:szCs w:val="22"/>
          <w:lang w:val="el-GR" w:eastAsia="el-GR"/>
        </w:rPr>
        <w:t>ευρώ</w:t>
      </w:r>
      <w:r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</w:t>
      </w:r>
    </w:p>
    <w:p w:rsidR="00791BFC" w:rsidRPr="00791BFC" w:rsidRDefault="006A50A8" w:rsidP="006A50A8">
      <w:pPr>
        <w:suppressAutoHyphens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Παρατίθενται αναλυτικά στοιχεία των προτάσεων που υποβ</w:t>
      </w:r>
      <w:r w:rsidR="00660E4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λήθηκαν ανά θεματικό τομέα</w:t>
      </w:r>
      <w:r w:rsidR="00D94B87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:</w:t>
      </w:r>
    </w:p>
    <w:p w:rsidR="006A50A8" w:rsidRPr="005313E9" w:rsidRDefault="005313E9" w:rsidP="005313E9">
      <w:pPr>
        <w:suppressAutoHyphens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1)</w:t>
      </w:r>
      <w:r w:rsidRPr="005313E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Νομοθετικό πλαίσιο για τη χρηματοδότηση Κανονισμός (ΕΕ) αριθ. 1407/2013 </w:t>
      </w:r>
      <w:proofErr w:type="spellStart"/>
      <w:r w:rsidRPr="005313E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De</w:t>
      </w:r>
      <w:proofErr w:type="spellEnd"/>
      <w:r w:rsidRPr="005313E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proofErr w:type="spellStart"/>
      <w:r w:rsidRPr="005313E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minimis</w:t>
      </w:r>
      <w:proofErr w:type="spellEnd"/>
      <w:r w:rsidRPr="005313E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D94B87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- </w:t>
      </w:r>
      <w:r w:rsidRPr="005313E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791BFC" w:rsidRPr="005313E9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29 προτάσεις </w:t>
      </w:r>
    </w:p>
    <w:tbl>
      <w:tblPr>
        <w:tblW w:w="943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985"/>
        <w:gridCol w:w="2899"/>
      </w:tblGrid>
      <w:tr w:rsidR="006A50A8" w:rsidRPr="004762EB" w:rsidTr="00D94B87">
        <w:trPr>
          <w:trHeight w:val="384"/>
          <w:jc w:val="center"/>
        </w:trPr>
        <w:tc>
          <w:tcPr>
            <w:tcW w:w="2850" w:type="dxa"/>
            <w:shd w:val="clear" w:color="FFFFFF" w:fill="FFFFFF"/>
            <w:noWrap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6585" w:type="dxa"/>
            <w:gridSpan w:val="3"/>
            <w:shd w:val="clear" w:color="auto" w:fill="C9C9C9" w:themeFill="accent3" w:themeFillTint="99"/>
            <w:vAlign w:val="center"/>
            <w:hideMark/>
          </w:tcPr>
          <w:p w:rsidR="00791BFC" w:rsidRPr="00D94B87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ΣΥΝΕΡΓΑΤΙΚΟΙ ΣΧΗΜΑΤΙΣΜΟΙ ΚΑΙΝΟΤΟΜΙΑΣ - 1η Πρόσκληση</w:t>
            </w:r>
          </w:p>
          <w:p w:rsidR="006A50A8" w:rsidRPr="006A50A8" w:rsidRDefault="001D3144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 xml:space="preserve"> καθεστώς </w:t>
            </w:r>
            <w:r w:rsidR="00E75DC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 xml:space="preserve">ενίσχυσης </w:t>
            </w:r>
            <w:r w:rsidR="006A50A8"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De</w:t>
            </w:r>
            <w:r w:rsidR="006A50A8"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 xml:space="preserve"> </w:t>
            </w:r>
            <w:r w:rsidR="006A50A8"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Minimis</w:t>
            </w:r>
          </w:p>
        </w:tc>
      </w:tr>
      <w:tr w:rsidR="00791BFC" w:rsidRPr="00791BFC" w:rsidTr="00D94B87">
        <w:trPr>
          <w:trHeight w:val="819"/>
          <w:jc w:val="center"/>
        </w:trPr>
        <w:tc>
          <w:tcPr>
            <w:tcW w:w="2850" w:type="dxa"/>
            <w:shd w:val="clear" w:color="FFFFFF" w:fill="FFFFFF"/>
            <w:noWrap/>
            <w:vAlign w:val="center"/>
            <w:hideMark/>
          </w:tcPr>
          <w:p w:rsidR="00791BFC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Θεμ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ατικοί 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Τομείς</w:t>
            </w:r>
            <w:proofErr w:type="spellEnd"/>
          </w:p>
        </w:tc>
        <w:tc>
          <w:tcPr>
            <w:tcW w:w="1701" w:type="dxa"/>
            <w:shd w:val="clear" w:color="auto" w:fill="C9C9C9" w:themeFill="accent3" w:themeFillTint="99"/>
            <w:vAlign w:val="center"/>
            <w:hideMark/>
          </w:tcPr>
          <w:p w:rsidR="006A50A8" w:rsidRPr="006A50A8" w:rsidRDefault="001D3144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Πλήθος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Υποβ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ληθεισών</w:t>
            </w:r>
            <w:proofErr w:type="spellEnd"/>
            <w:r w:rsidR="006A50A8"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A50A8"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Προτάσεων</w:t>
            </w:r>
            <w:proofErr w:type="spellEnd"/>
          </w:p>
        </w:tc>
        <w:tc>
          <w:tcPr>
            <w:tcW w:w="1985" w:type="dxa"/>
            <w:shd w:val="clear" w:color="auto" w:fill="C9C9C9" w:themeFill="accent3" w:themeFillTint="99"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Επ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ιχορηγούμενος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Προϋ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πολογισμός</w:t>
            </w:r>
          </w:p>
        </w:tc>
        <w:tc>
          <w:tcPr>
            <w:tcW w:w="2899" w:type="dxa"/>
            <w:shd w:val="clear" w:color="auto" w:fill="C9C9C9" w:themeFill="accent3" w:themeFillTint="99"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Δημόσι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 Δαπ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άνη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Αιτούμενη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Επ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ιχορήγηση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</w:tr>
      <w:tr w:rsidR="00791BFC" w:rsidRPr="00791BFC" w:rsidTr="00D94B87">
        <w:trPr>
          <w:trHeight w:val="394"/>
          <w:jc w:val="center"/>
        </w:trPr>
        <w:tc>
          <w:tcPr>
            <w:tcW w:w="2850" w:type="dxa"/>
            <w:shd w:val="clear" w:color="auto" w:fill="C9C9C9" w:themeFill="accent3" w:themeFillTint="99"/>
            <w:noWrap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1_ ΥΚΑ: 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Υλικά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– Κατα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σκευές</w:t>
            </w:r>
            <w:proofErr w:type="spellEnd"/>
          </w:p>
        </w:tc>
        <w:tc>
          <w:tcPr>
            <w:tcW w:w="1701" w:type="dxa"/>
            <w:shd w:val="clear" w:color="FFFFFF" w:fill="FCFDFD"/>
            <w:noWrap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85" w:type="dxa"/>
            <w:shd w:val="clear" w:color="FFFFFF" w:fill="FCFDFD"/>
            <w:noWrap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799.998,52</w:t>
            </w:r>
          </w:p>
        </w:tc>
        <w:tc>
          <w:tcPr>
            <w:tcW w:w="2899" w:type="dxa"/>
            <w:shd w:val="clear" w:color="FFFFFF" w:fill="FCFDFD"/>
            <w:noWrap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799.998,52</w:t>
            </w:r>
          </w:p>
        </w:tc>
      </w:tr>
      <w:tr w:rsidR="00791BFC" w:rsidRPr="00791BFC" w:rsidTr="00D94B87">
        <w:trPr>
          <w:trHeight w:val="394"/>
          <w:jc w:val="center"/>
        </w:trPr>
        <w:tc>
          <w:tcPr>
            <w:tcW w:w="2850" w:type="dxa"/>
            <w:shd w:val="clear" w:color="auto" w:fill="C9C9C9" w:themeFill="accent3" w:themeFillTint="99"/>
            <w:noWrap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2_ ΤΠΔ: Τουρισμός Πολιτισμός και Δημιουργικές Βιομηχανίες</w:t>
            </w:r>
          </w:p>
        </w:tc>
        <w:tc>
          <w:tcPr>
            <w:tcW w:w="1701" w:type="dxa"/>
            <w:shd w:val="clear" w:color="FFFFFF" w:fill="FFFFFF"/>
            <w:noWrap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985" w:type="dxa"/>
            <w:shd w:val="clear" w:color="FFFFFF" w:fill="FFFFFF"/>
            <w:noWrap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1.771.052,64</w:t>
            </w:r>
          </w:p>
        </w:tc>
        <w:tc>
          <w:tcPr>
            <w:tcW w:w="2899" w:type="dxa"/>
            <w:shd w:val="clear" w:color="FFFFFF" w:fill="FFFFFF"/>
            <w:noWrap/>
            <w:vAlign w:val="center"/>
            <w:hideMark/>
          </w:tcPr>
          <w:p w:rsidR="006A50A8" w:rsidRPr="006A50A8" w:rsidRDefault="006A50A8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1.771.052,64</w:t>
            </w:r>
          </w:p>
        </w:tc>
      </w:tr>
      <w:tr w:rsidR="00791BFC" w:rsidRPr="00791BFC" w:rsidTr="00D94B87">
        <w:trPr>
          <w:trHeight w:val="394"/>
          <w:jc w:val="center"/>
        </w:trPr>
        <w:tc>
          <w:tcPr>
            <w:tcW w:w="2850" w:type="dxa"/>
            <w:shd w:val="clear" w:color="auto" w:fill="C9C9C9" w:themeFill="accent3" w:themeFillTint="99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</w:t>
            </w: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_ ΠΒΑ: Περιβάλλον και Βιώσιμη Ανάπτυξη</w:t>
            </w:r>
          </w:p>
        </w:tc>
        <w:tc>
          <w:tcPr>
            <w:tcW w:w="1701" w:type="dxa"/>
            <w:shd w:val="clear" w:color="FFFFFF" w:fill="FCFDFD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shd w:val="clear" w:color="FFFFFF" w:fill="FCFDFD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163.500,00</w:t>
            </w:r>
          </w:p>
        </w:tc>
        <w:tc>
          <w:tcPr>
            <w:tcW w:w="2899" w:type="dxa"/>
            <w:shd w:val="clear" w:color="FFFFFF" w:fill="FCFDFD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163.500,00</w:t>
            </w:r>
          </w:p>
        </w:tc>
      </w:tr>
      <w:tr w:rsidR="00791BFC" w:rsidRPr="00791BFC" w:rsidTr="00D94B87">
        <w:trPr>
          <w:trHeight w:val="394"/>
          <w:jc w:val="center"/>
        </w:trPr>
        <w:tc>
          <w:tcPr>
            <w:tcW w:w="2850" w:type="dxa"/>
            <w:shd w:val="clear" w:color="auto" w:fill="C9C9C9" w:themeFill="accent3" w:themeFillTint="99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4</w:t>
            </w: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_ ΥΦΑ: 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Υγεί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α και 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Φάρμ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ακα</w:t>
            </w:r>
          </w:p>
        </w:tc>
        <w:tc>
          <w:tcPr>
            <w:tcW w:w="1701" w:type="dxa"/>
            <w:shd w:val="clear" w:color="FFFFFF" w:fill="FFFFFF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996.547,50</w:t>
            </w:r>
          </w:p>
        </w:tc>
        <w:tc>
          <w:tcPr>
            <w:tcW w:w="2899" w:type="dxa"/>
            <w:shd w:val="clear" w:color="FFFFFF" w:fill="FFFFFF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996.547,50</w:t>
            </w:r>
          </w:p>
        </w:tc>
      </w:tr>
      <w:tr w:rsidR="00791BFC" w:rsidRPr="00791BFC" w:rsidTr="00D94B87">
        <w:trPr>
          <w:trHeight w:val="394"/>
          <w:jc w:val="center"/>
        </w:trPr>
        <w:tc>
          <w:tcPr>
            <w:tcW w:w="2850" w:type="dxa"/>
            <w:shd w:val="clear" w:color="auto" w:fill="C9C9C9" w:themeFill="accent3" w:themeFillTint="99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5</w:t>
            </w: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_ ΤΠΕ: Τεχνολογίες Πληροφορικής και Επικοινωνιών</w:t>
            </w:r>
          </w:p>
        </w:tc>
        <w:tc>
          <w:tcPr>
            <w:tcW w:w="1701" w:type="dxa"/>
            <w:shd w:val="clear" w:color="FFFFFF" w:fill="FCFDFD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985" w:type="dxa"/>
            <w:shd w:val="clear" w:color="FFFFFF" w:fill="FCFDFD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771.035,00</w:t>
            </w:r>
          </w:p>
        </w:tc>
        <w:tc>
          <w:tcPr>
            <w:tcW w:w="2899" w:type="dxa"/>
            <w:shd w:val="clear" w:color="FFFFFF" w:fill="FCFDFD"/>
            <w:noWrap/>
            <w:vAlign w:val="center"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771.035,00</w:t>
            </w:r>
          </w:p>
        </w:tc>
      </w:tr>
      <w:tr w:rsidR="00791BFC" w:rsidRPr="00791BFC" w:rsidTr="00D94B87">
        <w:trPr>
          <w:trHeight w:val="394"/>
          <w:jc w:val="center"/>
        </w:trPr>
        <w:tc>
          <w:tcPr>
            <w:tcW w:w="2850" w:type="dxa"/>
            <w:shd w:val="clear" w:color="auto" w:fill="C9C9C9" w:themeFill="accent3" w:themeFillTint="99"/>
            <w:noWrap/>
            <w:vAlign w:val="center"/>
          </w:tcPr>
          <w:p w:rsidR="00791BFC" w:rsidRPr="00D94B87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6</w:t>
            </w: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 xml:space="preserve">_ ΑΓΡ: 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Αγροδιατροφή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 xml:space="preserve"> και Βιομηχανία τροφίμων</w:t>
            </w:r>
          </w:p>
        </w:tc>
        <w:tc>
          <w:tcPr>
            <w:tcW w:w="1701" w:type="dxa"/>
            <w:shd w:val="clear" w:color="FFFFFF" w:fill="FFFFFF"/>
            <w:noWrap/>
            <w:vAlign w:val="center"/>
          </w:tcPr>
          <w:p w:rsidR="00791BFC" w:rsidRPr="00D94B87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791BFC" w:rsidRPr="00D94B87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998.786,00</w:t>
            </w:r>
          </w:p>
        </w:tc>
        <w:tc>
          <w:tcPr>
            <w:tcW w:w="2899" w:type="dxa"/>
            <w:shd w:val="clear" w:color="FFFFFF" w:fill="FFFFFF"/>
            <w:noWrap/>
            <w:vAlign w:val="center"/>
          </w:tcPr>
          <w:p w:rsidR="00791BFC" w:rsidRPr="00D94B87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998.786,00</w:t>
            </w:r>
          </w:p>
        </w:tc>
      </w:tr>
      <w:tr w:rsidR="00791BFC" w:rsidRPr="00791BFC" w:rsidTr="00D94B87">
        <w:trPr>
          <w:trHeight w:val="394"/>
          <w:jc w:val="center"/>
        </w:trPr>
        <w:tc>
          <w:tcPr>
            <w:tcW w:w="2850" w:type="dxa"/>
            <w:shd w:val="clear" w:color="auto" w:fill="C9C9C9" w:themeFill="accent3" w:themeFillTint="99"/>
            <w:noWrap/>
            <w:vAlign w:val="center"/>
            <w:hideMark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Γενικό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Άθροισμ</w:t>
            </w:r>
            <w:proofErr w:type="spellEnd"/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</w:t>
            </w:r>
          </w:p>
        </w:tc>
        <w:tc>
          <w:tcPr>
            <w:tcW w:w="1701" w:type="dxa"/>
            <w:shd w:val="clear" w:color="FFFFFF" w:fill="C6C6C6"/>
            <w:noWrap/>
            <w:vAlign w:val="center"/>
            <w:hideMark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985" w:type="dxa"/>
            <w:shd w:val="clear" w:color="FFFFFF" w:fill="C6C6C6"/>
            <w:noWrap/>
            <w:vAlign w:val="center"/>
            <w:hideMark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5.500.919,66 €</w:t>
            </w:r>
          </w:p>
        </w:tc>
        <w:tc>
          <w:tcPr>
            <w:tcW w:w="2899" w:type="dxa"/>
            <w:shd w:val="clear" w:color="FFFFFF" w:fill="C6C6C6"/>
            <w:noWrap/>
            <w:vAlign w:val="center"/>
            <w:hideMark/>
          </w:tcPr>
          <w:p w:rsidR="00791BFC" w:rsidRPr="006A50A8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6A50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5.500.919,66 €</w:t>
            </w:r>
          </w:p>
        </w:tc>
      </w:tr>
    </w:tbl>
    <w:p w:rsidR="006A50A8" w:rsidRPr="00791BFC" w:rsidRDefault="006A50A8" w:rsidP="006A50A8">
      <w:pPr>
        <w:suppressAutoHyphens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6A50A8" w:rsidRDefault="006A50A8" w:rsidP="006A50A8">
      <w:pPr>
        <w:suppressAutoHyphens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791BFC" w:rsidRPr="00D94B87" w:rsidRDefault="005313E9" w:rsidP="00D94B87">
      <w:pPr>
        <w:pStyle w:val="ListParagraph"/>
        <w:numPr>
          <w:ilvl w:val="0"/>
          <w:numId w:val="29"/>
        </w:numPr>
        <w:suppressAutoHyphens w:val="0"/>
        <w:spacing w:after="120" w:line="240" w:lineRule="auto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D94B87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Νομοθετικό πλαίσιο για τη χρηματοδότηση Κανονισμός (ΕΕ) 651/2014 (ΓΑΚ)</w:t>
      </w:r>
      <w:r w:rsidR="00791BFC" w:rsidRPr="00D94B87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/-29 προτάσεις</w:t>
      </w:r>
      <w:r w:rsidR="00791BFC"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fldChar w:fldCharType="begin"/>
      </w:r>
      <w:r w:rsidR="00791BFC" w:rsidRPr="00D94B87">
        <w:rPr>
          <w:rFonts w:asciiTheme="minorHAnsi" w:eastAsia="Calibri" w:hAnsiTheme="minorHAnsi" w:cstheme="minorHAnsi"/>
          <w:sz w:val="22"/>
          <w:szCs w:val="22"/>
          <w:lang w:val="el-GR" w:eastAsia="en-US"/>
        </w:rPr>
        <w:instrText xml:space="preserve"> LINK Excel.Sheet.12 "C:\\Users\\apergis.k\\Documents\\epanek 21014 2020\\clustering 2019 2023\\ΥΠΟΒΟΛΗ\\Copy of ΓΓ1CL_-_Υποβολές.xlsx" "Cross Table View!R2C2:R12C8" \a \f 4 \h  \* MERGEFORMAT </w:instrText>
      </w:r>
      <w:r w:rsidR="00791BFC"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fldChar w:fldCharType="separate"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880"/>
        <w:gridCol w:w="2373"/>
      </w:tblGrid>
      <w:tr w:rsidR="00791BFC" w:rsidRPr="004762EB" w:rsidTr="00D94B87">
        <w:trPr>
          <w:trHeight w:val="694"/>
        </w:trPr>
        <w:tc>
          <w:tcPr>
            <w:tcW w:w="2835" w:type="dxa"/>
            <w:shd w:val="clear" w:color="FFFFFF" w:fill="FFFFFF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l-GR" w:eastAsia="en-US"/>
              </w:rPr>
            </w:pPr>
          </w:p>
        </w:tc>
        <w:tc>
          <w:tcPr>
            <w:tcW w:w="6096" w:type="dxa"/>
            <w:gridSpan w:val="3"/>
            <w:shd w:val="clear" w:color="auto" w:fill="C9C9C9" w:themeFill="accent3" w:themeFillTint="99"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 xml:space="preserve">ΣΥΝΕΡΓΑΤΙΚΟΙ ΣΧΗΜΑΤΙΣΜΟΙ ΚΑΙΝΟΤΟΜΙΑΣ - 1η Πρόσκληση </w:t>
            </w:r>
            <w:r w:rsidR="006904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 xml:space="preserve">καθεστώς ενίσχυσης ΕΕ 651/2014 </w:t>
            </w:r>
          </w:p>
        </w:tc>
      </w:tr>
      <w:tr w:rsidR="005313E9" w:rsidRPr="00791BFC" w:rsidTr="00D94B87">
        <w:trPr>
          <w:trHeight w:val="1022"/>
        </w:trPr>
        <w:tc>
          <w:tcPr>
            <w:tcW w:w="2835" w:type="dxa"/>
            <w:shd w:val="clear" w:color="FFFFFF" w:fill="FFFFFF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 w:eastAsia="en-US"/>
              </w:rPr>
            </w:pPr>
          </w:p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 w:eastAsia="en-US"/>
              </w:rPr>
            </w:pP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US" w:eastAsia="en-US"/>
              </w:rPr>
              <w:t>Θεμ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US" w:eastAsia="en-US"/>
              </w:rPr>
              <w:t xml:space="preserve">ατικοί 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US" w:eastAsia="en-US"/>
              </w:rPr>
              <w:t>Τομείς</w:t>
            </w:r>
            <w:proofErr w:type="spellEnd"/>
          </w:p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 w:eastAsia="en-US"/>
              </w:rPr>
            </w:pPr>
          </w:p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 w:eastAsia="en-US"/>
              </w:rPr>
            </w:pPr>
          </w:p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 w:eastAsia="en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  <w:hideMark/>
          </w:tcPr>
          <w:p w:rsidR="00791BFC" w:rsidRPr="00791BFC" w:rsidRDefault="007149E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Πλήθος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Υποβεβ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λη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θεισών</w:t>
            </w:r>
            <w:proofErr w:type="spellEnd"/>
            <w:r w:rsidR="00791BFC"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91BFC"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Προτάσεων</w:t>
            </w:r>
            <w:proofErr w:type="spellEnd"/>
          </w:p>
        </w:tc>
        <w:tc>
          <w:tcPr>
            <w:tcW w:w="1880" w:type="dxa"/>
            <w:shd w:val="clear" w:color="auto" w:fill="C9C9C9" w:themeFill="accent3" w:themeFillTint="99"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Επ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ιχορηγούμενος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Προϋ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πολογισμός</w:t>
            </w:r>
          </w:p>
        </w:tc>
        <w:tc>
          <w:tcPr>
            <w:tcW w:w="2373" w:type="dxa"/>
            <w:shd w:val="clear" w:color="auto" w:fill="C9C9C9" w:themeFill="accent3" w:themeFillTint="99"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Δημόσι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 Δαπ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άνη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Αιτούμενη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Επ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ιχορήγηση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</w:tr>
      <w:tr w:rsidR="00D94B87" w:rsidRPr="00791BFC" w:rsidTr="00D94B87">
        <w:trPr>
          <w:trHeight w:val="394"/>
        </w:trPr>
        <w:tc>
          <w:tcPr>
            <w:tcW w:w="2835" w:type="dxa"/>
            <w:shd w:val="clear" w:color="auto" w:fill="C9C9C9" w:themeFill="accent3" w:themeFillTint="99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1_ ΥΚΑ: 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Υλικά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– Κατα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σκευές</w:t>
            </w:r>
            <w:proofErr w:type="spellEnd"/>
          </w:p>
        </w:tc>
        <w:tc>
          <w:tcPr>
            <w:tcW w:w="1843" w:type="dxa"/>
            <w:shd w:val="clear" w:color="FFFFFF" w:fill="FCFDFD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80" w:type="dxa"/>
            <w:shd w:val="clear" w:color="FFFFFF" w:fill="FCFDFD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914.619,00</w:t>
            </w:r>
          </w:p>
        </w:tc>
        <w:tc>
          <w:tcPr>
            <w:tcW w:w="2373" w:type="dxa"/>
            <w:shd w:val="clear" w:color="FFFFFF" w:fill="FCFDFD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466.884,50</w:t>
            </w:r>
          </w:p>
        </w:tc>
      </w:tr>
      <w:tr w:rsidR="00D94B87" w:rsidRPr="00791BFC" w:rsidTr="00D94B87">
        <w:trPr>
          <w:trHeight w:val="394"/>
        </w:trPr>
        <w:tc>
          <w:tcPr>
            <w:tcW w:w="2835" w:type="dxa"/>
            <w:shd w:val="clear" w:color="auto" w:fill="C9C9C9" w:themeFill="accent3" w:themeFillTint="99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2_ ΤΠΔ: Τουρισμός Πολιτισμός και Δημιουργικές Βιομηχανίες</w:t>
            </w:r>
          </w:p>
        </w:tc>
        <w:tc>
          <w:tcPr>
            <w:tcW w:w="1843" w:type="dxa"/>
            <w:shd w:val="clear" w:color="FFFFFF" w:fill="FCFDFD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80" w:type="dxa"/>
            <w:shd w:val="clear" w:color="FFFFFF" w:fill="FFFFFF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1.020.280,00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527.790,00</w:t>
            </w:r>
          </w:p>
        </w:tc>
      </w:tr>
      <w:tr w:rsidR="00D94B87" w:rsidRPr="00791BFC" w:rsidTr="00D94B87">
        <w:trPr>
          <w:trHeight w:val="394"/>
        </w:trPr>
        <w:tc>
          <w:tcPr>
            <w:tcW w:w="2835" w:type="dxa"/>
            <w:shd w:val="clear" w:color="auto" w:fill="C9C9C9" w:themeFill="accent3" w:themeFillTint="99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</w:t>
            </w: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_ ΠΒΑ: Περιβάλλον και Βιώσιμη Ανάπτυξη</w:t>
            </w:r>
          </w:p>
        </w:tc>
        <w:tc>
          <w:tcPr>
            <w:tcW w:w="1843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80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3.219.899,88</w:t>
            </w:r>
          </w:p>
        </w:tc>
        <w:tc>
          <w:tcPr>
            <w:tcW w:w="2373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1.713.218,34</w:t>
            </w:r>
          </w:p>
        </w:tc>
      </w:tr>
      <w:tr w:rsidR="00D94B87" w:rsidRPr="00791BFC" w:rsidTr="00D94B87">
        <w:trPr>
          <w:trHeight w:val="394"/>
        </w:trPr>
        <w:tc>
          <w:tcPr>
            <w:tcW w:w="2835" w:type="dxa"/>
            <w:shd w:val="clear" w:color="auto" w:fill="C9C9C9" w:themeFill="accent3" w:themeFillTint="99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4</w:t>
            </w: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_ ΥΦΑ: 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Υγεί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α και 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Φάρμ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ακα</w:t>
            </w:r>
          </w:p>
        </w:tc>
        <w:tc>
          <w:tcPr>
            <w:tcW w:w="1843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80" w:type="dxa"/>
            <w:shd w:val="clear" w:color="FFFFFF" w:fill="FFFFFF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1.203.540,00</w:t>
            </w:r>
          </w:p>
        </w:tc>
        <w:tc>
          <w:tcPr>
            <w:tcW w:w="2373" w:type="dxa"/>
            <w:shd w:val="clear" w:color="FFFFFF" w:fill="FFFFFF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645.270,00</w:t>
            </w:r>
          </w:p>
        </w:tc>
      </w:tr>
      <w:tr w:rsidR="00D94B87" w:rsidRPr="00791BFC" w:rsidTr="00D94B87">
        <w:trPr>
          <w:trHeight w:val="394"/>
        </w:trPr>
        <w:tc>
          <w:tcPr>
            <w:tcW w:w="2835" w:type="dxa"/>
            <w:shd w:val="clear" w:color="auto" w:fill="C9C9C9" w:themeFill="accent3" w:themeFillTint="99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5</w:t>
            </w: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_ ΜΕΑ: Μεταφορές και Εφοδιαστική Αλυσίδα</w:t>
            </w:r>
          </w:p>
        </w:tc>
        <w:tc>
          <w:tcPr>
            <w:tcW w:w="1843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0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199.160,00</w:t>
            </w:r>
          </w:p>
        </w:tc>
        <w:tc>
          <w:tcPr>
            <w:tcW w:w="2373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100.780,00</w:t>
            </w:r>
          </w:p>
        </w:tc>
      </w:tr>
      <w:tr w:rsidR="00D94B87" w:rsidRPr="00791BFC" w:rsidTr="00D94B87">
        <w:trPr>
          <w:trHeight w:val="394"/>
        </w:trPr>
        <w:tc>
          <w:tcPr>
            <w:tcW w:w="2835" w:type="dxa"/>
            <w:shd w:val="clear" w:color="auto" w:fill="C9C9C9" w:themeFill="accent3" w:themeFillTint="99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6</w:t>
            </w: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_ ΕΝΕ: 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Ενέργει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</w:t>
            </w:r>
          </w:p>
        </w:tc>
        <w:tc>
          <w:tcPr>
            <w:tcW w:w="1843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0" w:type="dxa"/>
            <w:shd w:val="clear" w:color="FFFFFF" w:fill="FFFFFF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599.697,75</w:t>
            </w:r>
          </w:p>
        </w:tc>
        <w:tc>
          <w:tcPr>
            <w:tcW w:w="2373" w:type="dxa"/>
            <w:shd w:val="clear" w:color="FFFFFF" w:fill="FFFFFF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306.142,16</w:t>
            </w:r>
          </w:p>
        </w:tc>
      </w:tr>
      <w:tr w:rsidR="00D94B87" w:rsidRPr="00791BFC" w:rsidTr="00D94B87">
        <w:trPr>
          <w:trHeight w:val="394"/>
        </w:trPr>
        <w:tc>
          <w:tcPr>
            <w:tcW w:w="2835" w:type="dxa"/>
            <w:shd w:val="clear" w:color="auto" w:fill="C9C9C9" w:themeFill="accent3" w:themeFillTint="99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7</w:t>
            </w: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_ ΤΠΕ: Τεχνολογίες Πληροφορικής και Επικοινωνιών</w:t>
            </w:r>
          </w:p>
        </w:tc>
        <w:tc>
          <w:tcPr>
            <w:tcW w:w="1843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80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3.466.990,69</w:t>
            </w:r>
          </w:p>
        </w:tc>
        <w:tc>
          <w:tcPr>
            <w:tcW w:w="2373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1.817.257,19</w:t>
            </w:r>
          </w:p>
        </w:tc>
      </w:tr>
      <w:tr w:rsidR="00791BFC" w:rsidRPr="00791BFC" w:rsidTr="00D94B87">
        <w:trPr>
          <w:trHeight w:val="394"/>
        </w:trPr>
        <w:tc>
          <w:tcPr>
            <w:tcW w:w="2835" w:type="dxa"/>
            <w:shd w:val="clear" w:color="auto" w:fill="C9C9C9" w:themeFill="accent3" w:themeFillTint="99"/>
            <w:noWrap/>
            <w:vAlign w:val="center"/>
          </w:tcPr>
          <w:p w:rsidR="00791BFC" w:rsidRPr="00D94B87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D94B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8</w:t>
            </w:r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 xml:space="preserve">_ ΑΓΡ: 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Αγροδιατροφή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 xml:space="preserve"> και Βιομηχανία τροφίμων</w:t>
            </w:r>
          </w:p>
        </w:tc>
        <w:tc>
          <w:tcPr>
            <w:tcW w:w="1843" w:type="dxa"/>
            <w:shd w:val="clear" w:color="FFFFFF" w:fill="FCFDFD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80" w:type="dxa"/>
            <w:shd w:val="clear" w:color="FFFFFF" w:fill="FFFFFF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975.950,00</w:t>
            </w:r>
          </w:p>
        </w:tc>
        <w:tc>
          <w:tcPr>
            <w:tcW w:w="2373" w:type="dxa"/>
            <w:shd w:val="clear" w:color="FFFFFF" w:fill="FFFFFF"/>
            <w:noWrap/>
            <w:vAlign w:val="center"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US"/>
              </w:rPr>
              <w:t>513.997,50</w:t>
            </w:r>
          </w:p>
        </w:tc>
      </w:tr>
      <w:tr w:rsidR="00D94B87" w:rsidRPr="00791BFC" w:rsidTr="00D94B87">
        <w:trPr>
          <w:trHeight w:val="394"/>
        </w:trPr>
        <w:tc>
          <w:tcPr>
            <w:tcW w:w="2835" w:type="dxa"/>
            <w:shd w:val="clear" w:color="auto" w:fill="C9C9C9" w:themeFill="accent3" w:themeFillTint="99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Γενικό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Άθροισμ</w:t>
            </w:r>
            <w:proofErr w:type="spellEnd"/>
            <w:r w:rsidRPr="00791B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</w:t>
            </w:r>
          </w:p>
        </w:tc>
        <w:tc>
          <w:tcPr>
            <w:tcW w:w="1843" w:type="dxa"/>
            <w:shd w:val="clear" w:color="FFFFFF" w:fill="C6C6C6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880" w:type="dxa"/>
            <w:shd w:val="clear" w:color="FFFFFF" w:fill="C6C6C6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US" w:eastAsia="en-US"/>
              </w:rPr>
              <w:t>11.600.137,31 €</w:t>
            </w:r>
          </w:p>
        </w:tc>
        <w:tc>
          <w:tcPr>
            <w:tcW w:w="2373" w:type="dxa"/>
            <w:shd w:val="clear" w:color="FFFFFF" w:fill="C6C6C6"/>
            <w:noWrap/>
            <w:vAlign w:val="center"/>
            <w:hideMark/>
          </w:tcPr>
          <w:p w:rsidR="00791BFC" w:rsidRPr="00791BFC" w:rsidRDefault="00791BFC" w:rsidP="00D94B8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791BFC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US" w:eastAsia="en-US"/>
              </w:rPr>
              <w:t>6.091.339,69 €</w:t>
            </w:r>
          </w:p>
        </w:tc>
      </w:tr>
    </w:tbl>
    <w:p w:rsidR="006A50A8" w:rsidRPr="00791BFC" w:rsidRDefault="00791BFC" w:rsidP="00791BFC">
      <w:pPr>
        <w:suppressAutoHyphens w:val="0"/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fldChar w:fldCharType="end"/>
      </w:r>
    </w:p>
    <w:p w:rsidR="00791BFC" w:rsidRDefault="00791BFC" w:rsidP="006A50A8">
      <w:pPr>
        <w:suppressAutoHyphens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Η διαδικασία αξιολόγησης θα ξεκινή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σει στο αμέσως επόμενο διάστημα.</w:t>
      </w:r>
      <w:r w:rsidR="00D94B87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290C9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Μετά τη</w:t>
      </w:r>
      <w:r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δημοσίευση των αποτελεσμάτων </w:t>
      </w:r>
      <w:r w:rsidR="00290C9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της </w:t>
      </w:r>
      <w:r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αξιολόγησης των προτάσεων που υποβλήθηκαν στο πλαίσιο της 1ης πρόσκλησης της Δράσης και την επιλογή τω</w:t>
      </w:r>
      <w:r w:rsidR="00290C9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ν Φορέων Αρωγών/ΦΑ, θα δημοσιευθεί</w:t>
      </w:r>
      <w:r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η 2η Πρόσκληση της Δράσης, προς τις Επι</w:t>
      </w:r>
      <w:r w:rsidR="008A48CD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χειρήσεις</w:t>
      </w:r>
      <w:r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που ενδιαφέρονται να συμμετάσχουν στους ΣΣΚ</w:t>
      </w:r>
      <w:r w:rsidR="00290C9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των προκριθέντων ΦΑ </w:t>
      </w:r>
      <w:r w:rsidRPr="00791BFC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της 1ης Πρόσκλησης.</w:t>
      </w:r>
    </w:p>
    <w:p w:rsidR="006A50A8" w:rsidRPr="006A50A8" w:rsidRDefault="006A50A8" w:rsidP="006A50A8">
      <w:pPr>
        <w:suppressAutoHyphens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Η δράση κρατικών ενισχύσεων </w:t>
      </w:r>
      <w:r w:rsidR="00EC4F10" w:rsidRPr="00EC4F1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«ΣΥΝΕΡΓΑΤΙΚΟΙ ΣΧΗΜΑΤΙΣΜΟΙ ΚΑΙΝΟΤΟΜΙΑΣ/ ΣΣΚ» - 1</w:t>
      </w:r>
      <w:r w:rsidR="00EC4F10" w:rsidRPr="00EC4F10">
        <w:rPr>
          <w:rFonts w:asciiTheme="minorHAnsi" w:eastAsia="Calibri" w:hAnsiTheme="minorHAnsi" w:cstheme="minorHAnsi"/>
          <w:sz w:val="22"/>
          <w:szCs w:val="22"/>
          <w:vertAlign w:val="superscript"/>
          <w:lang w:val="el-GR" w:eastAsia="en-US"/>
        </w:rPr>
        <w:t>η</w:t>
      </w:r>
      <w:r w:rsidR="00EC4F1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και 2</w:t>
      </w:r>
      <w:r w:rsidR="00EC4F10" w:rsidRPr="00EC4F10">
        <w:rPr>
          <w:rFonts w:asciiTheme="minorHAnsi" w:eastAsia="Calibri" w:hAnsiTheme="minorHAnsi" w:cstheme="minorHAnsi"/>
          <w:sz w:val="22"/>
          <w:szCs w:val="22"/>
          <w:vertAlign w:val="superscript"/>
          <w:lang w:val="el-GR" w:eastAsia="en-US"/>
        </w:rPr>
        <w:t>η</w:t>
      </w:r>
      <w:r w:rsidR="00EC4F1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EC4F10" w:rsidRPr="00EC4F1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Πρόσκληση</w:t>
      </w:r>
      <w:r w:rsidR="00D94B87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="00EC4F1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D94B87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αναμένεται να </w:t>
      </w:r>
      <w:r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υπερβεί τα </w:t>
      </w:r>
      <w:r w:rsidR="00EC4F1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2</w:t>
      </w:r>
      <w:r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4 εκατ.</w:t>
      </w:r>
      <w:r w:rsidR="00D94B87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€ δημόσιας δαπάνης και μ</w:t>
      </w:r>
      <w:r w:rsidR="00290C9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αζί με την ιδιωτική δαπάνη, να ανέλθει περίπου σε </w:t>
      </w:r>
      <w:r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</w:t>
      </w:r>
      <w:r w:rsidR="00EC4F1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31</w:t>
      </w:r>
      <w:r w:rsidRPr="006A50A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εκατ. €. </w:t>
      </w:r>
    </w:p>
    <w:p w:rsidR="005313E9" w:rsidRPr="005313E9" w:rsidRDefault="00286939" w:rsidP="005313E9">
      <w:pPr>
        <w:suppressAutoHyphens w:val="0"/>
        <w:spacing w:line="240" w:lineRule="auto"/>
        <w:rPr>
          <w:rFonts w:asciiTheme="minorHAnsi" w:hAnsiTheme="minorHAnsi" w:cstheme="minorHAnsi"/>
          <w:bCs/>
          <w:sz w:val="22"/>
          <w:szCs w:val="22"/>
          <w:lang w:val="el-GR"/>
        </w:rPr>
      </w:pPr>
      <w:r>
        <w:rPr>
          <w:rFonts w:eastAsia="Calibri" w:cs="Calibri"/>
          <w:sz w:val="22"/>
          <w:szCs w:val="22"/>
          <w:lang w:val="el-GR" w:eastAsia="en-US"/>
        </w:rPr>
        <w:t>Η Δράση σ</w:t>
      </w:r>
      <w:r w:rsidR="00EC4F10" w:rsidRPr="005313E9">
        <w:rPr>
          <w:rFonts w:eastAsia="Calibri" w:cs="Calibri"/>
          <w:sz w:val="22"/>
          <w:szCs w:val="22"/>
          <w:lang w:val="el-GR" w:eastAsia="en-US"/>
        </w:rPr>
        <w:t xml:space="preserve">τοχεύει στην </w:t>
      </w:r>
      <w:r w:rsidR="00EC4F10" w:rsidRPr="00EC4F10">
        <w:rPr>
          <w:rFonts w:eastAsia="Calibri" w:cs="Calibri"/>
          <w:sz w:val="22"/>
          <w:szCs w:val="22"/>
          <w:lang w:val="el-GR" w:eastAsia="en-US"/>
        </w:rPr>
        <w:t>ενίσχυση ολοκληρωμένων δομών αναδυόμενων ή/και υφιστά</w:t>
      </w:r>
      <w:r w:rsidR="00EC4F10" w:rsidRPr="005313E9">
        <w:rPr>
          <w:rFonts w:eastAsia="Calibri" w:cs="Calibri"/>
          <w:sz w:val="22"/>
          <w:szCs w:val="22"/>
          <w:lang w:val="el-GR" w:eastAsia="en-US"/>
        </w:rPr>
        <w:t>μενω</w:t>
      </w:r>
      <w:r w:rsidR="008A48CD">
        <w:rPr>
          <w:rFonts w:eastAsia="Calibri" w:cs="Calibri"/>
          <w:sz w:val="22"/>
          <w:szCs w:val="22"/>
          <w:lang w:val="el-GR" w:eastAsia="en-US"/>
        </w:rPr>
        <w:t>ν συνεργατικών σχηματισμών/ΣΣΚ</w:t>
      </w:r>
      <w:r w:rsidR="00EC4F10" w:rsidRPr="005313E9">
        <w:rPr>
          <w:rFonts w:eastAsia="Calibri" w:cs="Calibri"/>
          <w:sz w:val="22"/>
          <w:szCs w:val="22"/>
          <w:lang w:val="el-GR" w:eastAsia="en-US"/>
        </w:rPr>
        <w:t xml:space="preserve"> </w:t>
      </w:r>
      <w:r w:rsidR="00EC4F10" w:rsidRPr="00EC4F10">
        <w:rPr>
          <w:rFonts w:eastAsia="Calibri" w:cs="Calibri"/>
          <w:sz w:val="22"/>
          <w:szCs w:val="22"/>
          <w:lang w:val="el-GR" w:eastAsia="en-US"/>
        </w:rPr>
        <w:t xml:space="preserve">για </w:t>
      </w:r>
      <w:r w:rsidR="00EC4F10" w:rsidRPr="005313E9">
        <w:rPr>
          <w:rFonts w:eastAsia="Calibri" w:cs="Calibri"/>
          <w:sz w:val="22"/>
          <w:szCs w:val="22"/>
          <w:lang w:val="el-GR" w:eastAsia="en-US"/>
        </w:rPr>
        <w:t xml:space="preserve">την </w:t>
      </w:r>
      <w:r w:rsidR="00EC4F10" w:rsidRPr="005313E9">
        <w:rPr>
          <w:rFonts w:asciiTheme="minorHAnsi" w:hAnsiTheme="minorHAnsi" w:cstheme="minorHAnsi"/>
          <w:bCs/>
          <w:sz w:val="22"/>
          <w:szCs w:val="22"/>
          <w:lang w:val="el-GR"/>
        </w:rPr>
        <w:t>ανάπτυξη σημαντικής δυναμικής στην παραγωγή νέων καινοτόμων προϊόντων ή/και υπηρεσιών, την</w:t>
      </w:r>
      <w:r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υλοποίηση στρατηγικών διείσδυση</w:t>
      </w:r>
      <w:r w:rsidR="00EC4F10" w:rsidRPr="005313E9">
        <w:rPr>
          <w:rFonts w:asciiTheme="minorHAnsi" w:hAnsiTheme="minorHAnsi" w:cstheme="minorHAnsi"/>
          <w:bCs/>
          <w:sz w:val="22"/>
          <w:szCs w:val="22"/>
          <w:lang w:val="el-GR"/>
        </w:rPr>
        <w:t>ς σε αγορές</w:t>
      </w:r>
      <w:r>
        <w:rPr>
          <w:rFonts w:asciiTheme="minorHAnsi" w:hAnsiTheme="minorHAnsi" w:cstheme="minorHAnsi"/>
          <w:bCs/>
          <w:sz w:val="22"/>
          <w:szCs w:val="22"/>
          <w:lang w:val="el-GR"/>
        </w:rPr>
        <w:t>-</w:t>
      </w:r>
      <w:r w:rsidR="00EC4F10" w:rsidRPr="005313E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στόχους, την αύξηση των θέσεων εργασίας, την προσέλκυση επενδύσεων, καθώς και τη δημιουργία νέας γνώσης και τεχνογνωσίας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l-GR"/>
        </w:rPr>
        <w:t>υποστηριζομένων</w:t>
      </w:r>
      <w:proofErr w:type="spellEnd"/>
      <w:r w:rsidR="005313E9" w:rsidRPr="005313E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από Έρευνα και Τεχνολογική Α</w:t>
      </w:r>
      <w:r>
        <w:rPr>
          <w:rFonts w:asciiTheme="minorHAnsi" w:hAnsiTheme="minorHAnsi" w:cstheme="minorHAnsi"/>
          <w:bCs/>
          <w:sz w:val="22"/>
          <w:szCs w:val="22"/>
          <w:lang w:val="el-GR"/>
        </w:rPr>
        <w:t>νάπτυξη στους θεματικούς τομείς</w:t>
      </w:r>
      <w:r w:rsidR="005313E9" w:rsidRPr="005313E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της Στρατηγικής Έξυπνης Εξειδίκευσης σε Εθνικό επίπεδο (</w:t>
      </w:r>
      <w:proofErr w:type="spellStart"/>
      <w:r w:rsidR="005313E9" w:rsidRPr="005313E9">
        <w:rPr>
          <w:rFonts w:asciiTheme="minorHAnsi" w:hAnsiTheme="minorHAnsi" w:cstheme="minorHAnsi"/>
          <w:bCs/>
          <w:sz w:val="22"/>
          <w:szCs w:val="22"/>
          <w:lang w:val="el-GR"/>
        </w:rPr>
        <w:t>national</w:t>
      </w:r>
      <w:proofErr w:type="spellEnd"/>
      <w:r w:rsidR="005313E9" w:rsidRPr="005313E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RIS3). </w:t>
      </w:r>
    </w:p>
    <w:p w:rsidR="005313E9" w:rsidRDefault="005313E9" w:rsidP="005313E9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D94B87" w:rsidRDefault="00D94B87" w:rsidP="005313E9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4762EB" w:rsidRDefault="004762EB" w:rsidP="005313E9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6A50A8" w:rsidRPr="006A50A8" w:rsidRDefault="006A50A8" w:rsidP="00D94B87">
      <w:pPr>
        <w:suppressAutoHyphens w:val="0"/>
        <w:spacing w:line="240" w:lineRule="auto"/>
        <w:jc w:val="center"/>
        <w:rPr>
          <w:rFonts w:eastAsia="Calibri"/>
          <w:sz w:val="22"/>
          <w:szCs w:val="22"/>
          <w:lang w:val="el-GR" w:eastAsia="en-US"/>
        </w:rPr>
      </w:pPr>
      <w:r w:rsidRPr="006A50A8">
        <w:rPr>
          <w:rFonts w:cs="Arial"/>
          <w:i/>
          <w:sz w:val="16"/>
          <w:szCs w:val="16"/>
          <w:lang w:val="el-GR" w:eastAsia="el-GR"/>
        </w:rPr>
        <w:t xml:space="preserve">Γενική Γραμματεία Έρευνας και Τεχνολογίας </w:t>
      </w:r>
      <w:r w:rsidRPr="006A50A8">
        <w:rPr>
          <w:rFonts w:cs="Arial"/>
          <w:b/>
          <w:i/>
          <w:sz w:val="16"/>
          <w:szCs w:val="16"/>
          <w:lang w:val="el-GR" w:eastAsia="el-GR"/>
        </w:rPr>
        <w:t>ΓΓΕΤ</w:t>
      </w:r>
      <w:r w:rsidRPr="006A50A8">
        <w:rPr>
          <w:rFonts w:cs="Arial"/>
          <w:i/>
          <w:sz w:val="16"/>
          <w:szCs w:val="16"/>
          <w:lang w:val="el-GR" w:eastAsia="el-GR"/>
        </w:rPr>
        <w:t xml:space="preserve"> </w:t>
      </w:r>
      <w:r w:rsidRPr="006A50A8">
        <w:rPr>
          <w:rFonts w:cs="Arial"/>
          <w:sz w:val="16"/>
          <w:szCs w:val="16"/>
          <w:lang w:val="el-GR" w:eastAsia="el-GR"/>
        </w:rPr>
        <w:t xml:space="preserve">// </w:t>
      </w:r>
      <w:r w:rsidRPr="006A50A8">
        <w:rPr>
          <w:rFonts w:cs="Arial"/>
          <w:i/>
          <w:sz w:val="16"/>
          <w:szCs w:val="16"/>
          <w:lang w:val="el-GR" w:eastAsia="el-GR"/>
        </w:rPr>
        <w:t xml:space="preserve"> </w:t>
      </w:r>
      <w:r w:rsidRPr="006A50A8">
        <w:rPr>
          <w:rFonts w:cs="Arial"/>
          <w:i/>
          <w:sz w:val="16"/>
          <w:szCs w:val="16"/>
          <w:lang w:val="en-US" w:eastAsia="el-GR"/>
        </w:rPr>
        <w:t>Email</w:t>
      </w:r>
      <w:r w:rsidRPr="006A50A8">
        <w:rPr>
          <w:rFonts w:cs="Arial"/>
          <w:i/>
          <w:sz w:val="16"/>
          <w:szCs w:val="16"/>
          <w:lang w:val="el-GR" w:eastAsia="el-GR"/>
        </w:rPr>
        <w:t xml:space="preserve">: </w:t>
      </w:r>
      <w:hyperlink r:id="rId14" w:history="1">
        <w:r w:rsidRPr="006A50A8">
          <w:rPr>
            <w:rFonts w:cs="Arial"/>
            <w:i/>
            <w:color w:val="0000FF"/>
            <w:sz w:val="16"/>
            <w:szCs w:val="16"/>
            <w:u w:val="single"/>
            <w:lang w:val="en-US" w:eastAsia="el-GR"/>
          </w:rPr>
          <w:t>gsrt</w:t>
        </w:r>
        <w:r w:rsidRPr="006A50A8">
          <w:rPr>
            <w:rFonts w:cs="Arial"/>
            <w:i/>
            <w:color w:val="0000FF"/>
            <w:sz w:val="16"/>
            <w:szCs w:val="16"/>
            <w:u w:val="single"/>
            <w:lang w:val="el-GR" w:eastAsia="el-GR"/>
          </w:rPr>
          <w:t>@</w:t>
        </w:r>
        <w:r w:rsidRPr="006A50A8">
          <w:rPr>
            <w:rFonts w:cs="Arial"/>
            <w:i/>
            <w:color w:val="0000FF"/>
            <w:sz w:val="16"/>
            <w:szCs w:val="16"/>
            <w:u w:val="single"/>
            <w:lang w:val="en-US" w:eastAsia="el-GR"/>
          </w:rPr>
          <w:t>gsrt</w:t>
        </w:r>
        <w:r w:rsidRPr="006A50A8">
          <w:rPr>
            <w:rFonts w:cs="Arial"/>
            <w:i/>
            <w:color w:val="0000FF"/>
            <w:sz w:val="16"/>
            <w:szCs w:val="16"/>
            <w:u w:val="single"/>
            <w:lang w:val="el-GR" w:eastAsia="el-GR"/>
          </w:rPr>
          <w:t>.</w:t>
        </w:r>
        <w:r w:rsidRPr="006A50A8">
          <w:rPr>
            <w:rFonts w:cs="Arial"/>
            <w:i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6A50A8">
        <w:rPr>
          <w:rFonts w:cs="Arial"/>
          <w:i/>
          <w:sz w:val="16"/>
          <w:szCs w:val="16"/>
          <w:lang w:val="el-GR" w:eastAsia="el-GR"/>
        </w:rPr>
        <w:t xml:space="preserve"> </w:t>
      </w:r>
      <w:r w:rsidRPr="006A50A8">
        <w:rPr>
          <w:sz w:val="16"/>
          <w:szCs w:val="16"/>
          <w:lang w:val="el-GR" w:eastAsia="el-GR"/>
        </w:rPr>
        <w:t xml:space="preserve"> // </w:t>
      </w:r>
      <w:hyperlink r:id="rId15" w:history="1">
        <w:r w:rsidRPr="006A50A8">
          <w:rPr>
            <w:i/>
            <w:color w:val="0000FF"/>
            <w:sz w:val="16"/>
            <w:szCs w:val="16"/>
            <w:u w:val="single"/>
            <w:lang w:val="en-US" w:eastAsia="el-GR"/>
          </w:rPr>
          <w:t>http</w:t>
        </w:r>
        <w:r w:rsidRPr="006A50A8">
          <w:rPr>
            <w:i/>
            <w:color w:val="0000FF"/>
            <w:sz w:val="16"/>
            <w:szCs w:val="16"/>
            <w:u w:val="single"/>
            <w:lang w:val="el-GR" w:eastAsia="el-GR"/>
          </w:rPr>
          <w:t>://</w:t>
        </w:r>
        <w:r w:rsidRPr="006A50A8">
          <w:rPr>
            <w:i/>
            <w:color w:val="0000FF"/>
            <w:sz w:val="16"/>
            <w:szCs w:val="16"/>
            <w:u w:val="single"/>
            <w:lang w:val="en-US" w:eastAsia="el-GR"/>
          </w:rPr>
          <w:t>www</w:t>
        </w:r>
        <w:r w:rsidRPr="006A50A8">
          <w:rPr>
            <w:i/>
            <w:color w:val="0000FF"/>
            <w:sz w:val="16"/>
            <w:szCs w:val="16"/>
            <w:u w:val="single"/>
            <w:lang w:val="el-GR" w:eastAsia="el-GR"/>
          </w:rPr>
          <w:t>.</w:t>
        </w:r>
        <w:proofErr w:type="spellStart"/>
        <w:r w:rsidRPr="006A50A8">
          <w:rPr>
            <w:i/>
            <w:color w:val="0000FF"/>
            <w:sz w:val="16"/>
            <w:szCs w:val="16"/>
            <w:u w:val="single"/>
            <w:lang w:val="en-US" w:eastAsia="el-GR"/>
          </w:rPr>
          <w:t>gsrt</w:t>
        </w:r>
        <w:proofErr w:type="spellEnd"/>
        <w:r w:rsidRPr="006A50A8">
          <w:rPr>
            <w:i/>
            <w:color w:val="0000FF"/>
            <w:sz w:val="16"/>
            <w:szCs w:val="16"/>
            <w:u w:val="single"/>
            <w:lang w:val="el-GR" w:eastAsia="el-GR"/>
          </w:rPr>
          <w:t>.</w:t>
        </w:r>
        <w:r w:rsidRPr="006A50A8">
          <w:rPr>
            <w:i/>
            <w:color w:val="0000FF"/>
            <w:sz w:val="16"/>
            <w:szCs w:val="16"/>
            <w:u w:val="single"/>
            <w:lang w:val="en-US" w:eastAsia="el-GR"/>
          </w:rPr>
          <w:t>gr</w:t>
        </w:r>
      </w:hyperlink>
    </w:p>
    <w:p w:rsidR="006A50A8" w:rsidRDefault="006A50A8" w:rsidP="006A50A8">
      <w:pPr>
        <w:suppressAutoHyphens w:val="0"/>
        <w:spacing w:after="120" w:line="240" w:lineRule="auto"/>
        <w:jc w:val="left"/>
        <w:rPr>
          <w:rFonts w:eastAsia="Calibri"/>
          <w:szCs w:val="20"/>
          <w:lang w:val="el-GR" w:eastAsia="en-US"/>
        </w:rPr>
      </w:pPr>
    </w:p>
    <w:p w:rsidR="005313E9" w:rsidRDefault="005313E9" w:rsidP="006A50A8">
      <w:pPr>
        <w:suppressAutoHyphens w:val="0"/>
        <w:spacing w:after="120" w:line="240" w:lineRule="auto"/>
        <w:jc w:val="left"/>
        <w:rPr>
          <w:rFonts w:eastAsia="Calibri"/>
          <w:szCs w:val="20"/>
          <w:lang w:val="el-GR" w:eastAsia="en-US"/>
        </w:rPr>
      </w:pPr>
    </w:p>
    <w:p w:rsidR="005313E9" w:rsidRPr="006A50A8" w:rsidRDefault="005313E9" w:rsidP="006A50A8">
      <w:pPr>
        <w:suppressAutoHyphens w:val="0"/>
        <w:spacing w:after="120" w:line="240" w:lineRule="auto"/>
        <w:jc w:val="left"/>
        <w:rPr>
          <w:rFonts w:eastAsia="Calibri"/>
          <w:szCs w:val="20"/>
          <w:lang w:val="el-GR" w:eastAsia="en-US"/>
        </w:rPr>
      </w:pPr>
    </w:p>
    <w:sectPr w:rsidR="005313E9" w:rsidRPr="006A50A8" w:rsidSect="005656B7">
      <w:footerReference w:type="default" r:id="rId16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A118A0" w15:done="0"/>
  <w15:commentEx w15:paraId="77F45C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C9" w:rsidRDefault="00F730C9" w:rsidP="00B23883">
      <w:pPr>
        <w:spacing w:line="240" w:lineRule="auto"/>
      </w:pPr>
      <w:r>
        <w:separator/>
      </w:r>
    </w:p>
  </w:endnote>
  <w:endnote w:type="continuationSeparator" w:id="0">
    <w:p w:rsidR="00F730C9" w:rsidRDefault="00F730C9" w:rsidP="00B23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0546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D51F8" w:rsidRDefault="00DD51F8" w:rsidP="00D65448">
            <w:pPr>
              <w:pStyle w:val="Footer"/>
              <w:ind w:left="3767" w:firstLine="4153"/>
            </w:pPr>
            <w:r w:rsidRPr="00D65448">
              <w:rPr>
                <w:sz w:val="18"/>
                <w:szCs w:val="18"/>
                <w:lang w:val="el-GR"/>
              </w:rPr>
              <w:t>σελ</w:t>
            </w:r>
            <w:r w:rsidRPr="00D65448">
              <w:rPr>
                <w:sz w:val="18"/>
                <w:szCs w:val="18"/>
              </w:rPr>
              <w:t xml:space="preserve"> </w:t>
            </w:r>
            <w:r w:rsidRPr="00D65448">
              <w:rPr>
                <w:b/>
                <w:bCs/>
                <w:sz w:val="18"/>
                <w:szCs w:val="18"/>
              </w:rPr>
              <w:fldChar w:fldCharType="begin"/>
            </w:r>
            <w:r w:rsidRPr="00D6544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65448">
              <w:rPr>
                <w:b/>
                <w:bCs/>
                <w:sz w:val="18"/>
                <w:szCs w:val="18"/>
              </w:rPr>
              <w:fldChar w:fldCharType="separate"/>
            </w:r>
            <w:r w:rsidR="004762EB">
              <w:rPr>
                <w:b/>
                <w:bCs/>
                <w:noProof/>
                <w:sz w:val="18"/>
                <w:szCs w:val="18"/>
              </w:rPr>
              <w:t>1</w:t>
            </w:r>
            <w:r w:rsidRPr="00D65448">
              <w:rPr>
                <w:b/>
                <w:bCs/>
                <w:sz w:val="18"/>
                <w:szCs w:val="18"/>
              </w:rPr>
              <w:fldChar w:fldCharType="end"/>
            </w:r>
            <w:r w:rsidRPr="00D65448">
              <w:rPr>
                <w:sz w:val="18"/>
                <w:szCs w:val="18"/>
              </w:rPr>
              <w:t xml:space="preserve"> </w:t>
            </w:r>
            <w:r w:rsidRPr="00D65448">
              <w:rPr>
                <w:sz w:val="18"/>
                <w:szCs w:val="18"/>
                <w:lang w:val="el-GR"/>
              </w:rPr>
              <w:t>από</w:t>
            </w:r>
            <w:r w:rsidRPr="00D65448">
              <w:rPr>
                <w:sz w:val="18"/>
                <w:szCs w:val="18"/>
              </w:rPr>
              <w:t xml:space="preserve"> </w:t>
            </w:r>
            <w:r w:rsidRPr="00D65448">
              <w:rPr>
                <w:b/>
                <w:bCs/>
                <w:sz w:val="18"/>
                <w:szCs w:val="18"/>
              </w:rPr>
              <w:fldChar w:fldCharType="begin"/>
            </w:r>
            <w:r w:rsidRPr="00D6544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65448">
              <w:rPr>
                <w:b/>
                <w:bCs/>
                <w:sz w:val="18"/>
                <w:szCs w:val="18"/>
              </w:rPr>
              <w:fldChar w:fldCharType="separate"/>
            </w:r>
            <w:r w:rsidR="004762EB">
              <w:rPr>
                <w:b/>
                <w:bCs/>
                <w:noProof/>
                <w:sz w:val="18"/>
                <w:szCs w:val="18"/>
              </w:rPr>
              <w:t>2</w:t>
            </w:r>
            <w:r w:rsidRPr="00D654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D51F8" w:rsidRDefault="00DD5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C9" w:rsidRDefault="00F730C9" w:rsidP="00B23883">
      <w:pPr>
        <w:spacing w:line="240" w:lineRule="auto"/>
      </w:pPr>
      <w:r>
        <w:separator/>
      </w:r>
    </w:p>
  </w:footnote>
  <w:footnote w:type="continuationSeparator" w:id="0">
    <w:p w:rsidR="00F730C9" w:rsidRDefault="00F730C9" w:rsidP="00B238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4"/>
    <w:multiLevelType w:val="hybridMultilevel"/>
    <w:tmpl w:val="3D4A89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8BD"/>
    <w:multiLevelType w:val="hybridMultilevel"/>
    <w:tmpl w:val="C29A0C4C"/>
    <w:lvl w:ilvl="0" w:tplc="4678F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307C"/>
    <w:multiLevelType w:val="hybridMultilevel"/>
    <w:tmpl w:val="61B4B4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82C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30BFD"/>
    <w:multiLevelType w:val="hybridMultilevel"/>
    <w:tmpl w:val="B32AF700"/>
    <w:lvl w:ilvl="0" w:tplc="4718E71E">
      <w:numFmt w:val="bullet"/>
      <w:lvlText w:val="•"/>
      <w:lvlJc w:val="left"/>
      <w:pPr>
        <w:ind w:left="2295" w:hanging="360"/>
      </w:pPr>
      <w:rPr>
        <w:rFonts w:ascii="Tahoma" w:eastAsia="Tahoma" w:hAnsi="Tahoma" w:cs="Tahoma" w:hint="default"/>
        <w:color w:val="auto"/>
        <w:w w:val="99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186344CF"/>
    <w:multiLevelType w:val="hybridMultilevel"/>
    <w:tmpl w:val="1C6E2F6E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BB8220D"/>
    <w:multiLevelType w:val="hybridMultilevel"/>
    <w:tmpl w:val="1318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0FEC"/>
    <w:multiLevelType w:val="hybridMultilevel"/>
    <w:tmpl w:val="EFEA6F82"/>
    <w:lvl w:ilvl="0" w:tplc="C80AD0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49A"/>
    <w:multiLevelType w:val="hybridMultilevel"/>
    <w:tmpl w:val="B114BA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8404C"/>
    <w:multiLevelType w:val="hybridMultilevel"/>
    <w:tmpl w:val="C8B68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B58A1"/>
    <w:multiLevelType w:val="hybridMultilevel"/>
    <w:tmpl w:val="9C9C9E2A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C4D32B9"/>
    <w:multiLevelType w:val="hybridMultilevel"/>
    <w:tmpl w:val="B71ACF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BEF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80914"/>
    <w:multiLevelType w:val="hybridMultilevel"/>
    <w:tmpl w:val="148C82C2"/>
    <w:lvl w:ilvl="0" w:tplc="DE12D748">
      <w:start w:val="1"/>
      <w:numFmt w:val="upperRoman"/>
      <w:pStyle w:val="1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365F8"/>
    <w:multiLevelType w:val="hybridMultilevel"/>
    <w:tmpl w:val="CBA4DF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B82C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A71A3"/>
    <w:multiLevelType w:val="hybridMultilevel"/>
    <w:tmpl w:val="9F2010BE"/>
    <w:lvl w:ilvl="0" w:tplc="04080001">
      <w:start w:val="1"/>
      <w:numFmt w:val="bullet"/>
      <w:lvlText w:val=""/>
      <w:lvlJc w:val="left"/>
      <w:pPr>
        <w:ind w:left="-584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36" w:hanging="360"/>
      </w:pPr>
    </w:lvl>
    <w:lvl w:ilvl="2" w:tplc="0408001B">
      <w:start w:val="1"/>
      <w:numFmt w:val="lowerRoman"/>
      <w:lvlText w:val="%3."/>
      <w:lvlJc w:val="right"/>
      <w:pPr>
        <w:ind w:left="856" w:hanging="180"/>
      </w:pPr>
    </w:lvl>
    <w:lvl w:ilvl="3" w:tplc="0408000F" w:tentative="1">
      <w:start w:val="1"/>
      <w:numFmt w:val="decimal"/>
      <w:lvlText w:val="%4."/>
      <w:lvlJc w:val="left"/>
      <w:pPr>
        <w:ind w:left="1576" w:hanging="360"/>
      </w:pPr>
    </w:lvl>
    <w:lvl w:ilvl="4" w:tplc="04080019" w:tentative="1">
      <w:start w:val="1"/>
      <w:numFmt w:val="lowerLetter"/>
      <w:lvlText w:val="%5."/>
      <w:lvlJc w:val="left"/>
      <w:pPr>
        <w:ind w:left="2296" w:hanging="360"/>
      </w:pPr>
    </w:lvl>
    <w:lvl w:ilvl="5" w:tplc="0408001B" w:tentative="1">
      <w:start w:val="1"/>
      <w:numFmt w:val="lowerRoman"/>
      <w:lvlText w:val="%6."/>
      <w:lvlJc w:val="right"/>
      <w:pPr>
        <w:ind w:left="3016" w:hanging="180"/>
      </w:pPr>
    </w:lvl>
    <w:lvl w:ilvl="6" w:tplc="0408000F" w:tentative="1">
      <w:start w:val="1"/>
      <w:numFmt w:val="decimal"/>
      <w:lvlText w:val="%7."/>
      <w:lvlJc w:val="left"/>
      <w:pPr>
        <w:ind w:left="3736" w:hanging="360"/>
      </w:pPr>
    </w:lvl>
    <w:lvl w:ilvl="7" w:tplc="04080019" w:tentative="1">
      <w:start w:val="1"/>
      <w:numFmt w:val="lowerLetter"/>
      <w:lvlText w:val="%8."/>
      <w:lvlJc w:val="left"/>
      <w:pPr>
        <w:ind w:left="4456" w:hanging="360"/>
      </w:pPr>
    </w:lvl>
    <w:lvl w:ilvl="8" w:tplc="0408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14">
    <w:nsid w:val="40C470A6"/>
    <w:multiLevelType w:val="hybridMultilevel"/>
    <w:tmpl w:val="23FCC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0475D"/>
    <w:multiLevelType w:val="hybridMultilevel"/>
    <w:tmpl w:val="BDE4633E"/>
    <w:lvl w:ilvl="0" w:tplc="851C2C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436F6"/>
    <w:multiLevelType w:val="hybridMultilevel"/>
    <w:tmpl w:val="97D06C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12969"/>
    <w:multiLevelType w:val="hybridMultilevel"/>
    <w:tmpl w:val="96ACDCC0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21C8A"/>
    <w:multiLevelType w:val="hybridMultilevel"/>
    <w:tmpl w:val="35926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01220"/>
    <w:multiLevelType w:val="hybridMultilevel"/>
    <w:tmpl w:val="93F4622C"/>
    <w:lvl w:ilvl="0" w:tplc="0B74A446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D28F2"/>
    <w:multiLevelType w:val="hybridMultilevel"/>
    <w:tmpl w:val="2D1CFF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11036"/>
    <w:multiLevelType w:val="hybridMultilevel"/>
    <w:tmpl w:val="BDE4633E"/>
    <w:lvl w:ilvl="0" w:tplc="851C2C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A54AE"/>
    <w:multiLevelType w:val="hybridMultilevel"/>
    <w:tmpl w:val="A44C78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41E0C"/>
    <w:multiLevelType w:val="hybridMultilevel"/>
    <w:tmpl w:val="D2745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D16E3"/>
    <w:multiLevelType w:val="hybridMultilevel"/>
    <w:tmpl w:val="4D38BF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2070F1"/>
    <w:multiLevelType w:val="hybridMultilevel"/>
    <w:tmpl w:val="435A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113F8"/>
    <w:multiLevelType w:val="hybridMultilevel"/>
    <w:tmpl w:val="9E1C45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E2D52"/>
    <w:multiLevelType w:val="hybridMultilevel"/>
    <w:tmpl w:val="AC40C920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B83FF2"/>
    <w:multiLevelType w:val="hybridMultilevel"/>
    <w:tmpl w:val="DB72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26"/>
  </w:num>
  <w:num w:numId="5">
    <w:abstractNumId w:val="17"/>
  </w:num>
  <w:num w:numId="6">
    <w:abstractNumId w:val="12"/>
  </w:num>
  <w:num w:numId="7">
    <w:abstractNumId w:val="14"/>
  </w:num>
  <w:num w:numId="8">
    <w:abstractNumId w:val="24"/>
  </w:num>
  <w:num w:numId="9">
    <w:abstractNumId w:val="1"/>
  </w:num>
  <w:num w:numId="10">
    <w:abstractNumId w:val="7"/>
  </w:num>
  <w:num w:numId="11">
    <w:abstractNumId w:val="2"/>
  </w:num>
  <w:num w:numId="12">
    <w:abstractNumId w:val="27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5"/>
  </w:num>
  <w:num w:numId="18">
    <w:abstractNumId w:val="5"/>
  </w:num>
  <w:num w:numId="19">
    <w:abstractNumId w:val="28"/>
  </w:num>
  <w:num w:numId="20">
    <w:abstractNumId w:val="11"/>
  </w:num>
  <w:num w:numId="21">
    <w:abstractNumId w:val="25"/>
  </w:num>
  <w:num w:numId="22">
    <w:abstractNumId w:val="9"/>
  </w:num>
  <w:num w:numId="23">
    <w:abstractNumId w:val="16"/>
  </w:num>
  <w:num w:numId="24">
    <w:abstractNumId w:val="8"/>
  </w:num>
  <w:num w:numId="25">
    <w:abstractNumId w:val="10"/>
  </w:num>
  <w:num w:numId="26">
    <w:abstractNumId w:val="4"/>
  </w:num>
  <w:num w:numId="27">
    <w:abstractNumId w:val="6"/>
  </w:num>
  <w:num w:numId="28">
    <w:abstractNumId w:val="23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ΚΡΗΤΙΚΟΥ ΕΛΕΝΗ">
    <w15:presenceInfo w15:providerId="AD" w15:userId="S-1-5-21-823518204-492894223-682003330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D0"/>
    <w:rsid w:val="0000043F"/>
    <w:rsid w:val="00000FFD"/>
    <w:rsid w:val="0000512D"/>
    <w:rsid w:val="0001562C"/>
    <w:rsid w:val="0004663D"/>
    <w:rsid w:val="0007524A"/>
    <w:rsid w:val="00083AE9"/>
    <w:rsid w:val="00090038"/>
    <w:rsid w:val="0009348A"/>
    <w:rsid w:val="00093E47"/>
    <w:rsid w:val="00094381"/>
    <w:rsid w:val="00097842"/>
    <w:rsid w:val="000B4AF3"/>
    <w:rsid w:val="000B4FA5"/>
    <w:rsid w:val="000C05E4"/>
    <w:rsid w:val="000C2AC8"/>
    <w:rsid w:val="000C6A29"/>
    <w:rsid w:val="000E1BBA"/>
    <w:rsid w:val="000E2004"/>
    <w:rsid w:val="000E4E65"/>
    <w:rsid w:val="000F595E"/>
    <w:rsid w:val="00104200"/>
    <w:rsid w:val="0010758B"/>
    <w:rsid w:val="0011470C"/>
    <w:rsid w:val="00126DDD"/>
    <w:rsid w:val="00127BB6"/>
    <w:rsid w:val="00140C61"/>
    <w:rsid w:val="00153A9B"/>
    <w:rsid w:val="001564BC"/>
    <w:rsid w:val="00160B89"/>
    <w:rsid w:val="00164468"/>
    <w:rsid w:val="00170B53"/>
    <w:rsid w:val="00174EBB"/>
    <w:rsid w:val="001A4300"/>
    <w:rsid w:val="001B2EC0"/>
    <w:rsid w:val="001B3BB8"/>
    <w:rsid w:val="001C2FD2"/>
    <w:rsid w:val="001C780D"/>
    <w:rsid w:val="001D3144"/>
    <w:rsid w:val="00226779"/>
    <w:rsid w:val="00226BBA"/>
    <w:rsid w:val="00233FD4"/>
    <w:rsid w:val="00237ADA"/>
    <w:rsid w:val="002443EC"/>
    <w:rsid w:val="00251B5D"/>
    <w:rsid w:val="0025510D"/>
    <w:rsid w:val="00256FDA"/>
    <w:rsid w:val="002641C5"/>
    <w:rsid w:val="002668A6"/>
    <w:rsid w:val="002678A3"/>
    <w:rsid w:val="00270B2E"/>
    <w:rsid w:val="00270B43"/>
    <w:rsid w:val="002713A2"/>
    <w:rsid w:val="002779CE"/>
    <w:rsid w:val="00286939"/>
    <w:rsid w:val="00290C96"/>
    <w:rsid w:val="00292E8C"/>
    <w:rsid w:val="00296323"/>
    <w:rsid w:val="002A7CD6"/>
    <w:rsid w:val="002B72BA"/>
    <w:rsid w:val="002C03DC"/>
    <w:rsid w:val="002D0632"/>
    <w:rsid w:val="002D0FAF"/>
    <w:rsid w:val="002D384B"/>
    <w:rsid w:val="002E54D0"/>
    <w:rsid w:val="002F149F"/>
    <w:rsid w:val="002F40DD"/>
    <w:rsid w:val="00300AFE"/>
    <w:rsid w:val="003135DB"/>
    <w:rsid w:val="00315F3E"/>
    <w:rsid w:val="00322123"/>
    <w:rsid w:val="00331ACC"/>
    <w:rsid w:val="00332A25"/>
    <w:rsid w:val="003446D0"/>
    <w:rsid w:val="003470AC"/>
    <w:rsid w:val="00353374"/>
    <w:rsid w:val="00354433"/>
    <w:rsid w:val="00357684"/>
    <w:rsid w:val="00364276"/>
    <w:rsid w:val="0037316C"/>
    <w:rsid w:val="003766F8"/>
    <w:rsid w:val="0038307C"/>
    <w:rsid w:val="00385AD0"/>
    <w:rsid w:val="00386582"/>
    <w:rsid w:val="00387E06"/>
    <w:rsid w:val="00394477"/>
    <w:rsid w:val="003A2EB9"/>
    <w:rsid w:val="003B5E64"/>
    <w:rsid w:val="003D5220"/>
    <w:rsid w:val="003D6640"/>
    <w:rsid w:val="003E2B47"/>
    <w:rsid w:val="003F2115"/>
    <w:rsid w:val="003F3B11"/>
    <w:rsid w:val="00406AE2"/>
    <w:rsid w:val="0041031F"/>
    <w:rsid w:val="004114CB"/>
    <w:rsid w:val="00413C44"/>
    <w:rsid w:val="00414007"/>
    <w:rsid w:val="0042522A"/>
    <w:rsid w:val="00432E69"/>
    <w:rsid w:val="00441A9F"/>
    <w:rsid w:val="0044524E"/>
    <w:rsid w:val="0044700C"/>
    <w:rsid w:val="004508A2"/>
    <w:rsid w:val="00465FF3"/>
    <w:rsid w:val="004747E0"/>
    <w:rsid w:val="004762EB"/>
    <w:rsid w:val="00482815"/>
    <w:rsid w:val="00486CB4"/>
    <w:rsid w:val="0049714A"/>
    <w:rsid w:val="00497F9A"/>
    <w:rsid w:val="004A6144"/>
    <w:rsid w:val="004B4B37"/>
    <w:rsid w:val="004C4D58"/>
    <w:rsid w:val="004D129D"/>
    <w:rsid w:val="004D67DB"/>
    <w:rsid w:val="004F0EBF"/>
    <w:rsid w:val="004F1026"/>
    <w:rsid w:val="004F260C"/>
    <w:rsid w:val="005069DC"/>
    <w:rsid w:val="005166BF"/>
    <w:rsid w:val="00525F4A"/>
    <w:rsid w:val="005313E9"/>
    <w:rsid w:val="005320B6"/>
    <w:rsid w:val="00537579"/>
    <w:rsid w:val="00550A94"/>
    <w:rsid w:val="00552092"/>
    <w:rsid w:val="005656B7"/>
    <w:rsid w:val="00580AF3"/>
    <w:rsid w:val="005827FF"/>
    <w:rsid w:val="00583BF9"/>
    <w:rsid w:val="005942C7"/>
    <w:rsid w:val="005A3AF6"/>
    <w:rsid w:val="005A7393"/>
    <w:rsid w:val="005B0EBC"/>
    <w:rsid w:val="005B4ECC"/>
    <w:rsid w:val="005C42F9"/>
    <w:rsid w:val="005D375D"/>
    <w:rsid w:val="005E4FB9"/>
    <w:rsid w:val="005F0049"/>
    <w:rsid w:val="0060157E"/>
    <w:rsid w:val="00615E59"/>
    <w:rsid w:val="00652BEA"/>
    <w:rsid w:val="00652E55"/>
    <w:rsid w:val="00656F80"/>
    <w:rsid w:val="00660E46"/>
    <w:rsid w:val="006738F1"/>
    <w:rsid w:val="006760B8"/>
    <w:rsid w:val="00681FBE"/>
    <w:rsid w:val="00684976"/>
    <w:rsid w:val="0069042F"/>
    <w:rsid w:val="006A0C56"/>
    <w:rsid w:val="006A50A8"/>
    <w:rsid w:val="006B22F8"/>
    <w:rsid w:val="006B5A1A"/>
    <w:rsid w:val="006C2DAE"/>
    <w:rsid w:val="006C7AEF"/>
    <w:rsid w:val="006D177C"/>
    <w:rsid w:val="006D3E11"/>
    <w:rsid w:val="006E7F68"/>
    <w:rsid w:val="006F4A00"/>
    <w:rsid w:val="006F5725"/>
    <w:rsid w:val="00706B0F"/>
    <w:rsid w:val="007134BB"/>
    <w:rsid w:val="007149EC"/>
    <w:rsid w:val="00727D6B"/>
    <w:rsid w:val="007337A8"/>
    <w:rsid w:val="007337CE"/>
    <w:rsid w:val="007365BC"/>
    <w:rsid w:val="0074472B"/>
    <w:rsid w:val="00744A2E"/>
    <w:rsid w:val="007456D4"/>
    <w:rsid w:val="007612E5"/>
    <w:rsid w:val="0077074C"/>
    <w:rsid w:val="00771EE1"/>
    <w:rsid w:val="007830E4"/>
    <w:rsid w:val="00791BFC"/>
    <w:rsid w:val="007A03FE"/>
    <w:rsid w:val="007A14D7"/>
    <w:rsid w:val="007A2CA6"/>
    <w:rsid w:val="007B1AC7"/>
    <w:rsid w:val="007C0806"/>
    <w:rsid w:val="007C2A92"/>
    <w:rsid w:val="007C40F7"/>
    <w:rsid w:val="007D15B3"/>
    <w:rsid w:val="007D6C2C"/>
    <w:rsid w:val="007F5CC5"/>
    <w:rsid w:val="00802303"/>
    <w:rsid w:val="00803480"/>
    <w:rsid w:val="008107AB"/>
    <w:rsid w:val="008151DF"/>
    <w:rsid w:val="0081760A"/>
    <w:rsid w:val="008269A3"/>
    <w:rsid w:val="00830015"/>
    <w:rsid w:val="00836D81"/>
    <w:rsid w:val="00856D58"/>
    <w:rsid w:val="00861D0A"/>
    <w:rsid w:val="008644E2"/>
    <w:rsid w:val="008651AC"/>
    <w:rsid w:val="00872B45"/>
    <w:rsid w:val="00872D0E"/>
    <w:rsid w:val="00875259"/>
    <w:rsid w:val="0088115F"/>
    <w:rsid w:val="00881B43"/>
    <w:rsid w:val="00887B24"/>
    <w:rsid w:val="00894163"/>
    <w:rsid w:val="00895F59"/>
    <w:rsid w:val="008A1854"/>
    <w:rsid w:val="008A48CD"/>
    <w:rsid w:val="008A4ED8"/>
    <w:rsid w:val="008B05C8"/>
    <w:rsid w:val="008B2323"/>
    <w:rsid w:val="008D3146"/>
    <w:rsid w:val="008E2F3E"/>
    <w:rsid w:val="008E4C18"/>
    <w:rsid w:val="008E4D14"/>
    <w:rsid w:val="00914E99"/>
    <w:rsid w:val="0091738F"/>
    <w:rsid w:val="009225B2"/>
    <w:rsid w:val="00942611"/>
    <w:rsid w:val="00943A7C"/>
    <w:rsid w:val="00946323"/>
    <w:rsid w:val="0095304B"/>
    <w:rsid w:val="009564C7"/>
    <w:rsid w:val="009638F2"/>
    <w:rsid w:val="009710B1"/>
    <w:rsid w:val="009715B6"/>
    <w:rsid w:val="009753D6"/>
    <w:rsid w:val="00994302"/>
    <w:rsid w:val="00996AF4"/>
    <w:rsid w:val="009A1FC9"/>
    <w:rsid w:val="009B17AE"/>
    <w:rsid w:val="009B2994"/>
    <w:rsid w:val="009D466A"/>
    <w:rsid w:val="009E293D"/>
    <w:rsid w:val="009F047F"/>
    <w:rsid w:val="009F167D"/>
    <w:rsid w:val="00A14585"/>
    <w:rsid w:val="00A46B77"/>
    <w:rsid w:val="00A512D4"/>
    <w:rsid w:val="00A51E2E"/>
    <w:rsid w:val="00A54A52"/>
    <w:rsid w:val="00A5752D"/>
    <w:rsid w:val="00A576B0"/>
    <w:rsid w:val="00A6259C"/>
    <w:rsid w:val="00A6346B"/>
    <w:rsid w:val="00A72101"/>
    <w:rsid w:val="00A724CA"/>
    <w:rsid w:val="00A96EFB"/>
    <w:rsid w:val="00A978FA"/>
    <w:rsid w:val="00AA209C"/>
    <w:rsid w:val="00AA50F1"/>
    <w:rsid w:val="00AA52A2"/>
    <w:rsid w:val="00AB0FE3"/>
    <w:rsid w:val="00AB0FF5"/>
    <w:rsid w:val="00AB1CF7"/>
    <w:rsid w:val="00AB6B90"/>
    <w:rsid w:val="00AE26EB"/>
    <w:rsid w:val="00AF01D0"/>
    <w:rsid w:val="00AF3FE1"/>
    <w:rsid w:val="00AF79BD"/>
    <w:rsid w:val="00B0608F"/>
    <w:rsid w:val="00B1511E"/>
    <w:rsid w:val="00B23883"/>
    <w:rsid w:val="00B25D97"/>
    <w:rsid w:val="00B30616"/>
    <w:rsid w:val="00B350F0"/>
    <w:rsid w:val="00B40A37"/>
    <w:rsid w:val="00B43556"/>
    <w:rsid w:val="00B4771F"/>
    <w:rsid w:val="00B53AE3"/>
    <w:rsid w:val="00B57DF9"/>
    <w:rsid w:val="00B6762B"/>
    <w:rsid w:val="00B80EA9"/>
    <w:rsid w:val="00B830D3"/>
    <w:rsid w:val="00B85B06"/>
    <w:rsid w:val="00B8790A"/>
    <w:rsid w:val="00B9090C"/>
    <w:rsid w:val="00BA09DF"/>
    <w:rsid w:val="00BA33CF"/>
    <w:rsid w:val="00BA59CC"/>
    <w:rsid w:val="00BD11FD"/>
    <w:rsid w:val="00BD3636"/>
    <w:rsid w:val="00BD56D0"/>
    <w:rsid w:val="00BD6641"/>
    <w:rsid w:val="00BE2B23"/>
    <w:rsid w:val="00C01640"/>
    <w:rsid w:val="00C03CD4"/>
    <w:rsid w:val="00C0729B"/>
    <w:rsid w:val="00C07F26"/>
    <w:rsid w:val="00C14324"/>
    <w:rsid w:val="00C266DB"/>
    <w:rsid w:val="00C3228E"/>
    <w:rsid w:val="00C344F9"/>
    <w:rsid w:val="00C35024"/>
    <w:rsid w:val="00C80F54"/>
    <w:rsid w:val="00C9424B"/>
    <w:rsid w:val="00C96871"/>
    <w:rsid w:val="00CB2FD2"/>
    <w:rsid w:val="00CB456D"/>
    <w:rsid w:val="00CB6112"/>
    <w:rsid w:val="00CB69FF"/>
    <w:rsid w:val="00CC3900"/>
    <w:rsid w:val="00CC4FED"/>
    <w:rsid w:val="00CF5B96"/>
    <w:rsid w:val="00D05AAD"/>
    <w:rsid w:val="00D108E1"/>
    <w:rsid w:val="00D217CC"/>
    <w:rsid w:val="00D263AE"/>
    <w:rsid w:val="00D32335"/>
    <w:rsid w:val="00D33712"/>
    <w:rsid w:val="00D3408F"/>
    <w:rsid w:val="00D46F8C"/>
    <w:rsid w:val="00D5118F"/>
    <w:rsid w:val="00D51D86"/>
    <w:rsid w:val="00D52D92"/>
    <w:rsid w:val="00D52F5F"/>
    <w:rsid w:val="00D54733"/>
    <w:rsid w:val="00D62C8F"/>
    <w:rsid w:val="00D63284"/>
    <w:rsid w:val="00D65448"/>
    <w:rsid w:val="00D8458C"/>
    <w:rsid w:val="00D94B87"/>
    <w:rsid w:val="00DA1FB5"/>
    <w:rsid w:val="00DD51F8"/>
    <w:rsid w:val="00DF0530"/>
    <w:rsid w:val="00DF5BD6"/>
    <w:rsid w:val="00DF641E"/>
    <w:rsid w:val="00E03B9A"/>
    <w:rsid w:val="00E06875"/>
    <w:rsid w:val="00E15008"/>
    <w:rsid w:val="00E15130"/>
    <w:rsid w:val="00E4199C"/>
    <w:rsid w:val="00E4573D"/>
    <w:rsid w:val="00E461AF"/>
    <w:rsid w:val="00E547C0"/>
    <w:rsid w:val="00E578D1"/>
    <w:rsid w:val="00E66E3F"/>
    <w:rsid w:val="00E75DCE"/>
    <w:rsid w:val="00E82F0C"/>
    <w:rsid w:val="00E87209"/>
    <w:rsid w:val="00E96CBD"/>
    <w:rsid w:val="00EB0BF9"/>
    <w:rsid w:val="00EB60E0"/>
    <w:rsid w:val="00EC2EEA"/>
    <w:rsid w:val="00EC4F10"/>
    <w:rsid w:val="00EC69FB"/>
    <w:rsid w:val="00ED2262"/>
    <w:rsid w:val="00ED2E66"/>
    <w:rsid w:val="00ED2F17"/>
    <w:rsid w:val="00EE2EF6"/>
    <w:rsid w:val="00EE70F5"/>
    <w:rsid w:val="00EF3877"/>
    <w:rsid w:val="00F04237"/>
    <w:rsid w:val="00F213F1"/>
    <w:rsid w:val="00F219FD"/>
    <w:rsid w:val="00F21CC6"/>
    <w:rsid w:val="00F23F78"/>
    <w:rsid w:val="00F30991"/>
    <w:rsid w:val="00F47B39"/>
    <w:rsid w:val="00F50940"/>
    <w:rsid w:val="00F5299A"/>
    <w:rsid w:val="00F5610C"/>
    <w:rsid w:val="00F56A54"/>
    <w:rsid w:val="00F72166"/>
    <w:rsid w:val="00F730C9"/>
    <w:rsid w:val="00F73AD9"/>
    <w:rsid w:val="00F83063"/>
    <w:rsid w:val="00F8394E"/>
    <w:rsid w:val="00F94124"/>
    <w:rsid w:val="00F972AA"/>
    <w:rsid w:val="00FA60E8"/>
    <w:rsid w:val="00FD2807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41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D0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2,Bullet21,Bullet22,Bullet23,Bullet211,Bullet24,Bullet25,Bullet26,Bullet27,bl11,Bullet212,Bullet28,bl12,Bullet213,Bullet29,bl13,Bullet214,Bullet210,Bullet215,Γράφημα,List Paragraph1,Παράγραφος λίστας2,Liste à puces retrait droite"/>
    <w:basedOn w:val="Normal"/>
    <w:link w:val="ListParagraphChar"/>
    <w:uiPriority w:val="34"/>
    <w:qFormat/>
    <w:rsid w:val="00AF01D0"/>
    <w:pPr>
      <w:ind w:left="720"/>
      <w:contextualSpacing/>
    </w:pPr>
  </w:style>
  <w:style w:type="character" w:customStyle="1" w:styleId="ListParagraphChar">
    <w:name w:val="List Paragraph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34"/>
    <w:locked/>
    <w:rsid w:val="00AF01D0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nhideWhenUsed/>
    <w:rsid w:val="00AF01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01D0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customStyle="1" w:styleId="Arial11pt">
    <w:name w:val="Στυλ Arial 11 pt Πλήρης"/>
    <w:basedOn w:val="Normal"/>
    <w:rsid w:val="00AF01D0"/>
    <w:pPr>
      <w:suppressAutoHyphens w:val="0"/>
      <w:spacing w:after="120" w:line="240" w:lineRule="auto"/>
    </w:pPr>
    <w:rPr>
      <w:rFonts w:ascii="Arial" w:hAnsi="Arial"/>
      <w:sz w:val="22"/>
      <w:szCs w:val="20"/>
      <w:lang w:val="el-GR" w:eastAsia="el-GR"/>
    </w:rPr>
  </w:style>
  <w:style w:type="paragraph" w:styleId="Footer">
    <w:name w:val="footer"/>
    <w:aliases w:val="ft"/>
    <w:basedOn w:val="Normal"/>
    <w:link w:val="FooterChar"/>
    <w:uiPriority w:val="99"/>
    <w:rsid w:val="00AF01D0"/>
    <w:pPr>
      <w:tabs>
        <w:tab w:val="center" w:pos="4153"/>
        <w:tab w:val="right" w:pos="8306"/>
      </w:tabs>
      <w:suppressAutoHyphens w:val="0"/>
      <w:spacing w:line="240" w:lineRule="auto"/>
      <w:jc w:val="left"/>
    </w:pPr>
    <w:rPr>
      <w:rFonts w:ascii="Arial" w:hAnsi="Arial"/>
      <w:sz w:val="22"/>
      <w:lang w:eastAsia="en-US"/>
    </w:r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AF01D0"/>
    <w:rPr>
      <w:rFonts w:ascii="Arial" w:eastAsia="Times New Roman" w:hAnsi="Arial" w:cs="Times New Roman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F01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1D0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customStyle="1" w:styleId="1stparagraph">
    <w:name w:val="1st paragraph"/>
    <w:basedOn w:val="Normal"/>
    <w:autoRedefine/>
    <w:rsid w:val="00830015"/>
    <w:pPr>
      <w:numPr>
        <w:numId w:val="20"/>
      </w:numPr>
      <w:suppressAutoHyphens w:val="0"/>
      <w:spacing w:line="240" w:lineRule="auto"/>
    </w:pPr>
    <w:rPr>
      <w:rFonts w:cs="Arial"/>
      <w:b/>
      <w:color w:val="000000"/>
      <w:szCs w:val="20"/>
      <w:lang w:val="en-US" w:eastAsia="el-GR"/>
    </w:rPr>
  </w:style>
  <w:style w:type="paragraph" w:styleId="Header">
    <w:name w:val="header"/>
    <w:basedOn w:val="Normal"/>
    <w:link w:val="HeaderChar"/>
    <w:uiPriority w:val="99"/>
    <w:unhideWhenUsed/>
    <w:rsid w:val="00B238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83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customStyle="1" w:styleId="yiv1253708676ydpcd7bfd42yiv9730316138ydp4e4feef5msonormal">
    <w:name w:val="yiv1253708676ydpcd7bfd42yiv9730316138ydp4e4feef5msonormal"/>
    <w:basedOn w:val="Normal"/>
    <w:rsid w:val="0089416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l-GR" w:eastAsia="el-GR"/>
    </w:rPr>
  </w:style>
  <w:style w:type="character" w:styleId="IntenseEmphasis">
    <w:name w:val="Intense Emphasis"/>
    <w:basedOn w:val="DefaultParagraphFont"/>
    <w:uiPriority w:val="21"/>
    <w:qFormat/>
    <w:rsid w:val="00364276"/>
    <w:rPr>
      <w:b/>
      <w:bCs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2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4B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4BC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564B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1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D7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D7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character" w:styleId="Hyperlink">
    <w:name w:val="Hyperlink"/>
    <w:unhideWhenUsed/>
    <w:rsid w:val="00BA5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D0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2,Bullet21,Bullet22,Bullet23,Bullet211,Bullet24,Bullet25,Bullet26,Bullet27,bl11,Bullet212,Bullet28,bl12,Bullet213,Bullet29,bl13,Bullet214,Bullet210,Bullet215,Γράφημα,List Paragraph1,Παράγραφος λίστας2,Liste à puces retrait droite"/>
    <w:basedOn w:val="Normal"/>
    <w:link w:val="ListParagraphChar"/>
    <w:uiPriority w:val="34"/>
    <w:qFormat/>
    <w:rsid w:val="00AF01D0"/>
    <w:pPr>
      <w:ind w:left="720"/>
      <w:contextualSpacing/>
    </w:pPr>
  </w:style>
  <w:style w:type="character" w:customStyle="1" w:styleId="ListParagraphChar">
    <w:name w:val="List Paragraph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34"/>
    <w:locked/>
    <w:rsid w:val="00AF01D0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nhideWhenUsed/>
    <w:rsid w:val="00AF01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01D0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customStyle="1" w:styleId="Arial11pt">
    <w:name w:val="Στυλ Arial 11 pt Πλήρης"/>
    <w:basedOn w:val="Normal"/>
    <w:rsid w:val="00AF01D0"/>
    <w:pPr>
      <w:suppressAutoHyphens w:val="0"/>
      <w:spacing w:after="120" w:line="240" w:lineRule="auto"/>
    </w:pPr>
    <w:rPr>
      <w:rFonts w:ascii="Arial" w:hAnsi="Arial"/>
      <w:sz w:val="22"/>
      <w:szCs w:val="20"/>
      <w:lang w:val="el-GR" w:eastAsia="el-GR"/>
    </w:rPr>
  </w:style>
  <w:style w:type="paragraph" w:styleId="Footer">
    <w:name w:val="footer"/>
    <w:aliases w:val="ft"/>
    <w:basedOn w:val="Normal"/>
    <w:link w:val="FooterChar"/>
    <w:uiPriority w:val="99"/>
    <w:rsid w:val="00AF01D0"/>
    <w:pPr>
      <w:tabs>
        <w:tab w:val="center" w:pos="4153"/>
        <w:tab w:val="right" w:pos="8306"/>
      </w:tabs>
      <w:suppressAutoHyphens w:val="0"/>
      <w:spacing w:line="240" w:lineRule="auto"/>
      <w:jc w:val="left"/>
    </w:pPr>
    <w:rPr>
      <w:rFonts w:ascii="Arial" w:hAnsi="Arial"/>
      <w:sz w:val="22"/>
      <w:lang w:eastAsia="en-US"/>
    </w:r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AF01D0"/>
    <w:rPr>
      <w:rFonts w:ascii="Arial" w:eastAsia="Times New Roman" w:hAnsi="Arial" w:cs="Times New Roman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F01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1D0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customStyle="1" w:styleId="1stparagraph">
    <w:name w:val="1st paragraph"/>
    <w:basedOn w:val="Normal"/>
    <w:autoRedefine/>
    <w:rsid w:val="00830015"/>
    <w:pPr>
      <w:numPr>
        <w:numId w:val="20"/>
      </w:numPr>
      <w:suppressAutoHyphens w:val="0"/>
      <w:spacing w:line="240" w:lineRule="auto"/>
    </w:pPr>
    <w:rPr>
      <w:rFonts w:cs="Arial"/>
      <w:b/>
      <w:color w:val="000000"/>
      <w:szCs w:val="20"/>
      <w:lang w:val="en-US" w:eastAsia="el-GR"/>
    </w:rPr>
  </w:style>
  <w:style w:type="paragraph" w:styleId="Header">
    <w:name w:val="header"/>
    <w:basedOn w:val="Normal"/>
    <w:link w:val="HeaderChar"/>
    <w:uiPriority w:val="99"/>
    <w:unhideWhenUsed/>
    <w:rsid w:val="00B238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83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customStyle="1" w:styleId="yiv1253708676ydpcd7bfd42yiv9730316138ydp4e4feef5msonormal">
    <w:name w:val="yiv1253708676ydpcd7bfd42yiv9730316138ydp4e4feef5msonormal"/>
    <w:basedOn w:val="Normal"/>
    <w:rsid w:val="0089416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l-GR" w:eastAsia="el-GR"/>
    </w:rPr>
  </w:style>
  <w:style w:type="character" w:styleId="IntenseEmphasis">
    <w:name w:val="Intense Emphasis"/>
    <w:basedOn w:val="DefaultParagraphFont"/>
    <w:uiPriority w:val="21"/>
    <w:qFormat/>
    <w:rsid w:val="00364276"/>
    <w:rPr>
      <w:b/>
      <w:bCs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2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4B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4BC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564B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1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D7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D7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character" w:styleId="Hyperlink">
    <w:name w:val="Hyperlink"/>
    <w:unhideWhenUsed/>
    <w:rsid w:val="00BA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gsrt.gr" TargetMode="External"/><Relationship Id="rId23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srt@gsrt.gr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DA1D-F5A1-47CD-BD42-BF5A9F4D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Dritsas</dc:creator>
  <cp:lastModifiedBy>Fenia Adamidi</cp:lastModifiedBy>
  <cp:revision>3</cp:revision>
  <cp:lastPrinted>2019-12-24T10:00:00Z</cp:lastPrinted>
  <dcterms:created xsi:type="dcterms:W3CDTF">2020-01-14T12:34:00Z</dcterms:created>
  <dcterms:modified xsi:type="dcterms:W3CDTF">2020-01-14T12:36:00Z</dcterms:modified>
</cp:coreProperties>
</file>